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Warehousemen’s Liens Act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Warehousemen’s Liens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_Toc422304852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_Toc422304853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warehouseman</w:t>
      </w:r>
      <w:r>
        <w:tab/>
      </w:r>
      <w:r>
        <w:fldChar w:fldCharType="begin"/>
      </w:r>
      <w:r>
        <w:instrText xml:space="preserve"> PAGEREF _Toc422304854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of warehouseman’s lien</w:t>
      </w:r>
      <w:r>
        <w:tab/>
      </w:r>
      <w:r>
        <w:fldChar w:fldCharType="begin"/>
      </w:r>
      <w:r>
        <w:instrText xml:space="preserve"> PAGEREF _Toc422304855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covered by lien</w:t>
      </w:r>
      <w:r>
        <w:tab/>
      </w:r>
      <w:r>
        <w:fldChar w:fldCharType="begin"/>
      </w:r>
      <w:r>
        <w:instrText xml:space="preserve"> PAGEREF _Toc422304856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Warehouseman to give notice of lien to people with interest in goods</w:t>
      </w:r>
      <w:r>
        <w:tab/>
      </w:r>
      <w:r>
        <w:fldChar w:fldCharType="begin"/>
      </w:r>
      <w:r>
        <w:instrText xml:space="preserve"> PAGEREF _Toc422304857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sell goods</w:t>
      </w:r>
      <w:r>
        <w:tab/>
      </w:r>
      <w:r>
        <w:fldChar w:fldCharType="begin"/>
      </w:r>
      <w:r>
        <w:instrText xml:space="preserve"> PAGEREF _Toc422304858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Satisfying lien before sale, consequences of</w:t>
      </w:r>
      <w:r>
        <w:tab/>
      </w:r>
      <w:r>
        <w:fldChar w:fldCharType="begin"/>
      </w:r>
      <w:r>
        <w:instrText xml:space="preserve"> PAGEREF _Toc422304859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Notices, giving of etc.</w:t>
      </w:r>
      <w:r>
        <w:tab/>
      </w:r>
      <w:r>
        <w:fldChar w:fldCharType="begin"/>
      </w:r>
      <w:r>
        <w:instrText xml:space="preserve"> PAGEREF _Toc422304860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Disposition of proceeds of sale</w:t>
      </w:r>
      <w:r>
        <w:tab/>
      </w:r>
      <w:r>
        <w:fldChar w:fldCharType="begin"/>
      </w:r>
      <w:r>
        <w:instrText xml:space="preserve"> PAGEREF _Toc422304861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Act</w:t>
      </w:r>
      <w:r>
        <w:tab/>
      </w:r>
      <w:r>
        <w:fldChar w:fldCharType="begin"/>
      </w:r>
      <w:r>
        <w:instrText xml:space="preserve"> PAGEREF _Toc422304862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_Toc422304863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liens, rights etc. not to be affected by Act</w:t>
      </w:r>
      <w:r>
        <w:tab/>
      </w:r>
      <w:r>
        <w:fldChar w:fldCharType="begin"/>
      </w:r>
      <w:r>
        <w:instrText xml:space="preserve"> PAGEREF _Toc422304864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_Toc422304866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Warehousemen’s Liens Act 1952 </w:t>
      </w:r>
    </w:p>
    <w:p>
      <w:pPr>
        <w:pStyle w:val="LongTitle"/>
        <w:spacing w:after="480"/>
        <w:rPr>
          <w:snapToGrid w:val="0"/>
        </w:rPr>
      </w:pPr>
      <w:r>
        <w:rPr>
          <w:snapToGrid w:val="0"/>
        </w:rPr>
        <w:t xml:space="preserve">An Act to amend the law relating to the warehousing of goods. </w:t>
      </w:r>
    </w:p>
    <w:p>
      <w:pPr>
        <w:pStyle w:val="Heading5"/>
        <w:rPr>
          <w:snapToGrid w:val="0"/>
        </w:rPr>
      </w:pPr>
      <w:bookmarkStart w:id="3" w:name="_Toc401836444"/>
      <w:bookmarkStart w:id="4" w:name="_Toc42230485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5" w:name="_Toc401836445"/>
      <w:bookmarkStart w:id="6" w:name="_Toc42230485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01836446"/>
      <w:bookmarkStart w:id="8" w:name="_Toc422304854"/>
      <w:r>
        <w:rPr>
          <w:rStyle w:val="CharSectno"/>
        </w:rPr>
        <w:t>3</w:t>
      </w:r>
      <w:r>
        <w:rPr>
          <w:snapToGrid w:val="0"/>
        </w:rPr>
        <w:t>.</w:t>
      </w:r>
      <w:r>
        <w:rPr>
          <w:snapToGrid w:val="0"/>
        </w:rPr>
        <w:tab/>
        <w:t>Term used: warehouseman</w:t>
      </w:r>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9" w:name="_Toc401836447"/>
      <w:bookmarkStart w:id="10" w:name="_Toc422304855"/>
      <w:r>
        <w:rPr>
          <w:rStyle w:val="CharSectno"/>
        </w:rPr>
        <w:t>4</w:t>
      </w:r>
      <w:r>
        <w:rPr>
          <w:snapToGrid w:val="0"/>
        </w:rPr>
        <w:t>.</w:t>
      </w:r>
      <w:r>
        <w:rPr>
          <w:snapToGrid w:val="0"/>
        </w:rPr>
        <w:tab/>
        <w:t>Declaration of warehouseman’s lien</w:t>
      </w:r>
      <w:bookmarkEnd w:id="9"/>
      <w:bookmarkEnd w:id="10"/>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by No. 42 of 2011 s. 27.] </w:t>
      </w:r>
    </w:p>
    <w:p>
      <w:pPr>
        <w:pStyle w:val="Heading5"/>
        <w:rPr>
          <w:snapToGrid w:val="0"/>
        </w:rPr>
      </w:pPr>
      <w:bookmarkStart w:id="11" w:name="_Toc401836448"/>
      <w:bookmarkStart w:id="12" w:name="_Toc422304856"/>
      <w:r>
        <w:rPr>
          <w:rStyle w:val="CharSectno"/>
        </w:rPr>
        <w:t>5</w:t>
      </w:r>
      <w:r>
        <w:rPr>
          <w:snapToGrid w:val="0"/>
        </w:rPr>
        <w:t>.</w:t>
      </w:r>
      <w:r>
        <w:rPr>
          <w:snapToGrid w:val="0"/>
        </w:rPr>
        <w:tab/>
        <w:t>Charges covered by lien</w:t>
      </w:r>
      <w:bookmarkEnd w:id="11"/>
      <w:bookmarkEnd w:id="12"/>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3" w:name="_Toc401836449"/>
      <w:bookmarkStart w:id="14" w:name="_Toc422304857"/>
      <w:r>
        <w:rPr>
          <w:rStyle w:val="CharSectno"/>
        </w:rPr>
        <w:t>6</w:t>
      </w:r>
      <w:r>
        <w:rPr>
          <w:snapToGrid w:val="0"/>
        </w:rPr>
        <w:t>.</w:t>
      </w:r>
      <w:r>
        <w:rPr>
          <w:snapToGrid w:val="0"/>
        </w:rPr>
        <w:tab/>
        <w:t>Warehouseman to give notice of lien to people with interest in goods</w:t>
      </w:r>
      <w:bookmarkEnd w:id="13"/>
      <w:bookmarkEnd w:id="14"/>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by No. 42 of 2011 s. 28.] </w:t>
      </w:r>
    </w:p>
    <w:p>
      <w:pPr>
        <w:pStyle w:val="Heading5"/>
        <w:spacing w:before="240"/>
        <w:rPr>
          <w:snapToGrid w:val="0"/>
        </w:rPr>
      </w:pPr>
      <w:bookmarkStart w:id="15" w:name="_Toc401836450"/>
      <w:bookmarkStart w:id="16" w:name="_Toc422304858"/>
      <w:r>
        <w:rPr>
          <w:rStyle w:val="CharSectno"/>
        </w:rPr>
        <w:t>7</w:t>
      </w:r>
      <w:r>
        <w:rPr>
          <w:snapToGrid w:val="0"/>
        </w:rPr>
        <w:t>.</w:t>
      </w:r>
      <w:r>
        <w:rPr>
          <w:snapToGrid w:val="0"/>
        </w:rPr>
        <w:tab/>
        <w:t>Power to sell goods</w:t>
      </w:r>
      <w:bookmarkEnd w:id="15"/>
      <w:bookmarkEnd w:id="16"/>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No. 42 of 2011 s. 29; No. 12 of 2014 s. 4.] </w:t>
      </w:r>
    </w:p>
    <w:p>
      <w:pPr>
        <w:pStyle w:val="Heading5"/>
        <w:spacing w:before="240"/>
        <w:rPr>
          <w:snapToGrid w:val="0"/>
        </w:rPr>
      </w:pPr>
      <w:bookmarkStart w:id="17" w:name="_Toc401836451"/>
      <w:bookmarkStart w:id="18" w:name="_Toc422304859"/>
      <w:r>
        <w:rPr>
          <w:rStyle w:val="CharSectno"/>
        </w:rPr>
        <w:t>8</w:t>
      </w:r>
      <w:r>
        <w:rPr>
          <w:snapToGrid w:val="0"/>
        </w:rPr>
        <w:t>.</w:t>
      </w:r>
      <w:r>
        <w:rPr>
          <w:snapToGrid w:val="0"/>
        </w:rPr>
        <w:tab/>
        <w:t>Satisfying lien before sale, consequences of</w:t>
      </w:r>
      <w:bookmarkEnd w:id="17"/>
      <w:bookmarkEnd w:id="18"/>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19" w:name="_Toc401836452"/>
      <w:bookmarkStart w:id="20" w:name="_Toc422304860"/>
      <w:r>
        <w:rPr>
          <w:rStyle w:val="CharSectno"/>
        </w:rPr>
        <w:t>9</w:t>
      </w:r>
      <w:r>
        <w:rPr>
          <w:snapToGrid w:val="0"/>
        </w:rPr>
        <w:t>.</w:t>
      </w:r>
      <w:r>
        <w:rPr>
          <w:snapToGrid w:val="0"/>
        </w:rPr>
        <w:tab/>
        <w:t>Notices, giving of etc.</w:t>
      </w:r>
      <w:bookmarkEnd w:id="19"/>
      <w:bookmarkEnd w:id="20"/>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21" w:name="_Toc401836453"/>
      <w:bookmarkStart w:id="22" w:name="_Toc422304861"/>
      <w:r>
        <w:rPr>
          <w:rStyle w:val="CharSectno"/>
        </w:rPr>
        <w:t>10</w:t>
      </w:r>
      <w:r>
        <w:rPr>
          <w:snapToGrid w:val="0"/>
        </w:rPr>
        <w:t>.</w:t>
      </w:r>
      <w:r>
        <w:rPr>
          <w:snapToGrid w:val="0"/>
        </w:rPr>
        <w:tab/>
        <w:t>Disposition of proceeds of sale</w:t>
      </w:r>
      <w:bookmarkEnd w:id="21"/>
      <w:bookmarkEnd w:id="22"/>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23" w:name="_Toc401836454"/>
      <w:bookmarkStart w:id="24" w:name="_Toc422304862"/>
      <w:r>
        <w:rPr>
          <w:rStyle w:val="CharSectno"/>
        </w:rPr>
        <w:t>11</w:t>
      </w:r>
      <w:r>
        <w:rPr>
          <w:snapToGrid w:val="0"/>
        </w:rPr>
        <w:t>.</w:t>
      </w:r>
      <w:r>
        <w:rPr>
          <w:snapToGrid w:val="0"/>
        </w:rPr>
        <w:tab/>
        <w:t>Application of Act</w:t>
      </w:r>
      <w:bookmarkEnd w:id="23"/>
      <w:bookmarkEnd w:id="24"/>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25" w:name="_Toc401836455"/>
      <w:bookmarkStart w:id="26" w:name="_Toc422304863"/>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w:t>
      </w:r>
      <w:r>
        <w:t xml:space="preserve"> effect other than in respect of the fees to be paid in respect of or in connection with any matter in the jurisdiction of the Magistrates Court under this Act.</w:t>
      </w:r>
    </w:p>
    <w:p>
      <w:pPr>
        <w:pStyle w:val="Footnotesection"/>
      </w:pPr>
      <w:r>
        <w:tab/>
        <w:t>[Section 12 amended by No. 113 of 1965 s. 8(1); No. 59 of 2004 s. 141; No. 12 of 2014 s. 5.]</w:t>
      </w:r>
    </w:p>
    <w:p>
      <w:pPr>
        <w:pStyle w:val="Ednotesection"/>
      </w:pPr>
      <w:r>
        <w:t>[</w:t>
      </w:r>
      <w:r>
        <w:rPr>
          <w:b/>
        </w:rPr>
        <w:t>13.</w:t>
      </w:r>
      <w:r>
        <w:tab/>
        <w:t>Deleted by No. 12 of 2014 s. 6.]</w:t>
      </w:r>
    </w:p>
    <w:p>
      <w:pPr>
        <w:pStyle w:val="Heading5"/>
        <w:rPr>
          <w:snapToGrid w:val="0"/>
        </w:rPr>
      </w:pPr>
      <w:bookmarkStart w:id="27" w:name="_Toc401836456"/>
      <w:bookmarkStart w:id="28" w:name="_Toc422304864"/>
      <w:r>
        <w:rPr>
          <w:rStyle w:val="CharSectno"/>
        </w:rPr>
        <w:t>14</w:t>
      </w:r>
      <w:r>
        <w:rPr>
          <w:snapToGrid w:val="0"/>
        </w:rPr>
        <w:t>.</w:t>
      </w:r>
      <w:r>
        <w:rPr>
          <w:snapToGrid w:val="0"/>
        </w:rPr>
        <w:tab/>
        <w:t>Certain liens, rights etc. not to be affected by Act</w:t>
      </w:r>
      <w:bookmarkEnd w:id="27"/>
      <w:bookmarkEnd w:id="28"/>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9" w:name="_Toc401836457"/>
      <w:bookmarkStart w:id="30" w:name="_Toc422304850"/>
      <w:bookmarkStart w:id="31" w:name="_Toc422304865"/>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2" w:name="_Toc401836458"/>
      <w:bookmarkStart w:id="33" w:name="_Toc422304866"/>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9" w:type="dxa"/>
            <w:tcBorders>
              <w:top w:val="single" w:sz="8" w:space="0" w:color="auto"/>
              <w:bottom w:val="single" w:sz="8" w:space="0" w:color="auto"/>
            </w:tcBorders>
          </w:tcPr>
          <w:p>
            <w:pPr>
              <w:pStyle w:val="nTable"/>
              <w:spacing w:after="40"/>
              <w:rPr>
                <w:b/>
              </w:rPr>
            </w:pPr>
            <w:r>
              <w:rPr>
                <w:b/>
              </w:rPr>
              <w:t>Assent</w:t>
            </w:r>
          </w:p>
        </w:tc>
        <w:tc>
          <w:tcPr>
            <w:tcW w:w="2579"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Warehousemen’s Liens Act 1952</w:t>
            </w:r>
          </w:p>
        </w:tc>
        <w:tc>
          <w:tcPr>
            <w:tcW w:w="1139" w:type="dxa"/>
            <w:tcBorders>
              <w:top w:val="single" w:sz="8" w:space="0" w:color="auto"/>
            </w:tcBorders>
          </w:tcPr>
          <w:p>
            <w:pPr>
              <w:pStyle w:val="nTable"/>
              <w:spacing w:after="40"/>
            </w:pPr>
            <w:r>
              <w:t>26 of 1952 (1 Eliz. II No. 26)</w:t>
            </w:r>
          </w:p>
        </w:tc>
        <w:tc>
          <w:tcPr>
            <w:tcW w:w="1139" w:type="dxa"/>
            <w:tcBorders>
              <w:top w:val="single" w:sz="8" w:space="0" w:color="auto"/>
            </w:tcBorders>
          </w:tcPr>
          <w:p>
            <w:pPr>
              <w:pStyle w:val="nTable"/>
              <w:spacing w:after="40"/>
            </w:pPr>
            <w:r>
              <w:t>28 Nov 1952</w:t>
            </w:r>
          </w:p>
        </w:tc>
        <w:tc>
          <w:tcPr>
            <w:tcW w:w="2579" w:type="dxa"/>
            <w:tcBorders>
              <w:top w:val="single" w:sz="8" w:space="0" w:color="auto"/>
            </w:tcBorders>
          </w:tcPr>
          <w:p>
            <w:pPr>
              <w:pStyle w:val="nTable"/>
              <w:spacing w:after="40"/>
            </w:pPr>
            <w:r>
              <w:t xml:space="preserve">20 Feb 1953 (see s. 2 and </w:t>
            </w:r>
            <w:r>
              <w:rPr>
                <w:i/>
              </w:rPr>
              <w:t>Gazette</w:t>
            </w:r>
            <w:r>
              <w:t xml:space="preserve"> 20 Feb 1953 p. 365)</w:t>
            </w:r>
          </w:p>
        </w:tc>
      </w:tr>
      <w:tr>
        <w:trPr>
          <w:cantSplit/>
        </w:trPr>
        <w:tc>
          <w:tcPr>
            <w:tcW w:w="2268" w:type="dxa"/>
          </w:tcPr>
          <w:p>
            <w:pPr>
              <w:pStyle w:val="nTable"/>
              <w:spacing w:after="40"/>
              <w:ind w:right="113"/>
            </w:pPr>
            <w:r>
              <w:rPr>
                <w:i/>
              </w:rPr>
              <w:t>Warehousemen’s Liens Act Amendment Act 1954</w:t>
            </w:r>
          </w:p>
        </w:tc>
        <w:tc>
          <w:tcPr>
            <w:tcW w:w="1139" w:type="dxa"/>
          </w:tcPr>
          <w:p>
            <w:pPr>
              <w:pStyle w:val="nTable"/>
              <w:spacing w:after="40"/>
            </w:pPr>
            <w:r>
              <w:t>15 of 1954 (3 Eliz. II No. 15)</w:t>
            </w:r>
          </w:p>
        </w:tc>
        <w:tc>
          <w:tcPr>
            <w:tcW w:w="1139" w:type="dxa"/>
          </w:tcPr>
          <w:p>
            <w:pPr>
              <w:pStyle w:val="nTable"/>
              <w:spacing w:after="40"/>
            </w:pPr>
            <w:r>
              <w:t>22 Sep 1954</w:t>
            </w:r>
          </w:p>
        </w:tc>
        <w:tc>
          <w:tcPr>
            <w:tcW w:w="2579" w:type="dxa"/>
          </w:tcPr>
          <w:p>
            <w:pPr>
              <w:pStyle w:val="nTable"/>
              <w:spacing w:after="40"/>
            </w:pPr>
            <w:r>
              <w:t>22 Sep 1954</w:t>
            </w:r>
          </w:p>
        </w:tc>
      </w:tr>
      <w:tr>
        <w:trPr>
          <w:cantSplit/>
        </w:trPr>
        <w:tc>
          <w:tcPr>
            <w:tcW w:w="2268" w:type="dxa"/>
          </w:tcPr>
          <w:p>
            <w:pPr>
              <w:pStyle w:val="nTable"/>
              <w:spacing w:after="40"/>
              <w:ind w:right="113"/>
            </w:pPr>
            <w:r>
              <w:rPr>
                <w:i/>
              </w:rPr>
              <w:t>Decimal Currency Act 1965</w:t>
            </w:r>
          </w:p>
        </w:tc>
        <w:tc>
          <w:tcPr>
            <w:tcW w:w="1139" w:type="dxa"/>
          </w:tcPr>
          <w:p>
            <w:pPr>
              <w:pStyle w:val="nTable"/>
              <w:spacing w:after="40"/>
            </w:pPr>
            <w:r>
              <w:t>113 of 1965</w:t>
            </w:r>
          </w:p>
        </w:tc>
        <w:tc>
          <w:tcPr>
            <w:tcW w:w="1139" w:type="dxa"/>
          </w:tcPr>
          <w:p>
            <w:pPr>
              <w:pStyle w:val="nTable"/>
              <w:spacing w:after="40"/>
            </w:pPr>
            <w:r>
              <w:t>21 Dec 1965</w:t>
            </w:r>
          </w:p>
        </w:tc>
        <w:tc>
          <w:tcPr>
            <w:tcW w:w="2579" w:type="dxa"/>
          </w:tcPr>
          <w:p>
            <w:pPr>
              <w:pStyle w:val="nTable"/>
              <w:spacing w:after="40"/>
            </w:pPr>
            <w:r>
              <w:t>Act other than s. 4-9: 21 Dec 1965 (see s. 2(1));</w:t>
            </w:r>
            <w:r>
              <w:br/>
              <w:t>s. 4</w:t>
            </w:r>
            <w:r>
              <w:noBreakHyphen/>
              <w:t>9: 14 Feb 1966 (see s. 2(2))</w:t>
            </w:r>
          </w:p>
        </w:tc>
      </w:tr>
      <w:tr>
        <w:trPr>
          <w:cantSplit/>
        </w:trPr>
        <w:tc>
          <w:tcPr>
            <w:tcW w:w="2268" w:type="dxa"/>
          </w:tcPr>
          <w:p>
            <w:pPr>
              <w:pStyle w:val="nTable"/>
              <w:spacing w:after="40"/>
              <w:ind w:right="113"/>
            </w:pPr>
            <w:r>
              <w:rPr>
                <w:i/>
              </w:rPr>
              <w:t xml:space="preserve">Financial Administration Legislation Amendment Act 1993 </w:t>
            </w:r>
            <w:r>
              <w:t>s. 16(1)</w:t>
            </w:r>
          </w:p>
        </w:tc>
        <w:tc>
          <w:tcPr>
            <w:tcW w:w="1139" w:type="dxa"/>
          </w:tcPr>
          <w:p>
            <w:pPr>
              <w:pStyle w:val="nTable"/>
              <w:spacing w:after="40"/>
            </w:pPr>
            <w:r>
              <w:t>6 of 1993</w:t>
            </w:r>
          </w:p>
        </w:tc>
        <w:tc>
          <w:tcPr>
            <w:tcW w:w="1139" w:type="dxa"/>
          </w:tcPr>
          <w:p>
            <w:pPr>
              <w:pStyle w:val="nTable"/>
              <w:spacing w:after="40"/>
            </w:pPr>
            <w:r>
              <w:t>27 Aug 1993</w:t>
            </w:r>
          </w:p>
        </w:tc>
        <w:tc>
          <w:tcPr>
            <w:tcW w:w="2579" w:type="dxa"/>
          </w:tcPr>
          <w:p>
            <w:pPr>
              <w:pStyle w:val="nTable"/>
              <w:spacing w:after="40"/>
            </w:pPr>
            <w:r>
              <w:t>1 Jul 1993 (see s. 2(1))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9" w:type="dxa"/>
          </w:tcPr>
          <w:p>
            <w:pPr>
              <w:pStyle w:val="nTable"/>
              <w:spacing w:after="40"/>
            </w:pPr>
            <w:r>
              <w:t>14 of 1996</w:t>
            </w:r>
          </w:p>
        </w:tc>
        <w:tc>
          <w:tcPr>
            <w:tcW w:w="1139" w:type="dxa"/>
          </w:tcPr>
          <w:p>
            <w:pPr>
              <w:pStyle w:val="nTable"/>
              <w:spacing w:after="40"/>
            </w:pPr>
            <w:r>
              <w:t>28 Jun 1996</w:t>
            </w:r>
          </w:p>
        </w:tc>
        <w:tc>
          <w:tcPr>
            <w:tcW w:w="2579" w:type="dxa"/>
          </w:tcPr>
          <w:p>
            <w:pPr>
              <w:pStyle w:val="nTable"/>
              <w:spacing w:after="40"/>
            </w:pPr>
            <w:r>
              <w:t>1 Jul 1996 (see s. 2)</w:t>
            </w:r>
          </w:p>
        </w:tc>
      </w:tr>
      <w:tr>
        <w:trPr>
          <w:cantSplit/>
        </w:trPr>
        <w:tc>
          <w:tcPr>
            <w:tcW w:w="2268" w:type="dxa"/>
          </w:tcPr>
          <w:p>
            <w:pPr>
              <w:pStyle w:val="nTable"/>
              <w:spacing w:after="40"/>
              <w:ind w:right="113"/>
            </w:pPr>
            <w:r>
              <w:rPr>
                <w:i/>
              </w:rPr>
              <w:t xml:space="preserve">Financial Legislation Amendment Act 1996 </w:t>
            </w:r>
            <w:r>
              <w:t>s. 64</w:t>
            </w:r>
          </w:p>
        </w:tc>
        <w:tc>
          <w:tcPr>
            <w:tcW w:w="1139" w:type="dxa"/>
          </w:tcPr>
          <w:p>
            <w:pPr>
              <w:pStyle w:val="nTable"/>
              <w:spacing w:after="40"/>
            </w:pPr>
            <w:r>
              <w:t>49 of 1996</w:t>
            </w:r>
          </w:p>
        </w:tc>
        <w:tc>
          <w:tcPr>
            <w:tcW w:w="1139" w:type="dxa"/>
          </w:tcPr>
          <w:p>
            <w:pPr>
              <w:pStyle w:val="nTable"/>
              <w:spacing w:after="40"/>
            </w:pPr>
            <w:r>
              <w:t>25 Oct 1996</w:t>
            </w:r>
          </w:p>
        </w:tc>
        <w:tc>
          <w:tcPr>
            <w:tcW w:w="2579" w:type="dxa"/>
          </w:tcPr>
          <w:p>
            <w:pPr>
              <w:pStyle w:val="nTable"/>
              <w:spacing w:after="40"/>
            </w:pPr>
            <w:r>
              <w:t>25 Oct 1996 (see s. 2(1))</w:t>
            </w:r>
          </w:p>
        </w:tc>
      </w:tr>
      <w:tr>
        <w:trPr>
          <w:cantSplit/>
        </w:trPr>
        <w:tc>
          <w:tcPr>
            <w:tcW w:w="7125" w:type="dxa"/>
            <w:gridSpan w:val="4"/>
          </w:tcPr>
          <w:p>
            <w:pPr>
              <w:pStyle w:val="nTable"/>
              <w:spacing w:after="40"/>
            </w:pPr>
            <w:r>
              <w:rPr>
                <w:b/>
              </w:rPr>
              <w:t xml:space="preserve">Reprint of the </w:t>
            </w:r>
            <w:r>
              <w:rPr>
                <w:b/>
                <w:i/>
              </w:rPr>
              <w:t>Warehousemen’s Liens Act 1952</w:t>
            </w:r>
            <w:r>
              <w:rPr>
                <w:b/>
              </w:rPr>
              <w:t xml:space="preserve"> as at 2 Aug 2002</w:t>
            </w:r>
            <w:r>
              <w:rPr>
                <w:b/>
              </w:rPr>
              <w:br/>
            </w:r>
            <w:r>
              <w:t>(includes amendments listed above)</w:t>
            </w:r>
          </w:p>
        </w:tc>
      </w:tr>
      <w:tr>
        <w:trPr>
          <w:cantSplit/>
        </w:trPr>
        <w:tc>
          <w:tcPr>
            <w:tcW w:w="2268" w:type="dxa"/>
          </w:tcPr>
          <w:p>
            <w:pPr>
              <w:pStyle w:val="nTable"/>
              <w:spacing w:after="40"/>
              <w:ind w:right="113"/>
            </w:pPr>
            <w:r>
              <w:rPr>
                <w:i/>
                <w:snapToGrid w:val="0"/>
              </w:rPr>
              <w:t>Courts Legislation Amendment and Repeal Act 2004</w:t>
            </w:r>
            <w:r>
              <w:rPr>
                <w:snapToGrid w:val="0"/>
              </w:rPr>
              <w:t xml:space="preserve"> s. 141</w:t>
            </w:r>
          </w:p>
        </w:tc>
        <w:tc>
          <w:tcPr>
            <w:tcW w:w="1139" w:type="dxa"/>
          </w:tcPr>
          <w:p>
            <w:pPr>
              <w:pStyle w:val="nTable"/>
              <w:spacing w:after="40"/>
            </w:pPr>
            <w:r>
              <w:rPr>
                <w:snapToGrid w:val="0"/>
              </w:rPr>
              <w:t>59 of 2004</w:t>
            </w:r>
          </w:p>
        </w:tc>
        <w:tc>
          <w:tcPr>
            <w:tcW w:w="1139" w:type="dxa"/>
          </w:tcPr>
          <w:p>
            <w:pPr>
              <w:pStyle w:val="nTable"/>
              <w:spacing w:after="40"/>
            </w:pPr>
            <w:r>
              <w:t>23 Nov 2004</w:t>
            </w:r>
          </w:p>
        </w:tc>
        <w:tc>
          <w:tcPr>
            <w:tcW w:w="2579"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rPr>
              <w:t>Financial Legislation Amendment and Repeal Act 2006</w:t>
            </w:r>
            <w:r>
              <w:rPr>
                <w:iCs/>
              </w:rPr>
              <w:t xml:space="preserve"> s. 4</w:t>
            </w:r>
          </w:p>
        </w:tc>
        <w:tc>
          <w:tcPr>
            <w:tcW w:w="1139" w:type="dxa"/>
          </w:tcPr>
          <w:p>
            <w:pPr>
              <w:pStyle w:val="nTable"/>
              <w:spacing w:after="40"/>
              <w:rPr>
                <w:snapToGrid w:val="0"/>
              </w:rPr>
            </w:pPr>
            <w:r>
              <w:t>77 of 2006</w:t>
            </w:r>
          </w:p>
        </w:tc>
        <w:tc>
          <w:tcPr>
            <w:tcW w:w="1139" w:type="dxa"/>
          </w:tcPr>
          <w:p>
            <w:pPr>
              <w:pStyle w:val="nTable"/>
              <w:spacing w:after="40"/>
            </w:pPr>
            <w:r>
              <w:t>21 Dec 2006</w:t>
            </w:r>
          </w:p>
        </w:tc>
        <w:tc>
          <w:tcPr>
            <w:tcW w:w="2579" w:type="dxa"/>
          </w:tcPr>
          <w:p>
            <w:pPr>
              <w:pStyle w:val="nTable"/>
              <w:spacing w:after="40"/>
              <w:rPr>
                <w:snapToGrid w:val="0"/>
              </w:rPr>
            </w:pPr>
            <w:r>
              <w:t xml:space="preserve">1 Feb 2007 (see s. 2(1) and </w:t>
            </w:r>
            <w:r>
              <w:rPr>
                <w:i/>
                <w:iCs/>
              </w:rPr>
              <w:t>Gazette</w:t>
            </w:r>
            <w: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9" w:type="dxa"/>
          </w:tcPr>
          <w:p>
            <w:pPr>
              <w:pStyle w:val="nTable"/>
              <w:spacing w:after="40"/>
              <w:rPr>
                <w:snapToGrid w:val="0"/>
              </w:rPr>
            </w:pPr>
            <w:r>
              <w:rPr>
                <w:snapToGrid w:val="0"/>
              </w:rPr>
              <w:t>28 Jun 2010</w:t>
            </w:r>
          </w:p>
        </w:tc>
        <w:tc>
          <w:tcPr>
            <w:tcW w:w="2579"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25" w:type="dxa"/>
            <w:gridSpan w:val="4"/>
          </w:tcPr>
          <w:p>
            <w:pPr>
              <w:pStyle w:val="nTable"/>
              <w:spacing w:after="40"/>
              <w:rPr>
                <w:snapToGrid w:val="0"/>
              </w:rPr>
            </w:pPr>
            <w:r>
              <w:rPr>
                <w:b/>
              </w:rPr>
              <w:t xml:space="preserve">Reprint 2: The </w:t>
            </w:r>
            <w:r>
              <w:rPr>
                <w:b/>
                <w:i/>
              </w:rPr>
              <w:t>Warehousemen’s Liens Act 1952</w:t>
            </w:r>
            <w:r>
              <w:rPr>
                <w:b/>
              </w:rPr>
              <w:t xml:space="preserve"> as at 3 </w:t>
            </w:r>
            <w:r>
              <w:rPr>
                <w:b/>
                <w:bCs/>
              </w:rPr>
              <w:t>Dec</w:t>
            </w:r>
            <w:r>
              <w:rPr>
                <w:b/>
              </w:rPr>
              <w:t> 2010</w:t>
            </w:r>
            <w:r>
              <w:rPr>
                <w:b/>
              </w:rPr>
              <w:br/>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3 Div. 6</w:t>
            </w:r>
          </w:p>
        </w:tc>
        <w:tc>
          <w:tcPr>
            <w:tcW w:w="1139" w:type="dxa"/>
          </w:tcPr>
          <w:p>
            <w:pPr>
              <w:pStyle w:val="nTable"/>
              <w:spacing w:after="40"/>
              <w:rPr>
                <w:snapToGrid w:val="0"/>
              </w:rPr>
            </w:pPr>
            <w:r>
              <w:rPr>
                <w:snapToGrid w:val="0"/>
              </w:rPr>
              <w:t>42 of 2011</w:t>
            </w:r>
          </w:p>
        </w:tc>
        <w:tc>
          <w:tcPr>
            <w:tcW w:w="1139" w:type="dxa"/>
          </w:tcPr>
          <w:p>
            <w:pPr>
              <w:pStyle w:val="nTable"/>
              <w:spacing w:after="40"/>
              <w:rPr>
                <w:snapToGrid w:val="0"/>
              </w:rPr>
            </w:pPr>
            <w:r>
              <w:t>4 Oct 2011</w:t>
            </w:r>
          </w:p>
        </w:tc>
        <w:tc>
          <w:tcPr>
            <w:tcW w:w="2579"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i/>
                <w:snapToGrid w:val="0"/>
              </w:rPr>
            </w:pPr>
            <w:r>
              <w:rPr>
                <w:i/>
                <w:snapToGrid w:val="0"/>
              </w:rPr>
              <w:t>Warehousemen’s Liens Amendment Act 2014</w:t>
            </w:r>
          </w:p>
        </w:tc>
        <w:tc>
          <w:tcPr>
            <w:tcW w:w="1139" w:type="dxa"/>
            <w:tcBorders>
              <w:bottom w:val="single" w:sz="4" w:space="0" w:color="auto"/>
            </w:tcBorders>
          </w:tcPr>
          <w:p>
            <w:pPr>
              <w:pStyle w:val="nTable"/>
              <w:spacing w:after="40"/>
              <w:rPr>
                <w:snapToGrid w:val="0"/>
              </w:rPr>
            </w:pPr>
            <w:r>
              <w:rPr>
                <w:snapToGrid w:val="0"/>
                <w:lang w:val="en-US"/>
              </w:rPr>
              <w:t>12 of 2014</w:t>
            </w:r>
          </w:p>
        </w:tc>
        <w:tc>
          <w:tcPr>
            <w:tcW w:w="1139" w:type="dxa"/>
            <w:tcBorders>
              <w:bottom w:val="single" w:sz="4" w:space="0" w:color="auto"/>
            </w:tcBorders>
          </w:tcPr>
          <w:p>
            <w:pPr>
              <w:pStyle w:val="nTable"/>
              <w:spacing w:after="40"/>
            </w:pPr>
            <w:r>
              <w:rPr>
                <w:snapToGrid w:val="0"/>
                <w:lang w:val="en-US"/>
              </w:rPr>
              <w:t>24 Jun 2014</w:t>
            </w:r>
          </w:p>
        </w:tc>
        <w:tc>
          <w:tcPr>
            <w:tcW w:w="2579" w:type="dxa"/>
            <w:tcBorders>
              <w:bottom w:val="single" w:sz="4" w:space="0" w:color="auto"/>
            </w:tcBorders>
          </w:tcPr>
          <w:p>
            <w:pPr>
              <w:pStyle w:val="nTable"/>
              <w:spacing w:after="40"/>
              <w:rPr>
                <w:snapToGrid w:val="0"/>
              </w:rPr>
            </w:pPr>
            <w:r>
              <w:rPr>
                <w:snapToGrid w:val="0"/>
              </w:rPr>
              <w:t>s. 1 and 2: 24 Jun 2014 (see s. 2(a));</w:t>
            </w:r>
            <w:r>
              <w:rPr>
                <w:snapToGrid w:val="0"/>
              </w:rPr>
              <w:br/>
              <w:t xml:space="preserve">Act other than s. 1 and 2: 25 Oct 2014 (see s. 2(b) and </w:t>
            </w:r>
            <w:r>
              <w:rPr>
                <w:i/>
                <w:snapToGrid w:val="0"/>
              </w:rPr>
              <w:t>Gazette</w:t>
            </w:r>
            <w:r>
              <w:rPr>
                <w:snapToGrid w:val="0"/>
              </w:rPr>
              <w:t xml:space="preserve"> 24 Oct 2014 p. 4120)</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43</w:t>
            </w:r>
          </w:p>
        </w:tc>
        <w:tc>
          <w:tcPr>
            <w:tcW w:w="1139" w:type="dxa"/>
          </w:tcPr>
          <w:p>
            <w:pPr>
              <w:pStyle w:val="nTable"/>
              <w:spacing w:after="40"/>
              <w:rPr>
                <w:snapToGrid w:val="0"/>
              </w:rPr>
            </w:pPr>
            <w:r>
              <w:rPr>
                <w:snapToGrid w:val="0"/>
              </w:rPr>
              <w:t>17 of 2014</w:t>
            </w:r>
          </w:p>
        </w:tc>
        <w:tc>
          <w:tcPr>
            <w:tcW w:w="1139" w:type="dxa"/>
          </w:tcPr>
          <w:p>
            <w:pPr>
              <w:pStyle w:val="nTable"/>
              <w:spacing w:after="40"/>
            </w:pPr>
            <w:r>
              <w:t>2 Jul 2014</w:t>
            </w:r>
          </w:p>
        </w:tc>
        <w:tc>
          <w:tcPr>
            <w:tcW w:w="2579"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compilation.</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5" w:name="_Toc422304867"/>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warehouseman</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3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 w:name="WAFER_20141023140114" w:val="RemoveTocBookmarks,RunningHeaders"/>
    <w:docVar w:name="WAFER_20141023140114_GUID" w:val="06f88e98-11a1-44ac-baa4-5ece51641545"/>
    <w:docVar w:name="WAFER_20150617114232" w:val="ResetPageSize,UpdateArrangement,UpdateNTable"/>
    <w:docVar w:name="WAFER_20150617114232_GUID" w:val="5a745245-1dc1-4817-85e5-ef945ebff8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3412</Words>
  <Characters>15187</Characters>
  <Application>Microsoft Office Word</Application>
  <DocSecurity>0</DocSecurity>
  <Lines>460</Lines>
  <Paragraphs>229</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Company>Ministry of Justice</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1952 - 02-g0-01</dc:title>
  <dc:subject/>
  <dc:creator>Clare Dias</dc:creator>
  <cp:keywords/>
  <cp:lastModifiedBy>svcMRProcess</cp:lastModifiedBy>
  <cp:revision>4</cp:revision>
  <cp:lastPrinted>2010-12-08T05:16:00Z</cp:lastPrinted>
  <dcterms:created xsi:type="dcterms:W3CDTF">2015-06-17T03:46:00Z</dcterms:created>
  <dcterms:modified xsi:type="dcterms:W3CDTF">2015-06-17T03:46:00Z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20141025</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AsAtDate">
    <vt:lpwstr>25 Oct 2014</vt:lpwstr>
  </property>
  <property fmtid="{D5CDD505-2E9C-101B-9397-08002B2CF9AE}" pid="10" name="Suffix">
    <vt:lpwstr>02-g0-01</vt:lpwstr>
  </property>
</Properties>
</file>