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October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_Toc416788408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_Toc416788409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_Toc416788410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_Toc416788411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_Toc416788412 \h </w:instrText>
      </w:r>
      <w:r>
        <w:fldChar w:fldCharType="separate"/>
      </w:r>
      <w:r>
        <w:t>2</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_Toc416788413 \h </w:instrText>
      </w:r>
      <w:r>
        <w:fldChar w:fldCharType="separate"/>
      </w:r>
      <w:r>
        <w:t>3</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_Toc416788414 \h </w:instrText>
      </w:r>
      <w:r>
        <w:fldChar w:fldCharType="separate"/>
      </w:r>
      <w:r>
        <w:t>3</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_Toc416788415 \h </w:instrText>
      </w:r>
      <w:r>
        <w:fldChar w:fldCharType="separate"/>
      </w:r>
      <w:r>
        <w:t>3</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_Toc416788416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_Toc416788417 \h </w:instrText>
      </w:r>
      <w:r>
        <w:fldChar w:fldCharType="separate"/>
      </w:r>
      <w:r>
        <w:t>4</w:t>
      </w:r>
      <w:r>
        <w:fldChar w:fldCharType="end"/>
      </w:r>
    </w:p>
    <w:p>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_Toc416788418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_Toc416788420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L2 (general supply — low/medium voltage tariff)</w:t>
      </w:r>
      <w:r>
        <w:tab/>
      </w:r>
      <w:r>
        <w:fldChar w:fldCharType="begin"/>
      </w:r>
      <w:r>
        <w:instrText xml:space="preserve"> PAGEREF _Toc416788421 \h </w:instrText>
      </w:r>
      <w:r>
        <w:fldChar w:fldCharType="separate"/>
      </w:r>
      <w:r>
        <w:t>6</w:t>
      </w:r>
      <w:r>
        <w:fldChar w:fldCharType="end"/>
      </w:r>
    </w:p>
    <w:p>
      <w:pPr>
        <w:pStyle w:val="TOC8"/>
        <w:rPr>
          <w:rFonts w:asciiTheme="minorHAnsi" w:eastAsiaTheme="minorEastAsia" w:hAnsiTheme="minorHAnsi" w:cstheme="minorBidi"/>
          <w:szCs w:val="22"/>
        </w:rPr>
      </w:pPr>
      <w:r>
        <w:t>3.</w:t>
      </w:r>
      <w:r>
        <w:tab/>
        <w:t>Tariff L4 (general supply — low/medium voltage tariff)</w:t>
      </w:r>
      <w:r>
        <w:tab/>
      </w:r>
      <w:r>
        <w:fldChar w:fldCharType="begin"/>
      </w:r>
      <w:r>
        <w:instrText xml:space="preserve"> PAGEREF _Toc416788422 \h </w:instrText>
      </w:r>
      <w:r>
        <w:fldChar w:fldCharType="separate"/>
      </w:r>
      <w:r>
        <w:t>6</w:t>
      </w:r>
      <w:r>
        <w:fldChar w:fldCharType="end"/>
      </w:r>
    </w:p>
    <w:p>
      <w:pPr>
        <w:pStyle w:val="TOC8"/>
        <w:rPr>
          <w:rFonts w:asciiTheme="minorHAnsi" w:eastAsiaTheme="minorEastAsia" w:hAnsiTheme="minorHAnsi" w:cstheme="minorBidi"/>
          <w:szCs w:val="22"/>
        </w:rPr>
      </w:pPr>
      <w:r>
        <w:t>4.</w:t>
      </w:r>
      <w:r>
        <w:tab/>
        <w:t>Tariff M2 (general supply — high voltage tariff)</w:t>
      </w:r>
      <w:r>
        <w:tab/>
      </w:r>
      <w:r>
        <w:fldChar w:fldCharType="begin"/>
      </w:r>
      <w:r>
        <w:instrText xml:space="preserve"> PAGEREF _Toc416788423 \h </w:instrText>
      </w:r>
      <w:r>
        <w:fldChar w:fldCharType="separate"/>
      </w:r>
      <w:r>
        <w:t>7</w:t>
      </w:r>
      <w:r>
        <w:fldChar w:fldCharType="end"/>
      </w:r>
    </w:p>
    <w:p>
      <w:pPr>
        <w:pStyle w:val="TOC8"/>
        <w:rPr>
          <w:rFonts w:asciiTheme="minorHAnsi" w:eastAsiaTheme="minorEastAsia" w:hAnsiTheme="minorHAnsi" w:cstheme="minorBidi"/>
          <w:szCs w:val="22"/>
        </w:rPr>
      </w:pPr>
      <w:r>
        <w:t>5.</w:t>
      </w:r>
      <w:r>
        <w:tab/>
        <w:t>Tariff N2 (regional non</w:t>
      </w:r>
      <w:r>
        <w:noBreakHyphen/>
        <w:t>integrated systems — cost of supply tariff)</w:t>
      </w:r>
      <w:r>
        <w:tab/>
      </w:r>
      <w:r>
        <w:fldChar w:fldCharType="begin"/>
      </w:r>
      <w:r>
        <w:instrText xml:space="preserve"> PAGEREF _Toc416788424 \h </w:instrText>
      </w:r>
      <w:r>
        <w:fldChar w:fldCharType="separate"/>
      </w:r>
      <w:r>
        <w:t>7</w:t>
      </w:r>
      <w:r>
        <w:fldChar w:fldCharType="end"/>
      </w:r>
    </w:p>
    <w:p>
      <w:pPr>
        <w:pStyle w:val="TOC8"/>
        <w:rPr>
          <w:rFonts w:asciiTheme="minorHAnsi" w:eastAsiaTheme="minorEastAsia" w:hAnsiTheme="minorHAnsi" w:cstheme="minorBidi"/>
          <w:szCs w:val="22"/>
        </w:rPr>
      </w:pPr>
      <w:r>
        <w:t>6.</w:t>
      </w:r>
      <w:r>
        <w:tab/>
        <w:t>Tariff P2 (North West interconnected system — cost of supply tariff)</w:t>
      </w:r>
      <w:r>
        <w:tab/>
      </w:r>
      <w:r>
        <w:fldChar w:fldCharType="begin"/>
      </w:r>
      <w:r>
        <w:instrText xml:space="preserve"> PAGEREF _Toc416788425 \h </w:instrText>
      </w:r>
      <w:r>
        <w:fldChar w:fldCharType="separate"/>
      </w:r>
      <w:r>
        <w:t>8</w:t>
      </w:r>
      <w:r>
        <w:fldChar w:fldCharType="end"/>
      </w:r>
    </w:p>
    <w:p>
      <w:pPr>
        <w:pStyle w:val="TOC8"/>
        <w:rPr>
          <w:rFonts w:asciiTheme="minorHAnsi" w:eastAsiaTheme="minorEastAsia" w:hAnsiTheme="minorHAnsi" w:cstheme="minorBidi"/>
          <w:szCs w:val="22"/>
        </w:rPr>
      </w:pPr>
      <w:r>
        <w:t>7.</w:t>
      </w:r>
      <w:r>
        <w:tab/>
        <w:t>Tariff A2 (residential tariff)</w:t>
      </w:r>
      <w:r>
        <w:tab/>
      </w:r>
      <w:r>
        <w:fldChar w:fldCharType="begin"/>
      </w:r>
      <w:r>
        <w:instrText xml:space="preserve"> PAGEREF _Toc416788426 \h </w:instrText>
      </w:r>
      <w:r>
        <w:fldChar w:fldCharType="separate"/>
      </w:r>
      <w:r>
        <w:t>8</w:t>
      </w:r>
      <w:r>
        <w:fldChar w:fldCharType="end"/>
      </w:r>
    </w:p>
    <w:p>
      <w:pPr>
        <w:pStyle w:val="TOC8"/>
        <w:rPr>
          <w:rFonts w:asciiTheme="minorHAnsi" w:eastAsiaTheme="minorEastAsia" w:hAnsiTheme="minorHAnsi" w:cstheme="minorBidi"/>
          <w:szCs w:val="22"/>
        </w:rPr>
      </w:pPr>
      <w:r>
        <w:lastRenderedPageBreak/>
        <w:t>8.</w:t>
      </w:r>
      <w:r>
        <w:tab/>
        <w:t>Tariff C2 (special community service tariff)</w:t>
      </w:r>
      <w:r>
        <w:tab/>
      </w:r>
      <w:r>
        <w:fldChar w:fldCharType="begin"/>
      </w:r>
      <w:r>
        <w:instrText xml:space="preserve"> PAGEREF _Toc416788427 \h </w:instrText>
      </w:r>
      <w:r>
        <w:fldChar w:fldCharType="separate"/>
      </w:r>
      <w:r>
        <w:t>8</w:t>
      </w:r>
      <w:r>
        <w:fldChar w:fldCharType="end"/>
      </w:r>
    </w:p>
    <w:p>
      <w:pPr>
        <w:pStyle w:val="TOC8"/>
        <w:rPr>
          <w:rFonts w:asciiTheme="minorHAnsi" w:eastAsiaTheme="minorEastAsia" w:hAnsiTheme="minorHAnsi" w:cstheme="minorBidi"/>
          <w:szCs w:val="22"/>
        </w:rPr>
      </w:pPr>
      <w:r>
        <w:t>9.</w:t>
      </w:r>
      <w:r>
        <w:tab/>
        <w:t>Tariff D2 (special tariff for certain premises)</w:t>
      </w:r>
      <w:r>
        <w:tab/>
      </w:r>
      <w:r>
        <w:fldChar w:fldCharType="begin"/>
      </w:r>
      <w:r>
        <w:instrText xml:space="preserve"> PAGEREF _Toc416788428 \h </w:instrText>
      </w:r>
      <w:r>
        <w:fldChar w:fldCharType="separate"/>
      </w:r>
      <w:r>
        <w:t>9</w:t>
      </w:r>
      <w:r>
        <w:fldChar w:fldCharType="end"/>
      </w:r>
    </w:p>
    <w:p>
      <w:pPr>
        <w:pStyle w:val="TOC8"/>
        <w:rPr>
          <w:rFonts w:asciiTheme="minorHAnsi" w:eastAsiaTheme="minorEastAsia" w:hAnsiTheme="minorHAnsi" w:cstheme="minorBidi"/>
          <w:szCs w:val="22"/>
        </w:rPr>
      </w:pPr>
      <w:r>
        <w:t>10.</w:t>
      </w:r>
      <w:r>
        <w:tab/>
        <w:t>Tariff K2 (general supply with residential tariff)</w:t>
      </w:r>
      <w:r>
        <w:tab/>
      </w:r>
      <w:r>
        <w:fldChar w:fldCharType="begin"/>
      </w:r>
      <w:r>
        <w:instrText xml:space="preserve"> PAGEREF _Toc416788429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installations</w:t>
      </w:r>
      <w:r>
        <w:tab/>
      </w:r>
      <w:r>
        <w:fldChar w:fldCharType="begin"/>
      </w:r>
      <w:r>
        <w:instrText xml:space="preserve"> PAGEREF _Toc416788433 \h </w:instrText>
      </w:r>
      <w:r>
        <w:fldChar w:fldCharType="separate"/>
      </w:r>
      <w:r>
        <w:t>13</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_Toc416788434 \h </w:instrText>
      </w:r>
      <w:r>
        <w:fldChar w:fldCharType="separate"/>
      </w:r>
      <w:r>
        <w:t>13</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_Toc416788435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_Toc416788439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October 2014</w:t>
            </w:r>
          </w:p>
        </w:tc>
      </w:tr>
    </w:tbl>
    <w:p>
      <w:pPr>
        <w:pStyle w:val="WA"/>
        <w:spacing w:before="12"/>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3" w:name="_Toc401908194"/>
      <w:bookmarkStart w:id="4" w:name="_Toc416788408"/>
      <w:r>
        <w:rPr>
          <w:rStyle w:val="CharSectno"/>
        </w:rPr>
        <w:t>1</w:t>
      </w:r>
      <w:r>
        <w:t>.</w:t>
      </w:r>
      <w:r>
        <w:tab/>
        <w:t>Citation</w:t>
      </w:r>
      <w:bookmarkEnd w:id="3"/>
      <w:bookmarkEnd w:id="4"/>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5" w:name="_Toc401908195"/>
      <w:bookmarkStart w:id="6" w:name="_Toc416788409"/>
      <w:r>
        <w:rPr>
          <w:rStyle w:val="CharSectno"/>
        </w:rPr>
        <w:t>2</w:t>
      </w:r>
      <w:r>
        <w:t>.</w:t>
      </w:r>
      <w:r>
        <w:tab/>
        <w:t>Commencement</w:t>
      </w:r>
      <w:bookmarkEnd w:id="5"/>
      <w:bookmarkEnd w:id="6"/>
    </w:p>
    <w:p>
      <w:pPr>
        <w:pStyle w:val="Subsection"/>
      </w:pPr>
      <w:r>
        <w:tab/>
      </w:r>
      <w:r>
        <w:tab/>
        <w:t>These by</w:t>
      </w:r>
      <w:r>
        <w:noBreakHyphen/>
        <w:t>laws come into operation on 1 April 2006.</w:t>
      </w:r>
    </w:p>
    <w:p>
      <w:pPr>
        <w:pStyle w:val="Heading5"/>
        <w:rPr>
          <w:snapToGrid w:val="0"/>
        </w:rPr>
      </w:pPr>
      <w:bookmarkStart w:id="7" w:name="_Toc401908196"/>
      <w:bookmarkStart w:id="8" w:name="_Toc416788410"/>
      <w:r>
        <w:rPr>
          <w:rStyle w:val="CharSectno"/>
        </w:rPr>
        <w:t>3</w:t>
      </w:r>
      <w:r>
        <w:t>.</w:t>
      </w:r>
      <w:r>
        <w:tab/>
      </w:r>
      <w:r>
        <w:rPr>
          <w:snapToGrid w:val="0"/>
        </w:rPr>
        <w:t>Terms used</w:t>
      </w:r>
      <w:bookmarkEnd w:id="7"/>
      <w:bookmarkEnd w:id="8"/>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spacing w:val="40"/>
        </w:rPr>
        <w:t>f</w:t>
      </w:r>
      <w:r>
        <w:t xml:space="preserve"> means Tariff A2;</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 29 Jun 2012 p. 2900; 22 Aug 2014 p. 3017.]</w:t>
      </w:r>
    </w:p>
    <w:p>
      <w:pPr>
        <w:pStyle w:val="Ednotesection"/>
      </w:pPr>
      <w:r>
        <w:t>[</w:t>
      </w:r>
      <w:r>
        <w:rPr>
          <w:b/>
        </w:rPr>
        <w:t>4A.</w:t>
      </w:r>
      <w:r>
        <w:tab/>
        <w:t>Deleted in Gazette 22 Aug 2014 p. 3017.]</w:t>
      </w:r>
    </w:p>
    <w:p>
      <w:pPr>
        <w:pStyle w:val="Heading5"/>
        <w:rPr>
          <w:snapToGrid w:val="0"/>
        </w:rPr>
      </w:pPr>
      <w:bookmarkStart w:id="9" w:name="_Toc401908197"/>
      <w:bookmarkStart w:id="10" w:name="_Toc416788411"/>
      <w:r>
        <w:rPr>
          <w:rStyle w:val="CharSectno"/>
        </w:rPr>
        <w:t>4</w:t>
      </w:r>
      <w:r>
        <w:t>.</w:t>
      </w:r>
      <w:r>
        <w:tab/>
      </w:r>
      <w:r>
        <w:rPr>
          <w:snapToGrid w:val="0"/>
        </w:rPr>
        <w:t>Electricity charges</w:t>
      </w:r>
      <w:bookmarkEnd w:id="9"/>
      <w:bookmarkEnd w:id="10"/>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4093-4.]</w:t>
      </w:r>
    </w:p>
    <w:p>
      <w:pPr>
        <w:pStyle w:val="Heading5"/>
      </w:pPr>
      <w:bookmarkStart w:id="11" w:name="_Toc401908198"/>
      <w:bookmarkStart w:id="12" w:name="_Toc416788412"/>
      <w:r>
        <w:rPr>
          <w:rStyle w:val="CharSectno"/>
        </w:rPr>
        <w:t>5</w:t>
      </w:r>
      <w:r>
        <w:t>.</w:t>
      </w:r>
      <w:r>
        <w:tab/>
        <w:t>Application of residential tariffs</w:t>
      </w:r>
      <w:bookmarkEnd w:id="11"/>
      <w:bookmarkEnd w:id="12"/>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13" w:name="_Toc401908199"/>
      <w:bookmarkStart w:id="14" w:name="_Toc416788413"/>
      <w:r>
        <w:rPr>
          <w:rStyle w:val="CharSectno"/>
        </w:rPr>
        <w:t>6</w:t>
      </w:r>
      <w:r>
        <w:t>.</w:t>
      </w:r>
      <w:r>
        <w:tab/>
        <w:t>Meter rental</w:t>
      </w:r>
      <w:bookmarkEnd w:id="13"/>
      <w:bookmarkEnd w:id="1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15" w:name="_Toc401908200"/>
      <w:bookmarkStart w:id="16" w:name="_Toc416788414"/>
      <w:r>
        <w:rPr>
          <w:rStyle w:val="CharSectno"/>
        </w:rPr>
        <w:t>7</w:t>
      </w:r>
      <w:r>
        <w:t>.</w:t>
      </w:r>
      <w:r>
        <w:tab/>
        <w:t>Fees</w:t>
      </w:r>
      <w:bookmarkEnd w:id="15"/>
      <w:bookmarkEnd w:id="16"/>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7" w:name="_Toc401908201"/>
      <w:bookmarkStart w:id="18" w:name="_Toc416788415"/>
      <w:r>
        <w:rPr>
          <w:rStyle w:val="CharSectno"/>
        </w:rPr>
        <w:t>8</w:t>
      </w:r>
      <w:r>
        <w:t>.</w:t>
      </w:r>
      <w:r>
        <w:tab/>
        <w:t>Payment</w:t>
      </w:r>
      <w:bookmarkEnd w:id="17"/>
      <w:bookmarkEnd w:id="18"/>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19" w:name="_Toc401908202"/>
      <w:bookmarkStart w:id="20" w:name="_Toc416788416"/>
      <w:r>
        <w:rPr>
          <w:rStyle w:val="CharSectno"/>
        </w:rPr>
        <w:t>10</w:t>
      </w:r>
      <w:r>
        <w:t>.</w:t>
      </w:r>
      <w:r>
        <w:tab/>
        <w:t>Calculation of charges</w:t>
      </w:r>
      <w:bookmarkEnd w:id="19"/>
      <w:bookmarkEnd w:id="2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21" w:name="_Toc401908203"/>
      <w:bookmarkStart w:id="22" w:name="_Toc416788417"/>
      <w:r>
        <w:rPr>
          <w:rStyle w:val="CharSectno"/>
        </w:rPr>
        <w:t>11</w:t>
      </w:r>
      <w:r>
        <w:t>.</w:t>
      </w:r>
      <w:r>
        <w:tab/>
        <w:t>Changes in rates</w:t>
      </w:r>
      <w:bookmarkEnd w:id="21"/>
      <w:bookmarkEnd w:id="2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3" w:name="_Toc401908204"/>
      <w:bookmarkStart w:id="24" w:name="_Toc416788418"/>
      <w:r>
        <w:rPr>
          <w:rStyle w:val="CharSectno"/>
        </w:rPr>
        <w:t>12</w:t>
      </w:r>
      <w:r>
        <w:t>.</w:t>
      </w:r>
      <w:r>
        <w:tab/>
        <w:t>Prescribed rate of interest for s. 62(16) of Act</w:t>
      </w:r>
      <w:bookmarkEnd w:id="23"/>
      <w:bookmarkEnd w:id="2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 w:name="_Toc399137918"/>
      <w:bookmarkStart w:id="26" w:name="_Toc401908205"/>
      <w:bookmarkStart w:id="27" w:name="_Toc416788387"/>
      <w:bookmarkStart w:id="28" w:name="_Toc416788419"/>
      <w:r>
        <w:rPr>
          <w:rStyle w:val="CharSchNo"/>
        </w:rPr>
        <w:t>Schedule 1</w:t>
      </w:r>
      <w:r>
        <w:rPr>
          <w:rStyle w:val="CharSDivNo"/>
        </w:rPr>
        <w:t> </w:t>
      </w:r>
      <w:r>
        <w:t>—</w:t>
      </w:r>
      <w:r>
        <w:rPr>
          <w:rStyle w:val="CharSDivText"/>
        </w:rPr>
        <w:t> </w:t>
      </w:r>
      <w:r>
        <w:rPr>
          <w:rStyle w:val="CharSchText"/>
        </w:rPr>
        <w:t>Supply charges</w:t>
      </w:r>
      <w:bookmarkEnd w:id="25"/>
      <w:bookmarkEnd w:id="26"/>
      <w:bookmarkEnd w:id="27"/>
      <w:bookmarkEnd w:id="28"/>
    </w:p>
    <w:p>
      <w:pPr>
        <w:pStyle w:val="yShoulderClause"/>
      </w:pPr>
      <w:r>
        <w:t>[bl. 3, 4(1) and 10(1)]</w:t>
      </w:r>
    </w:p>
    <w:p>
      <w:pPr>
        <w:pStyle w:val="yFootnoteheading"/>
      </w:pPr>
      <w:r>
        <w:tab/>
        <w:t>[Heading inserted in Gazette 22 Aug 2014 p. 3018.]</w:t>
      </w:r>
    </w:p>
    <w:p>
      <w:pPr>
        <w:pStyle w:val="yHeading5"/>
      </w:pPr>
      <w:bookmarkStart w:id="29" w:name="_Toc401908206"/>
      <w:bookmarkStart w:id="30" w:name="_Toc416788420"/>
      <w:r>
        <w:rPr>
          <w:rStyle w:val="CharSClsNo"/>
        </w:rPr>
        <w:t>1</w:t>
      </w:r>
      <w:r>
        <w:t>.</w:t>
      </w:r>
      <w:r>
        <w:tab/>
        <w:t>Terms used</w:t>
      </w:r>
      <w:bookmarkEnd w:id="29"/>
      <w:bookmarkEnd w:id="30"/>
    </w:p>
    <w:p>
      <w:pPr>
        <w:pStyle w:val="ySubsection"/>
      </w:pPr>
      <w:r>
        <w:tab/>
      </w:r>
      <w:r>
        <w:tab/>
        <w:t xml:space="preserve">In this Schedule — </w:t>
      </w:r>
    </w:p>
    <w:p>
      <w:pPr>
        <w:pStyle w:val="yDefstart"/>
      </w:pPr>
      <w:r>
        <w:tab/>
      </w:r>
      <w:r>
        <w:rPr>
          <w:b/>
          <w:i/>
        </w:rPr>
        <w:t>North West interconnected system</w:t>
      </w:r>
      <w:r>
        <w:t xml:space="preserve"> has the meaning given in the </w:t>
      </w:r>
      <w:r>
        <w:rPr>
          <w:i/>
        </w:rPr>
        <w:t>Electricity Transmission and Distribution Systems (Access) Act 1994</w:t>
      </w:r>
      <w:r>
        <w:t xml:space="preserve"> section 2;</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b/>
          <w:i/>
        </w:rPr>
        <w:t>South West interconnected system</w:t>
      </w:r>
      <w:r>
        <w:t xml:space="preserve"> has the meaning given in the </w:t>
      </w:r>
      <w:r>
        <w:rPr>
          <w:i/>
        </w:rPr>
        <w:t>Electricity Industry Act 2004</w:t>
      </w:r>
      <w:r>
        <w:t xml:space="preserve"> section 3.</w:t>
      </w:r>
    </w:p>
    <w:p>
      <w:pPr>
        <w:pStyle w:val="yFootnotesection"/>
      </w:pPr>
      <w:r>
        <w:tab/>
        <w:t>[Clause 1 inserted in Gazette 22 Aug 2014 p. 3018.]</w:t>
      </w:r>
    </w:p>
    <w:p>
      <w:pPr>
        <w:pStyle w:val="yHeading5"/>
      </w:pPr>
      <w:bookmarkStart w:id="31" w:name="_Toc401908207"/>
      <w:bookmarkStart w:id="32" w:name="_Toc416788421"/>
      <w:r>
        <w:rPr>
          <w:rStyle w:val="CharSClsNo"/>
        </w:rPr>
        <w:t>2</w:t>
      </w:r>
      <w:r>
        <w:t>.</w:t>
      </w:r>
      <w:r>
        <w:tab/>
        <w:t>Tariff L2 (general supply — low/medium voltage tariff)</w:t>
      </w:r>
      <w:bookmarkEnd w:id="31"/>
      <w:bookmarkEnd w:id="32"/>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42.8472 cents per day; and</w:t>
      </w:r>
    </w:p>
    <w:p>
      <w:pPr>
        <w:pStyle w:val="yIndenta"/>
      </w:pPr>
      <w:r>
        <w:tab/>
        <w:t>(b)</w:t>
      </w:r>
      <w:r>
        <w:tab/>
        <w:t xml:space="preserve">a charge for metered consumption at the rate of — </w:t>
      </w:r>
    </w:p>
    <w:p>
      <w:pPr>
        <w:pStyle w:val="yIndenti0"/>
      </w:pPr>
      <w:r>
        <w:tab/>
        <w:t>(i)</w:t>
      </w:r>
      <w:r>
        <w:tab/>
        <w:t>28.1603 cents per unit for the first 1 650 units per day; and</w:t>
      </w:r>
    </w:p>
    <w:p>
      <w:pPr>
        <w:pStyle w:val="yIndenti0"/>
      </w:pPr>
      <w:r>
        <w:tab/>
        <w:t>(ii)</w:t>
      </w:r>
      <w:r>
        <w:tab/>
        <w:t>25.4102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22 Aug 2014 p. 3018.]</w:t>
      </w:r>
    </w:p>
    <w:p>
      <w:pPr>
        <w:pStyle w:val="yHeading5"/>
      </w:pPr>
      <w:bookmarkStart w:id="33" w:name="_Toc401908208"/>
      <w:bookmarkStart w:id="34" w:name="_Toc416788422"/>
      <w:r>
        <w:rPr>
          <w:rStyle w:val="CharSClsNo"/>
        </w:rPr>
        <w:t>3</w:t>
      </w:r>
      <w:r>
        <w:t>.</w:t>
      </w:r>
      <w:r>
        <w:tab/>
        <w:t>Tariff L4 (general supply — low/medium voltage tariff)</w:t>
      </w:r>
      <w:bookmarkEnd w:id="33"/>
      <w:bookmarkEnd w:id="34"/>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54.9960 cents per day; and</w:t>
      </w:r>
    </w:p>
    <w:p>
      <w:pPr>
        <w:pStyle w:val="yIndenta"/>
      </w:pPr>
      <w:r>
        <w:tab/>
        <w:t>(b)</w:t>
      </w:r>
      <w:r>
        <w:tab/>
        <w:t xml:space="preserve">a charge for metered consumption at the rate of — </w:t>
      </w:r>
    </w:p>
    <w:p>
      <w:pPr>
        <w:pStyle w:val="yIndenti0"/>
      </w:pPr>
      <w:r>
        <w:tab/>
        <w:t>(i)</w:t>
      </w:r>
      <w:r>
        <w:tab/>
        <w:t>36.1369 cents per unit for the first 1 650 units per day; and</w:t>
      </w:r>
    </w:p>
    <w:p>
      <w:pPr>
        <w:pStyle w:val="yIndenti0"/>
      </w:pPr>
      <w:r>
        <w:tab/>
        <w:t>(ii)</w:t>
      </w:r>
      <w:r>
        <w:tab/>
        <w:t>32.6175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22 Aug 2014 p. 3018</w:t>
      </w:r>
      <w:r>
        <w:noBreakHyphen/>
        <w:t>19.]</w:t>
      </w:r>
    </w:p>
    <w:p>
      <w:pPr>
        <w:pStyle w:val="yHeading5"/>
      </w:pPr>
      <w:bookmarkStart w:id="35" w:name="_Toc401908209"/>
      <w:bookmarkStart w:id="36" w:name="_Toc416788423"/>
      <w:r>
        <w:rPr>
          <w:rStyle w:val="CharSClsNo"/>
        </w:rPr>
        <w:t>4</w:t>
      </w:r>
      <w:r>
        <w:t>.</w:t>
      </w:r>
      <w:r>
        <w:tab/>
        <w:t>Tariff M2 (general supply — high voltage tariff)</w:t>
      </w:r>
      <w:bookmarkEnd w:id="35"/>
      <w:bookmarkEnd w:id="36"/>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61.7368 cents per day; and</w:t>
      </w:r>
    </w:p>
    <w:p>
      <w:pPr>
        <w:pStyle w:val="yIndenta"/>
      </w:pPr>
      <w:r>
        <w:tab/>
        <w:t>(b)</w:t>
      </w:r>
      <w:r>
        <w:tab/>
        <w:t xml:space="preserve">a charge for metered consumption at the rate of — </w:t>
      </w:r>
    </w:p>
    <w:p>
      <w:pPr>
        <w:pStyle w:val="yIndenti0"/>
      </w:pPr>
      <w:r>
        <w:tab/>
        <w:t>(i)</w:t>
      </w:r>
      <w:r>
        <w:tab/>
        <w:t>39.1929 cents per unit for the first 1 650 units per day; and</w:t>
      </w:r>
    </w:p>
    <w:p>
      <w:pPr>
        <w:pStyle w:val="yIndenti0"/>
      </w:pPr>
      <w:r>
        <w:tab/>
        <w:t>(ii)</w:t>
      </w:r>
      <w:r>
        <w:tab/>
        <w:t>35.1999 cents per unit for all units exceeding 1 650 units per day.</w:t>
      </w:r>
    </w:p>
    <w:p>
      <w:pPr>
        <w:pStyle w:val="yFootnotesection"/>
      </w:pPr>
      <w:r>
        <w:tab/>
        <w:t>[Clause 4 inserted in Gazette 22 Aug 2014 p. 3019.]</w:t>
      </w:r>
    </w:p>
    <w:p>
      <w:pPr>
        <w:pStyle w:val="yHeading5"/>
      </w:pPr>
      <w:bookmarkStart w:id="37" w:name="_Toc401908210"/>
      <w:bookmarkStart w:id="38" w:name="_Toc416788424"/>
      <w:r>
        <w:rPr>
          <w:rStyle w:val="CharSClsNo"/>
        </w:rPr>
        <w:t>5</w:t>
      </w:r>
      <w:r>
        <w:t>.</w:t>
      </w:r>
      <w:r>
        <w:tab/>
        <w:t>Tariff N2 (regional non</w:t>
      </w:r>
      <w:r>
        <w:noBreakHyphen/>
        <w:t>integrated systems — cost of supply tariff)</w:t>
      </w:r>
      <w:bookmarkEnd w:id="37"/>
      <w:bookmarkEnd w:id="38"/>
    </w:p>
    <w:p>
      <w:pPr>
        <w:pStyle w:val="ySubsection"/>
      </w:pPr>
      <w:r>
        <w:tab/>
        <w:t>(1)</w:t>
      </w:r>
      <w:r>
        <w:tab/>
        <w:t>Tariff N2 applies to electricity supplied from a regional non</w:t>
      </w:r>
      <w:r>
        <w:noBreakHyphen/>
        <w:t xml:space="preserve">integrated system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ySubsection"/>
        <w:keepNext/>
      </w:pPr>
      <w:r>
        <w:tab/>
        <w:t>(2)</w:t>
      </w:r>
      <w:r>
        <w:tab/>
        <w:t xml:space="preserve">Tariff N2 comprises — </w:t>
      </w:r>
    </w:p>
    <w:p>
      <w:pPr>
        <w:pStyle w:val="yIndenta"/>
      </w:pPr>
      <w:r>
        <w:tab/>
        <w:t>(a)</w:t>
      </w:r>
      <w:r>
        <w:tab/>
        <w:t>a fixed charge at the rate of 626.0430 cents per day; and</w:t>
      </w:r>
    </w:p>
    <w:p>
      <w:pPr>
        <w:pStyle w:val="yIndenta"/>
      </w:pPr>
      <w:r>
        <w:tab/>
        <w:t>(b)</w:t>
      </w:r>
      <w:r>
        <w:tab/>
        <w:t>a charge for metered consumption at the rate of 57.9480 cents per unit.</w:t>
      </w:r>
    </w:p>
    <w:p>
      <w:pPr>
        <w:pStyle w:val="yFootnotesection"/>
      </w:pPr>
      <w:r>
        <w:tab/>
        <w:t>[Clause 5 inserted in Gazette 22 Aug 2014 p. 3019.]</w:t>
      </w:r>
    </w:p>
    <w:p>
      <w:pPr>
        <w:pStyle w:val="yHeading5"/>
      </w:pPr>
      <w:bookmarkStart w:id="39" w:name="_Toc401908211"/>
      <w:bookmarkStart w:id="40" w:name="_Toc416788425"/>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39"/>
      <w:bookmarkEnd w:id="40"/>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ySubsection"/>
      </w:pPr>
      <w:r>
        <w:tab/>
        <w:t>(2)</w:t>
      </w:r>
      <w:r>
        <w:tab/>
        <w:t xml:space="preserve">Tariff P2 comprises — </w:t>
      </w:r>
    </w:p>
    <w:p>
      <w:pPr>
        <w:pStyle w:val="yIndenta"/>
      </w:pPr>
      <w:r>
        <w:tab/>
        <w:t>(a)</w:t>
      </w:r>
      <w:r>
        <w:tab/>
        <w:t>a fixed charge at the rate of 626.0430 cents per day; and</w:t>
      </w:r>
    </w:p>
    <w:p>
      <w:pPr>
        <w:pStyle w:val="yIndenta"/>
      </w:pPr>
      <w:r>
        <w:tab/>
        <w:t>(b)</w:t>
      </w:r>
      <w:r>
        <w:tab/>
        <w:t>a charge for metered consumption at the rate of 42.9550 cents per unit.</w:t>
      </w:r>
    </w:p>
    <w:p>
      <w:pPr>
        <w:pStyle w:val="yFootnotesection"/>
      </w:pPr>
      <w:r>
        <w:tab/>
        <w:t>[Clause 6 inserted in Gazette 22 Aug 2014 p. 3019.]</w:t>
      </w:r>
    </w:p>
    <w:p>
      <w:pPr>
        <w:pStyle w:val="yHeading5"/>
      </w:pPr>
      <w:bookmarkStart w:id="41" w:name="_Toc401908212"/>
      <w:bookmarkStart w:id="42" w:name="_Toc416788426"/>
      <w:r>
        <w:rPr>
          <w:rStyle w:val="CharSClsNo"/>
        </w:rPr>
        <w:t>7</w:t>
      </w:r>
      <w:r>
        <w:t>.</w:t>
      </w:r>
      <w:r>
        <w:tab/>
        <w:t>Tariff A2 (residential tariff)</w:t>
      </w:r>
      <w:bookmarkEnd w:id="41"/>
      <w:bookmarkEnd w:id="42"/>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45.1516 cents per day or, for multiple dwellings supplied through one metered supply point, a fixed charge at the rate of — </w:t>
      </w:r>
    </w:p>
    <w:p>
      <w:pPr>
        <w:pStyle w:val="yIndenti0"/>
      </w:pPr>
      <w:r>
        <w:tab/>
        <w:t>(i)</w:t>
      </w:r>
      <w:r>
        <w:tab/>
        <w:t>45.1516 cents per day for the first dwelling; and</w:t>
      </w:r>
    </w:p>
    <w:p>
      <w:pPr>
        <w:pStyle w:val="yIndenti0"/>
      </w:pPr>
      <w:r>
        <w:tab/>
        <w:t>(ii)</w:t>
      </w:r>
      <w:r>
        <w:tab/>
        <w:t>35.0581 cents per day for each additional dwelling;</w:t>
      </w:r>
    </w:p>
    <w:p>
      <w:pPr>
        <w:pStyle w:val="yIndenta"/>
      </w:pPr>
      <w:r>
        <w:tab/>
      </w:r>
      <w:r>
        <w:tab/>
        <w:t>and</w:t>
      </w:r>
    </w:p>
    <w:p>
      <w:pPr>
        <w:pStyle w:val="yIndenta"/>
      </w:pPr>
      <w:r>
        <w:tab/>
        <w:t>(b)</w:t>
      </w:r>
      <w:r>
        <w:tab/>
        <w:t>a charge for metered consumption at the rate of 24.5961 cents per unit.</w:t>
      </w:r>
    </w:p>
    <w:p>
      <w:pPr>
        <w:pStyle w:val="yFootnotesection"/>
      </w:pPr>
      <w:r>
        <w:tab/>
        <w:t>[Clause 7 inserted in Gazette 22 Aug 2014 p. 3019</w:t>
      </w:r>
      <w:r>
        <w:noBreakHyphen/>
        <w:t>20.]</w:t>
      </w:r>
    </w:p>
    <w:p>
      <w:pPr>
        <w:pStyle w:val="yHeading5"/>
      </w:pPr>
      <w:bookmarkStart w:id="43" w:name="_Toc401908213"/>
      <w:bookmarkStart w:id="44" w:name="_Toc416788427"/>
      <w:r>
        <w:rPr>
          <w:rStyle w:val="CharSClsNo"/>
        </w:rPr>
        <w:t>8</w:t>
      </w:r>
      <w:r>
        <w:t>.</w:t>
      </w:r>
      <w:r>
        <w:tab/>
        <w:t>Tariff C2 (special community service tariff)</w:t>
      </w:r>
      <w:bookmarkEnd w:id="43"/>
      <w:bookmarkEnd w:id="44"/>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40.7568 cents per day; and</w:t>
      </w:r>
    </w:p>
    <w:p>
      <w:pPr>
        <w:pStyle w:val="yIndenta"/>
      </w:pPr>
      <w:r>
        <w:tab/>
        <w:t>(b)</w:t>
      </w:r>
      <w:r>
        <w:tab/>
        <w:t xml:space="preserve">a charge for metered consumption at the rate of — </w:t>
      </w:r>
    </w:p>
    <w:p>
      <w:pPr>
        <w:pStyle w:val="yIndenti0"/>
      </w:pPr>
      <w:r>
        <w:tab/>
        <w:t>(i)</w:t>
      </w:r>
      <w:r>
        <w:tab/>
        <w:t>22.2159 cents per unit for the first 20 units per day; and</w:t>
      </w:r>
    </w:p>
    <w:p>
      <w:pPr>
        <w:pStyle w:val="yIndenti0"/>
      </w:pPr>
      <w:r>
        <w:tab/>
        <w:t>(ii)</w:t>
      </w:r>
      <w:r>
        <w:tab/>
        <w:t>27.8344 cents for the next 1 630 units per day; and</w:t>
      </w:r>
    </w:p>
    <w:p>
      <w:pPr>
        <w:pStyle w:val="yIndenti0"/>
      </w:pPr>
      <w:r>
        <w:tab/>
        <w:t>(iii)</w:t>
      </w:r>
      <w:r>
        <w:tab/>
        <w:t>25.1162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22 Aug 2014 p. 3020.]</w:t>
      </w:r>
    </w:p>
    <w:p>
      <w:pPr>
        <w:pStyle w:val="yHeading5"/>
      </w:pPr>
      <w:bookmarkStart w:id="45" w:name="_Toc401908214"/>
      <w:bookmarkStart w:id="46" w:name="_Toc416788428"/>
      <w:r>
        <w:rPr>
          <w:rStyle w:val="CharSClsNo"/>
        </w:rPr>
        <w:t>9</w:t>
      </w:r>
      <w:r>
        <w:t>.</w:t>
      </w:r>
      <w:r>
        <w:tab/>
        <w:t>Tariff D2 (special tariff for certain premises)</w:t>
      </w:r>
      <w:bookmarkEnd w:id="45"/>
      <w:bookmarkEnd w:id="46"/>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37.9691 cents per day; and</w:t>
      </w:r>
    </w:p>
    <w:p>
      <w:pPr>
        <w:pStyle w:val="yIndenta"/>
      </w:pPr>
      <w:r>
        <w:tab/>
        <w:t>(b)</w:t>
      </w:r>
      <w:r>
        <w:tab/>
        <w:t>if under subclause (3) there is deemed to be more than one equivalent domestic residence in the premises, a charge of 29.4813 cents per day for each equivalent domestic residence except the first that is deemed to be in the premises; and</w:t>
      </w:r>
    </w:p>
    <w:p>
      <w:pPr>
        <w:pStyle w:val="yIndenta"/>
      </w:pPr>
      <w:r>
        <w:tab/>
        <w:t>(c)</w:t>
      </w:r>
      <w:r>
        <w:tab/>
        <w:t>a charge for metered consumption at the rate of 20.6963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22 Aug 2014 p. 3021.]</w:t>
      </w:r>
    </w:p>
    <w:p>
      <w:pPr>
        <w:pStyle w:val="yHeading5"/>
      </w:pPr>
      <w:bookmarkStart w:id="47" w:name="_Toc401908215"/>
      <w:bookmarkStart w:id="48" w:name="_Toc416788429"/>
      <w:r>
        <w:rPr>
          <w:rStyle w:val="CharSClsNo"/>
        </w:rPr>
        <w:t>10</w:t>
      </w:r>
      <w:r>
        <w:t>.</w:t>
      </w:r>
      <w:r>
        <w:tab/>
        <w:t xml:space="preserve">Tariff </w:t>
      </w:r>
      <w:smartTag w:uri="urn:schemas-microsoft-com:office:smarttags" w:element="place">
        <w:r>
          <w:t>K2</w:t>
        </w:r>
      </w:smartTag>
      <w:r>
        <w:t xml:space="preserve"> (general supply with residential tariff)</w:t>
      </w:r>
      <w:bookmarkEnd w:id="47"/>
      <w:bookmarkEnd w:id="48"/>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a fixed charge at the rate of 45.1516 cents per day; and</w:t>
      </w:r>
    </w:p>
    <w:p>
      <w:pPr>
        <w:pStyle w:val="yIndenta"/>
      </w:pPr>
      <w:r>
        <w:tab/>
        <w:t>(b)</w:t>
      </w:r>
      <w:r>
        <w:tab/>
        <w:t xml:space="preserve">a charge for metered consumption at the rate of — </w:t>
      </w:r>
    </w:p>
    <w:p>
      <w:pPr>
        <w:pStyle w:val="yIndenti0"/>
      </w:pPr>
      <w:r>
        <w:tab/>
        <w:t>(i)</w:t>
      </w:r>
      <w:r>
        <w:tab/>
        <w:t>24.5961 cents per unit for the first 20 units per day; and</w:t>
      </w:r>
    </w:p>
    <w:p>
      <w:pPr>
        <w:pStyle w:val="yIndenti0"/>
      </w:pPr>
      <w:r>
        <w:tab/>
        <w:t>(ii)</w:t>
      </w:r>
      <w:r>
        <w:tab/>
        <w:t>28.1603 cents per unit for the next 1 630 units per day; and</w:t>
      </w:r>
    </w:p>
    <w:p>
      <w:pPr>
        <w:pStyle w:val="yIndenti0"/>
      </w:pPr>
      <w:r>
        <w:tab/>
        <w:t>(iii)</w:t>
      </w:r>
      <w:r>
        <w:tab/>
        <w:t>25.4102 cents per unit for all units exceeding 1 650 units per day.</w:t>
      </w:r>
    </w:p>
    <w:p>
      <w:pPr>
        <w:pStyle w:val="yFootnotesection"/>
      </w:pPr>
      <w:r>
        <w:tab/>
        <w:t>[Clause 10 inserted in Gazette 22 Aug 2014 p. 3021.]</w:t>
      </w:r>
    </w:p>
    <w:p>
      <w:pPr>
        <w:pStyle w:val="yEdnoteschedule"/>
      </w:pPr>
      <w:r>
        <w:t>[Schedule 2A deleted in Gazette 22 Aug 2014 p. 3021.]</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50" w:name="_Toc399137929"/>
      <w:bookmarkStart w:id="51" w:name="_Toc401908216"/>
      <w:bookmarkStart w:id="52" w:name="_Toc416788398"/>
      <w:bookmarkStart w:id="53" w:name="_Toc416788430"/>
      <w:r>
        <w:rPr>
          <w:rStyle w:val="CharSchNo"/>
        </w:rPr>
        <w:t>Schedule 2</w:t>
      </w:r>
      <w:r>
        <w:t> — </w:t>
      </w:r>
      <w:r>
        <w:rPr>
          <w:rStyle w:val="CharSchText"/>
        </w:rPr>
        <w:t>Unmetered supply</w:t>
      </w:r>
      <w:bookmarkEnd w:id="50"/>
      <w:bookmarkEnd w:id="51"/>
      <w:bookmarkEnd w:id="52"/>
      <w:bookmarkEnd w:id="53"/>
    </w:p>
    <w:p>
      <w:pPr>
        <w:pStyle w:val="yShoulderClause"/>
      </w:pPr>
      <w:r>
        <w:rPr>
          <w:szCs w:val="22"/>
        </w:rPr>
        <w:t>[bl. 4(2) and (3)]</w:t>
      </w:r>
    </w:p>
    <w:p>
      <w:pPr>
        <w:pStyle w:val="yFootnoteheading"/>
        <w:spacing w:after="120"/>
      </w:pPr>
      <w:r>
        <w:tab/>
        <w:t>[Heading inserted in Gazette 30 Aug 2013 p. 4095-6.]</w:t>
      </w:r>
    </w:p>
    <w:p>
      <w:pPr>
        <w:pStyle w:val="yHeading3"/>
      </w:pPr>
      <w:bookmarkStart w:id="54" w:name="_Toc399137930"/>
      <w:bookmarkStart w:id="55" w:name="_Toc401908217"/>
      <w:bookmarkStart w:id="56" w:name="_Toc416788399"/>
      <w:bookmarkStart w:id="57" w:name="_Toc416788431"/>
      <w:r>
        <w:rPr>
          <w:rStyle w:val="CharSDivNo"/>
        </w:rPr>
        <w:t>Division 1</w:t>
      </w:r>
      <w:r>
        <w:t> — </w:t>
      </w:r>
      <w:r>
        <w:rPr>
          <w:rStyle w:val="CharSDivText"/>
        </w:rPr>
        <w:t>Street lighting</w:t>
      </w:r>
      <w:bookmarkEnd w:id="54"/>
      <w:bookmarkEnd w:id="55"/>
      <w:bookmarkEnd w:id="56"/>
      <w:bookmarkEnd w:id="57"/>
    </w:p>
    <w:p>
      <w:pPr>
        <w:pStyle w:val="yFootnoteheading"/>
        <w:spacing w:after="120"/>
      </w:pPr>
      <w:r>
        <w:tab/>
        <w:t>[Heading inserted in Gazette 22 Aug 2014 p. 3021.]</w:t>
      </w:r>
    </w:p>
    <w:tbl>
      <w:tblPr>
        <w:tblW w:w="7088" w:type="dxa"/>
        <w:tblInd w:w="70" w:type="dxa"/>
        <w:tblLayout w:type="fixed"/>
        <w:tblCellMar>
          <w:left w:w="70" w:type="dxa"/>
          <w:right w:w="70" w:type="dxa"/>
        </w:tblCellMar>
        <w:tblLook w:val="0000" w:firstRow="0" w:lastRow="0" w:firstColumn="0" w:lastColumn="0" w:noHBand="0" w:noVBand="0"/>
      </w:tblPr>
      <w:tblGrid>
        <w:gridCol w:w="709"/>
        <w:gridCol w:w="851"/>
        <w:gridCol w:w="992"/>
        <w:gridCol w:w="1512"/>
        <w:gridCol w:w="1512"/>
        <w:gridCol w:w="1512"/>
      </w:tblGrid>
      <w:tr>
        <w:trPr>
          <w:cantSplit/>
          <w:tblHeader/>
        </w:trPr>
        <w:tc>
          <w:tcPr>
            <w:tcW w:w="709"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rPr>
                <w:spacing w:val="-4"/>
              </w:rPr>
            </w:pPr>
            <w:r>
              <w:rPr>
                <w:b/>
                <w:bCs/>
                <w:spacing w:val="-4"/>
                <w:sz w:val="16"/>
                <w:szCs w:val="16"/>
              </w:rPr>
              <w:t>1.15 a.m. Switch</w:t>
            </w:r>
            <w:r>
              <w:rPr>
                <w:b/>
                <w:bCs/>
                <w:spacing w:val="-4"/>
                <w:sz w:val="16"/>
                <w:szCs w:val="16"/>
              </w:rPr>
              <w:noBreakHyphen/>
              <w:t>off Cents per day</w:t>
            </w:r>
          </w:p>
        </w:tc>
        <w:tc>
          <w:tcPr>
            <w:tcW w:w="1512" w:type="dxa"/>
            <w:tcBorders>
              <w:top w:val="single" w:sz="4" w:space="0" w:color="auto"/>
              <w:bottom w:val="single" w:sz="4" w:space="0" w:color="auto"/>
            </w:tcBorders>
          </w:tcPr>
          <w:p>
            <w:pPr>
              <w:pStyle w:val="yTableNAm"/>
              <w:rPr>
                <w:spacing w:val="-4"/>
              </w:rPr>
            </w:pPr>
            <w:r>
              <w:rPr>
                <w:b/>
                <w:bCs/>
                <w:spacing w:val="-4"/>
                <w:sz w:val="16"/>
                <w:szCs w:val="16"/>
              </w:rPr>
              <w:t>Dawn Switch</w:t>
            </w:r>
            <w:r>
              <w:rPr>
                <w:b/>
                <w:bCs/>
                <w:spacing w:val="-4"/>
                <w:sz w:val="16"/>
                <w:szCs w:val="16"/>
              </w:rPr>
              <w:noBreakHyphen/>
              <w:t>off Cents per day</w:t>
            </w:r>
          </w:p>
        </w:tc>
      </w:tr>
      <w:tr>
        <w:trPr>
          <w:cantSplit/>
        </w:trPr>
        <w:tc>
          <w:tcPr>
            <w:tcW w:w="7088" w:type="dxa"/>
            <w:gridSpan w:val="6"/>
          </w:tcPr>
          <w:p>
            <w:pPr>
              <w:pStyle w:val="yTableNAm"/>
            </w:pPr>
            <w:r>
              <w:rPr>
                <w:b/>
                <w:i/>
                <w:iCs/>
                <w:sz w:val="16"/>
                <w:szCs w:val="16"/>
              </w:rPr>
              <w:t>Street lighting on current offer and for existing services</w:t>
            </w:r>
          </w:p>
        </w:tc>
      </w:tr>
      <w:tr>
        <w:trPr>
          <w:cantSplit/>
        </w:trPr>
        <w:tc>
          <w:tcPr>
            <w:tcW w:w="709"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32.8071</w:t>
            </w:r>
          </w:p>
        </w:tc>
        <w:tc>
          <w:tcPr>
            <w:tcW w:w="1512" w:type="dxa"/>
          </w:tcPr>
          <w:p>
            <w:pPr>
              <w:pStyle w:val="yTableNAm"/>
            </w:pPr>
            <w:r>
              <w:rPr>
                <w:sz w:val="16"/>
                <w:szCs w:val="16"/>
              </w:rPr>
              <w:t>33.5096</w:t>
            </w:r>
          </w:p>
        </w:tc>
        <w:tc>
          <w:tcPr>
            <w:tcW w:w="1512" w:type="dxa"/>
          </w:tcPr>
          <w:p>
            <w:pPr>
              <w:pStyle w:val="yTableNAm"/>
            </w:pPr>
            <w:r>
              <w:rPr>
                <w:sz w:val="16"/>
                <w:szCs w:val="16"/>
              </w:rPr>
              <w:t>36.0480</w:t>
            </w:r>
          </w:p>
        </w:tc>
      </w:tr>
      <w:tr>
        <w:trPr>
          <w:cantSplit/>
        </w:trPr>
        <w:tc>
          <w:tcPr>
            <w:tcW w:w="709"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38.6341</w:t>
            </w:r>
          </w:p>
        </w:tc>
        <w:tc>
          <w:tcPr>
            <w:tcW w:w="1512" w:type="dxa"/>
          </w:tcPr>
          <w:p>
            <w:pPr>
              <w:pStyle w:val="yTableNAm"/>
            </w:pPr>
            <w:r>
              <w:rPr>
                <w:sz w:val="16"/>
                <w:szCs w:val="16"/>
              </w:rPr>
              <w:t>39.4963</w:t>
            </w:r>
          </w:p>
        </w:tc>
        <w:tc>
          <w:tcPr>
            <w:tcW w:w="1512" w:type="dxa"/>
          </w:tcPr>
          <w:p>
            <w:pPr>
              <w:pStyle w:val="yTableNAm"/>
            </w:pPr>
            <w:r>
              <w:rPr>
                <w:sz w:val="16"/>
                <w:szCs w:val="16"/>
              </w:rPr>
              <w:t>43.4555</w:t>
            </w:r>
          </w:p>
        </w:tc>
      </w:tr>
      <w:tr>
        <w:trPr>
          <w:cantSplit/>
        </w:trPr>
        <w:tc>
          <w:tcPr>
            <w:tcW w:w="709"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47.7819</w:t>
            </w:r>
          </w:p>
        </w:tc>
        <w:tc>
          <w:tcPr>
            <w:tcW w:w="1512" w:type="dxa"/>
          </w:tcPr>
          <w:p>
            <w:pPr>
              <w:pStyle w:val="yTableNAm"/>
            </w:pPr>
            <w:r>
              <w:rPr>
                <w:sz w:val="16"/>
                <w:szCs w:val="16"/>
              </w:rPr>
              <w:t>49.3305</w:t>
            </w:r>
          </w:p>
        </w:tc>
        <w:tc>
          <w:tcPr>
            <w:tcW w:w="1512" w:type="dxa"/>
          </w:tcPr>
          <w:p>
            <w:pPr>
              <w:pStyle w:val="yTableNAm"/>
            </w:pPr>
            <w:r>
              <w:rPr>
                <w:sz w:val="16"/>
                <w:szCs w:val="16"/>
              </w:rPr>
              <w:t>54.9181</w:t>
            </w:r>
          </w:p>
        </w:tc>
      </w:tr>
      <w:tr>
        <w:trPr>
          <w:cantSplit/>
        </w:trPr>
        <w:tc>
          <w:tcPr>
            <w:tcW w:w="709"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48.8994</w:t>
            </w:r>
          </w:p>
        </w:tc>
        <w:tc>
          <w:tcPr>
            <w:tcW w:w="1512" w:type="dxa"/>
          </w:tcPr>
          <w:p>
            <w:pPr>
              <w:pStyle w:val="yTableNAm"/>
            </w:pPr>
            <w:r>
              <w:rPr>
                <w:sz w:val="16"/>
                <w:szCs w:val="16"/>
              </w:rPr>
              <w:t>50.4959</w:t>
            </w:r>
          </w:p>
        </w:tc>
        <w:tc>
          <w:tcPr>
            <w:tcW w:w="1512" w:type="dxa"/>
          </w:tcPr>
          <w:p>
            <w:pPr>
              <w:pStyle w:val="yTableNAm"/>
            </w:pPr>
            <w:r>
              <w:rPr>
                <w:sz w:val="16"/>
                <w:szCs w:val="16"/>
              </w:rPr>
              <w:t>56.9137</w:t>
            </w:r>
          </w:p>
        </w:tc>
      </w:tr>
      <w:tr>
        <w:trPr>
          <w:cantSplit/>
        </w:trPr>
        <w:tc>
          <w:tcPr>
            <w:tcW w:w="709"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59.2924</w:t>
            </w:r>
          </w:p>
        </w:tc>
        <w:tc>
          <w:tcPr>
            <w:tcW w:w="1512" w:type="dxa"/>
          </w:tcPr>
          <w:p>
            <w:pPr>
              <w:pStyle w:val="yTableNAm"/>
            </w:pPr>
            <w:r>
              <w:rPr>
                <w:sz w:val="16"/>
                <w:szCs w:val="16"/>
              </w:rPr>
              <w:t>62.3096</w:t>
            </w:r>
          </w:p>
        </w:tc>
        <w:tc>
          <w:tcPr>
            <w:tcW w:w="1512" w:type="dxa"/>
          </w:tcPr>
          <w:p>
            <w:pPr>
              <w:pStyle w:val="yTableNAm"/>
            </w:pPr>
            <w:r>
              <w:rPr>
                <w:sz w:val="16"/>
                <w:szCs w:val="16"/>
              </w:rPr>
              <w:t>73.5646</w:t>
            </w:r>
          </w:p>
        </w:tc>
      </w:tr>
      <w:tr>
        <w:trPr>
          <w:cantSplit/>
        </w:trPr>
        <w:tc>
          <w:tcPr>
            <w:tcW w:w="709"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87.8369</w:t>
            </w:r>
          </w:p>
        </w:tc>
        <w:tc>
          <w:tcPr>
            <w:tcW w:w="1512" w:type="dxa"/>
          </w:tcPr>
          <w:p>
            <w:pPr>
              <w:pStyle w:val="yTableNAm"/>
            </w:pPr>
            <w:r>
              <w:rPr>
                <w:sz w:val="16"/>
                <w:szCs w:val="16"/>
              </w:rPr>
              <w:t>92.4347</w:t>
            </w:r>
          </w:p>
        </w:tc>
        <w:tc>
          <w:tcPr>
            <w:tcW w:w="1512" w:type="dxa"/>
          </w:tcPr>
          <w:p>
            <w:pPr>
              <w:pStyle w:val="yTableNAm"/>
            </w:pPr>
            <w:r>
              <w:rPr>
                <w:sz w:val="16"/>
                <w:szCs w:val="16"/>
              </w:rPr>
              <w:t>109.9956</w:t>
            </w:r>
          </w:p>
        </w:tc>
      </w:tr>
      <w:tr>
        <w:trPr>
          <w:cantSplit/>
        </w:trPr>
        <w:tc>
          <w:tcPr>
            <w:tcW w:w="709"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45.2595</w:t>
            </w:r>
          </w:p>
        </w:tc>
        <w:tc>
          <w:tcPr>
            <w:tcW w:w="1512" w:type="dxa"/>
          </w:tcPr>
          <w:p>
            <w:pPr>
              <w:pStyle w:val="yTableNAm"/>
            </w:pPr>
            <w:r>
              <w:rPr>
                <w:sz w:val="16"/>
                <w:szCs w:val="16"/>
              </w:rPr>
              <w:t>46.9198</w:t>
            </w:r>
          </w:p>
        </w:tc>
        <w:tc>
          <w:tcPr>
            <w:tcW w:w="1512" w:type="dxa"/>
          </w:tcPr>
          <w:p>
            <w:pPr>
              <w:pStyle w:val="yTableNAm"/>
            </w:pPr>
            <w:r>
              <w:rPr>
                <w:sz w:val="16"/>
                <w:szCs w:val="16"/>
              </w:rPr>
              <w:t>56.2111</w:t>
            </w:r>
          </w:p>
        </w:tc>
      </w:tr>
      <w:tr>
        <w:trPr>
          <w:cantSplit/>
        </w:trPr>
        <w:tc>
          <w:tcPr>
            <w:tcW w:w="709"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67.0989</w:t>
            </w:r>
          </w:p>
        </w:tc>
        <w:tc>
          <w:tcPr>
            <w:tcW w:w="1512" w:type="dxa"/>
          </w:tcPr>
          <w:p>
            <w:pPr>
              <w:pStyle w:val="yTableNAm"/>
            </w:pPr>
            <w:r>
              <w:rPr>
                <w:sz w:val="16"/>
                <w:szCs w:val="16"/>
              </w:rPr>
              <w:t>70.6751</w:t>
            </w:r>
          </w:p>
        </w:tc>
        <w:tc>
          <w:tcPr>
            <w:tcW w:w="1512" w:type="dxa"/>
          </w:tcPr>
          <w:p>
            <w:pPr>
              <w:pStyle w:val="yTableNAm"/>
            </w:pPr>
            <w:r>
              <w:rPr>
                <w:sz w:val="16"/>
                <w:szCs w:val="16"/>
              </w:rPr>
              <w:t>84.4683</w:t>
            </w:r>
          </w:p>
        </w:tc>
      </w:tr>
      <w:tr>
        <w:trPr>
          <w:cantSplit/>
        </w:trPr>
        <w:tc>
          <w:tcPr>
            <w:tcW w:w="709"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244.9436</w:t>
            </w:r>
          </w:p>
        </w:tc>
      </w:tr>
      <w:tr>
        <w:trPr>
          <w:cantSplit/>
        </w:trPr>
        <w:tc>
          <w:tcPr>
            <w:tcW w:w="709" w:type="dxa"/>
          </w:tcPr>
          <w:p>
            <w:pPr>
              <w:pStyle w:val="yTableNAm"/>
              <w:rPr>
                <w:sz w:val="16"/>
                <w:szCs w:val="16"/>
              </w:rPr>
            </w:pPr>
            <w:r>
              <w:rPr>
                <w:sz w:val="16"/>
                <w:szCs w:val="16"/>
              </w:rPr>
              <w:t>Z.59</w:t>
            </w:r>
          </w:p>
        </w:tc>
        <w:tc>
          <w:tcPr>
            <w:tcW w:w="851" w:type="dxa"/>
          </w:tcPr>
          <w:p>
            <w:pPr>
              <w:pStyle w:val="yTableNAm"/>
              <w:rPr>
                <w:sz w:val="16"/>
                <w:szCs w:val="16"/>
              </w:rPr>
            </w:pPr>
            <w:r>
              <w:rPr>
                <w:sz w:val="16"/>
                <w:szCs w:val="16"/>
              </w:rPr>
              <w:t>66</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r>
              <w:rPr>
                <w:sz w:val="16"/>
                <w:szCs w:val="16"/>
              </w:rPr>
              <w:t>33.3484</w:t>
            </w:r>
          </w:p>
        </w:tc>
        <w:tc>
          <w:tcPr>
            <w:tcW w:w="1512" w:type="dxa"/>
          </w:tcPr>
          <w:p>
            <w:pPr>
              <w:pStyle w:val="yTableNAm"/>
              <w:rPr>
                <w:sz w:val="16"/>
                <w:szCs w:val="16"/>
              </w:rPr>
            </w:pPr>
            <w:r>
              <w:rPr>
                <w:sz w:val="16"/>
                <w:szCs w:val="16"/>
              </w:rPr>
              <w:t>34.3324</w:t>
            </w:r>
          </w:p>
        </w:tc>
        <w:tc>
          <w:tcPr>
            <w:tcW w:w="1512" w:type="dxa"/>
          </w:tcPr>
          <w:p>
            <w:pPr>
              <w:pStyle w:val="yTableNAm"/>
              <w:rPr>
                <w:sz w:val="16"/>
                <w:szCs w:val="16"/>
              </w:rPr>
            </w:pPr>
            <w:r>
              <w:rPr>
                <w:sz w:val="16"/>
                <w:szCs w:val="16"/>
              </w:rPr>
              <w:t>37.1439</w:t>
            </w:r>
          </w:p>
        </w:tc>
      </w:tr>
      <w:tr>
        <w:trPr>
          <w:cantSplit/>
        </w:trPr>
        <w:tc>
          <w:tcPr>
            <w:tcW w:w="709" w:type="dxa"/>
          </w:tcPr>
          <w:p>
            <w:pPr>
              <w:pStyle w:val="yTableNAm"/>
              <w:rPr>
                <w:sz w:val="16"/>
                <w:szCs w:val="16"/>
              </w:rPr>
            </w:pPr>
            <w:r>
              <w:rPr>
                <w:sz w:val="16"/>
                <w:szCs w:val="16"/>
              </w:rPr>
              <w:t>Z.60</w:t>
            </w:r>
          </w:p>
        </w:tc>
        <w:tc>
          <w:tcPr>
            <w:tcW w:w="851" w:type="dxa"/>
          </w:tcPr>
          <w:p>
            <w:pPr>
              <w:pStyle w:val="yTableNAm"/>
              <w:rPr>
                <w:sz w:val="16"/>
                <w:szCs w:val="16"/>
              </w:rPr>
            </w:pPr>
            <w:r>
              <w:rPr>
                <w:sz w:val="16"/>
                <w:szCs w:val="16"/>
              </w:rPr>
              <w:t>132</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r>
              <w:rPr>
                <w:sz w:val="16"/>
                <w:szCs w:val="16"/>
              </w:rPr>
              <w:t>44.5166</w:t>
            </w:r>
          </w:p>
        </w:tc>
        <w:tc>
          <w:tcPr>
            <w:tcW w:w="1512" w:type="dxa"/>
          </w:tcPr>
          <w:p>
            <w:pPr>
              <w:pStyle w:val="yTableNAm"/>
              <w:rPr>
                <w:sz w:val="16"/>
                <w:szCs w:val="16"/>
              </w:rPr>
            </w:pPr>
            <w:r>
              <w:rPr>
                <w:sz w:val="16"/>
                <w:szCs w:val="16"/>
              </w:rPr>
              <w:t>46.6324</w:t>
            </w:r>
          </w:p>
        </w:tc>
        <w:tc>
          <w:tcPr>
            <w:tcW w:w="1512" w:type="dxa"/>
          </w:tcPr>
          <w:p>
            <w:pPr>
              <w:pStyle w:val="yTableNAm"/>
              <w:rPr>
                <w:sz w:val="16"/>
                <w:szCs w:val="16"/>
              </w:rPr>
            </w:pPr>
            <w:r>
              <w:rPr>
                <w:sz w:val="16"/>
                <w:szCs w:val="16"/>
              </w:rPr>
              <w:t>56.5562</w:t>
            </w:r>
          </w:p>
        </w:tc>
      </w:tr>
      <w:tr>
        <w:trPr>
          <w:cantSplit/>
        </w:trPr>
        <w:tc>
          <w:tcPr>
            <w:tcW w:w="709" w:type="dxa"/>
          </w:tcPr>
          <w:p>
            <w:pPr>
              <w:pStyle w:val="yTableNAm"/>
              <w:rPr>
                <w:sz w:val="16"/>
                <w:szCs w:val="16"/>
              </w:rPr>
            </w:pPr>
            <w:r>
              <w:rPr>
                <w:sz w:val="16"/>
                <w:szCs w:val="16"/>
              </w:rPr>
              <w:t>Z.61</w:t>
            </w:r>
          </w:p>
        </w:tc>
        <w:tc>
          <w:tcPr>
            <w:tcW w:w="851" w:type="dxa"/>
          </w:tcPr>
          <w:p>
            <w:pPr>
              <w:pStyle w:val="yTableNAm"/>
              <w:rPr>
                <w:sz w:val="16"/>
                <w:szCs w:val="16"/>
              </w:rPr>
            </w:pPr>
            <w:r>
              <w:rPr>
                <w:sz w:val="16"/>
                <w:szCs w:val="16"/>
              </w:rPr>
              <w:t>198</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r>
              <w:rPr>
                <w:sz w:val="16"/>
                <w:szCs w:val="16"/>
              </w:rPr>
              <w:t>48.5135</w:t>
            </w:r>
          </w:p>
        </w:tc>
        <w:tc>
          <w:tcPr>
            <w:tcW w:w="1512" w:type="dxa"/>
          </w:tcPr>
          <w:p>
            <w:pPr>
              <w:pStyle w:val="yTableNAm"/>
              <w:rPr>
                <w:sz w:val="16"/>
                <w:szCs w:val="16"/>
              </w:rPr>
            </w:pPr>
            <w:r>
              <w:rPr>
                <w:sz w:val="16"/>
                <w:szCs w:val="16"/>
              </w:rPr>
              <w:t>51.9567</w:t>
            </w:r>
          </w:p>
        </w:tc>
        <w:tc>
          <w:tcPr>
            <w:tcW w:w="1512" w:type="dxa"/>
          </w:tcPr>
          <w:p>
            <w:pPr>
              <w:pStyle w:val="yTableNAm"/>
              <w:rPr>
                <w:sz w:val="16"/>
                <w:szCs w:val="16"/>
              </w:rPr>
            </w:pPr>
            <w:r>
              <w:rPr>
                <w:sz w:val="16"/>
                <w:szCs w:val="16"/>
              </w:rPr>
              <w:t>67.4898</w:t>
            </w:r>
          </w:p>
        </w:tc>
      </w:tr>
      <w:tr>
        <w:trPr>
          <w:cantSplit/>
        </w:trPr>
        <w:tc>
          <w:tcPr>
            <w:tcW w:w="7088" w:type="dxa"/>
            <w:gridSpan w:val="6"/>
          </w:tcPr>
          <w:p>
            <w:pPr>
              <w:pStyle w:val="yTableNAm"/>
            </w:pPr>
            <w:r>
              <w:rPr>
                <w:b/>
                <w:i/>
                <w:iCs/>
                <w:sz w:val="16"/>
                <w:szCs w:val="16"/>
              </w:rPr>
              <w:t>Street lighting for existing services only</w:t>
            </w:r>
          </w:p>
        </w:tc>
      </w:tr>
      <w:tr>
        <w:trPr>
          <w:cantSplit/>
        </w:trPr>
        <w:tc>
          <w:tcPr>
            <w:tcW w:w="709"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76.8374</w:t>
            </w:r>
          </w:p>
        </w:tc>
        <w:tc>
          <w:tcPr>
            <w:tcW w:w="1512" w:type="dxa"/>
          </w:tcPr>
          <w:p>
            <w:pPr>
              <w:pStyle w:val="yTableNAm"/>
            </w:pPr>
            <w:r>
              <w:rPr>
                <w:sz w:val="16"/>
                <w:szCs w:val="16"/>
              </w:rPr>
              <w:t>79.8387</w:t>
            </w:r>
          </w:p>
        </w:tc>
        <w:tc>
          <w:tcPr>
            <w:tcW w:w="1512" w:type="dxa"/>
          </w:tcPr>
          <w:p>
            <w:pPr>
              <w:pStyle w:val="yTableNAm"/>
            </w:pPr>
            <w:r>
              <w:rPr>
                <w:sz w:val="16"/>
                <w:szCs w:val="16"/>
              </w:rPr>
              <w:t>91.1096</w:t>
            </w:r>
          </w:p>
        </w:tc>
      </w:tr>
      <w:tr>
        <w:trPr>
          <w:cantSplit/>
        </w:trPr>
        <w:tc>
          <w:tcPr>
            <w:tcW w:w="709"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105.3979</w:t>
            </w:r>
          </w:p>
        </w:tc>
        <w:tc>
          <w:tcPr>
            <w:tcW w:w="1512" w:type="dxa"/>
          </w:tcPr>
          <w:p>
            <w:pPr>
              <w:pStyle w:val="yTableNAm"/>
            </w:pPr>
            <w:r>
              <w:rPr>
                <w:sz w:val="16"/>
                <w:szCs w:val="16"/>
              </w:rPr>
              <w:t>109.9956</w:t>
            </w:r>
          </w:p>
        </w:tc>
        <w:tc>
          <w:tcPr>
            <w:tcW w:w="1512" w:type="dxa"/>
          </w:tcPr>
          <w:p>
            <w:pPr>
              <w:pStyle w:val="yTableNAm"/>
            </w:pPr>
            <w:r>
              <w:rPr>
                <w:sz w:val="16"/>
                <w:szCs w:val="16"/>
              </w:rPr>
              <w:t>127.4768</w:t>
            </w:r>
          </w:p>
        </w:tc>
      </w:tr>
      <w:tr>
        <w:trPr>
          <w:cantSplit/>
        </w:trPr>
        <w:tc>
          <w:tcPr>
            <w:tcW w:w="709"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68.0568</w:t>
            </w:r>
          </w:p>
        </w:tc>
        <w:tc>
          <w:tcPr>
            <w:tcW w:w="1512" w:type="dxa"/>
          </w:tcPr>
          <w:p>
            <w:pPr>
              <w:pStyle w:val="yTableNAm"/>
            </w:pPr>
            <w:r>
              <w:rPr>
                <w:sz w:val="16"/>
                <w:szCs w:val="16"/>
              </w:rPr>
              <w:t>71.0263</w:t>
            </w:r>
          </w:p>
        </w:tc>
        <w:tc>
          <w:tcPr>
            <w:tcW w:w="1512" w:type="dxa"/>
          </w:tcPr>
          <w:p>
            <w:pPr>
              <w:pStyle w:val="yTableNAm"/>
            </w:pPr>
            <w:r>
              <w:rPr>
                <w:sz w:val="16"/>
                <w:szCs w:val="16"/>
              </w:rPr>
              <w:t>82.3292</w:t>
            </w:r>
          </w:p>
        </w:tc>
      </w:tr>
      <w:tr>
        <w:trPr>
          <w:cantSplit/>
        </w:trPr>
        <w:tc>
          <w:tcPr>
            <w:tcW w:w="709"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76.8374</w:t>
            </w:r>
          </w:p>
        </w:tc>
        <w:tc>
          <w:tcPr>
            <w:tcW w:w="1512" w:type="dxa"/>
          </w:tcPr>
          <w:p>
            <w:pPr>
              <w:pStyle w:val="yTableNAm"/>
            </w:pPr>
            <w:r>
              <w:rPr>
                <w:sz w:val="16"/>
                <w:szCs w:val="16"/>
              </w:rPr>
              <w:t>79.8387</w:t>
            </w:r>
          </w:p>
        </w:tc>
        <w:tc>
          <w:tcPr>
            <w:tcW w:w="1512" w:type="dxa"/>
          </w:tcPr>
          <w:p>
            <w:pPr>
              <w:pStyle w:val="yTableNAm"/>
            </w:pPr>
            <w:r>
              <w:rPr>
                <w:sz w:val="16"/>
                <w:szCs w:val="16"/>
              </w:rPr>
              <w:t>91.1096</w:t>
            </w:r>
          </w:p>
        </w:tc>
      </w:tr>
      <w:tr>
        <w:trPr>
          <w:cantSplit/>
        </w:trPr>
        <w:tc>
          <w:tcPr>
            <w:tcW w:w="709"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96.6174</w:t>
            </w:r>
          </w:p>
        </w:tc>
        <w:tc>
          <w:tcPr>
            <w:tcW w:w="1512" w:type="dxa"/>
          </w:tcPr>
          <w:p>
            <w:pPr>
              <w:pStyle w:val="yTableNAm"/>
            </w:pPr>
            <w:r>
              <w:rPr>
                <w:sz w:val="16"/>
                <w:szCs w:val="16"/>
              </w:rPr>
              <w:t>101.2312</w:t>
            </w:r>
          </w:p>
        </w:tc>
        <w:tc>
          <w:tcPr>
            <w:tcW w:w="1512" w:type="dxa"/>
          </w:tcPr>
          <w:p>
            <w:pPr>
              <w:pStyle w:val="yTableNAm"/>
            </w:pPr>
            <w:r>
              <w:rPr>
                <w:sz w:val="16"/>
                <w:szCs w:val="16"/>
              </w:rPr>
              <w:t>118.7283</w:t>
            </w:r>
          </w:p>
        </w:tc>
      </w:tr>
      <w:tr>
        <w:trPr>
          <w:cantSplit/>
        </w:trPr>
        <w:tc>
          <w:tcPr>
            <w:tcW w:w="709"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105.3979</w:t>
            </w:r>
          </w:p>
        </w:tc>
        <w:tc>
          <w:tcPr>
            <w:tcW w:w="1512" w:type="dxa"/>
          </w:tcPr>
          <w:p>
            <w:pPr>
              <w:pStyle w:val="yTableNAm"/>
            </w:pPr>
            <w:r>
              <w:rPr>
                <w:sz w:val="16"/>
                <w:szCs w:val="16"/>
              </w:rPr>
              <w:t>109.9956</w:t>
            </w:r>
          </w:p>
        </w:tc>
        <w:tc>
          <w:tcPr>
            <w:tcW w:w="1512" w:type="dxa"/>
          </w:tcPr>
          <w:p>
            <w:pPr>
              <w:pStyle w:val="yTableNAm"/>
            </w:pPr>
            <w:r>
              <w:rPr>
                <w:sz w:val="16"/>
                <w:szCs w:val="16"/>
              </w:rPr>
              <w:t>127.4768</w:t>
            </w:r>
          </w:p>
        </w:tc>
      </w:tr>
      <w:tr>
        <w:trPr>
          <w:cantSplit/>
        </w:trPr>
        <w:tc>
          <w:tcPr>
            <w:tcW w:w="709"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69.8288</w:t>
            </w:r>
          </w:p>
        </w:tc>
        <w:tc>
          <w:tcPr>
            <w:tcW w:w="1512" w:type="dxa"/>
          </w:tcPr>
          <w:p>
            <w:pPr>
              <w:pStyle w:val="yTableNAm"/>
            </w:pPr>
            <w:r>
              <w:rPr>
                <w:sz w:val="16"/>
                <w:szCs w:val="16"/>
              </w:rPr>
              <w:t>71.4572</w:t>
            </w:r>
          </w:p>
        </w:tc>
        <w:tc>
          <w:tcPr>
            <w:tcW w:w="1512" w:type="dxa"/>
          </w:tcPr>
          <w:p>
            <w:pPr>
              <w:pStyle w:val="yTableNAm"/>
            </w:pPr>
            <w:r>
              <w:rPr>
                <w:sz w:val="16"/>
                <w:szCs w:val="16"/>
              </w:rPr>
              <w:t>80.7166</w:t>
            </w:r>
          </w:p>
        </w:tc>
      </w:tr>
      <w:tr>
        <w:trPr>
          <w:cantSplit/>
        </w:trPr>
        <w:tc>
          <w:tcPr>
            <w:tcW w:w="709"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80.2377</w:t>
            </w:r>
          </w:p>
        </w:tc>
        <w:tc>
          <w:tcPr>
            <w:tcW w:w="1512" w:type="dxa"/>
          </w:tcPr>
          <w:p>
            <w:pPr>
              <w:pStyle w:val="yTableNAm"/>
            </w:pPr>
            <w:r>
              <w:rPr>
                <w:sz w:val="16"/>
                <w:szCs w:val="16"/>
              </w:rPr>
              <w:t>83.8457</w:t>
            </w:r>
          </w:p>
        </w:tc>
        <w:tc>
          <w:tcPr>
            <w:tcW w:w="1512" w:type="dxa"/>
          </w:tcPr>
          <w:p>
            <w:pPr>
              <w:pStyle w:val="yTableNAm"/>
            </w:pPr>
            <w:r>
              <w:rPr>
                <w:sz w:val="16"/>
                <w:szCs w:val="16"/>
              </w:rPr>
              <w:t>97.6072</w:t>
            </w:r>
          </w:p>
        </w:tc>
      </w:tr>
      <w:tr>
        <w:trPr>
          <w:cantSplit/>
        </w:trPr>
        <w:tc>
          <w:tcPr>
            <w:tcW w:w="709"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93.3446</w:t>
            </w:r>
          </w:p>
        </w:tc>
        <w:tc>
          <w:tcPr>
            <w:tcW w:w="1512" w:type="dxa"/>
          </w:tcPr>
          <w:p>
            <w:pPr>
              <w:pStyle w:val="yTableNAm"/>
            </w:pPr>
            <w:r>
              <w:rPr>
                <w:sz w:val="16"/>
                <w:szCs w:val="16"/>
              </w:rPr>
              <w:t>97.0005</w:t>
            </w:r>
          </w:p>
        </w:tc>
        <w:tc>
          <w:tcPr>
            <w:tcW w:w="1512" w:type="dxa"/>
          </w:tcPr>
          <w:p>
            <w:pPr>
              <w:pStyle w:val="yTableNAm"/>
            </w:pPr>
            <w:r>
              <w:rPr>
                <w:sz w:val="16"/>
                <w:szCs w:val="16"/>
              </w:rPr>
              <w:t>110.7778</w:t>
            </w:r>
          </w:p>
        </w:tc>
      </w:tr>
      <w:tr>
        <w:trPr>
          <w:cantSplit/>
        </w:trPr>
        <w:tc>
          <w:tcPr>
            <w:tcW w:w="709"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32.8072</w:t>
            </w:r>
          </w:p>
        </w:tc>
        <w:tc>
          <w:tcPr>
            <w:tcW w:w="1512" w:type="dxa"/>
          </w:tcPr>
          <w:p>
            <w:pPr>
              <w:pStyle w:val="yTableNAm"/>
            </w:pPr>
            <w:r>
              <w:rPr>
                <w:sz w:val="16"/>
                <w:szCs w:val="16"/>
              </w:rPr>
              <w:t>33.5095</w:t>
            </w:r>
          </w:p>
        </w:tc>
        <w:tc>
          <w:tcPr>
            <w:tcW w:w="1512" w:type="dxa"/>
          </w:tcPr>
          <w:p>
            <w:pPr>
              <w:pStyle w:val="yTableNAm"/>
            </w:pPr>
            <w:r>
              <w:rPr>
                <w:sz w:val="16"/>
                <w:szCs w:val="16"/>
              </w:rPr>
              <w:t>36.0479</w:t>
            </w:r>
          </w:p>
        </w:tc>
      </w:tr>
      <w:tr>
        <w:trPr>
          <w:cantSplit/>
        </w:trPr>
        <w:tc>
          <w:tcPr>
            <w:tcW w:w="709"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32.8071</w:t>
            </w:r>
          </w:p>
        </w:tc>
        <w:tc>
          <w:tcPr>
            <w:tcW w:w="1512" w:type="dxa"/>
          </w:tcPr>
          <w:p>
            <w:pPr>
              <w:pStyle w:val="yTableNAm"/>
            </w:pPr>
            <w:r>
              <w:rPr>
                <w:sz w:val="16"/>
                <w:szCs w:val="16"/>
              </w:rPr>
              <w:t>33.5095</w:t>
            </w:r>
          </w:p>
        </w:tc>
        <w:tc>
          <w:tcPr>
            <w:tcW w:w="1512" w:type="dxa"/>
          </w:tcPr>
          <w:p>
            <w:pPr>
              <w:pStyle w:val="yTableNAm"/>
            </w:pPr>
            <w:r>
              <w:rPr>
                <w:sz w:val="16"/>
                <w:szCs w:val="16"/>
              </w:rPr>
              <w:t>36.0478</w:t>
            </w:r>
          </w:p>
        </w:tc>
      </w:tr>
      <w:tr>
        <w:trPr>
          <w:cantSplit/>
        </w:trPr>
        <w:tc>
          <w:tcPr>
            <w:tcW w:w="709"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38.6342</w:t>
            </w:r>
          </w:p>
        </w:tc>
        <w:tc>
          <w:tcPr>
            <w:tcW w:w="1512" w:type="dxa"/>
          </w:tcPr>
          <w:p>
            <w:pPr>
              <w:pStyle w:val="yTableNAm"/>
            </w:pPr>
            <w:r>
              <w:rPr>
                <w:sz w:val="16"/>
                <w:szCs w:val="16"/>
              </w:rPr>
              <w:t>39.4963</w:t>
            </w:r>
          </w:p>
        </w:tc>
        <w:tc>
          <w:tcPr>
            <w:tcW w:w="1512" w:type="dxa"/>
          </w:tcPr>
          <w:p>
            <w:pPr>
              <w:pStyle w:val="yTableNAm"/>
            </w:pPr>
            <w:r>
              <w:rPr>
                <w:sz w:val="16"/>
                <w:szCs w:val="16"/>
              </w:rPr>
              <w:t>43.4555</w:t>
            </w:r>
          </w:p>
        </w:tc>
      </w:tr>
      <w:tr>
        <w:trPr>
          <w:cantSplit/>
        </w:trPr>
        <w:tc>
          <w:tcPr>
            <w:tcW w:w="709"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47.7819</w:t>
            </w:r>
          </w:p>
        </w:tc>
        <w:tc>
          <w:tcPr>
            <w:tcW w:w="1512" w:type="dxa"/>
          </w:tcPr>
          <w:p>
            <w:pPr>
              <w:pStyle w:val="yTableNAm"/>
            </w:pPr>
            <w:r>
              <w:rPr>
                <w:sz w:val="16"/>
                <w:szCs w:val="16"/>
              </w:rPr>
              <w:t>49.3304</w:t>
            </w:r>
          </w:p>
        </w:tc>
        <w:tc>
          <w:tcPr>
            <w:tcW w:w="1512" w:type="dxa"/>
          </w:tcPr>
          <w:p>
            <w:pPr>
              <w:pStyle w:val="yTableNAm"/>
            </w:pPr>
            <w:r>
              <w:rPr>
                <w:sz w:val="16"/>
                <w:szCs w:val="16"/>
              </w:rPr>
              <w:t>54.9179</w:t>
            </w:r>
          </w:p>
        </w:tc>
      </w:tr>
      <w:tr>
        <w:trPr>
          <w:cantSplit/>
        </w:trPr>
        <w:tc>
          <w:tcPr>
            <w:tcW w:w="709"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76.8373</w:t>
            </w:r>
          </w:p>
        </w:tc>
        <w:tc>
          <w:tcPr>
            <w:tcW w:w="1512" w:type="dxa"/>
          </w:tcPr>
          <w:p>
            <w:pPr>
              <w:pStyle w:val="yTableNAm"/>
            </w:pPr>
            <w:r>
              <w:rPr>
                <w:sz w:val="16"/>
                <w:szCs w:val="16"/>
              </w:rPr>
              <w:t>79.8386</w:t>
            </w:r>
          </w:p>
        </w:tc>
        <w:tc>
          <w:tcPr>
            <w:tcW w:w="1512" w:type="dxa"/>
          </w:tcPr>
          <w:p>
            <w:pPr>
              <w:pStyle w:val="yTableNAm"/>
            </w:pPr>
            <w:r>
              <w:rPr>
                <w:sz w:val="16"/>
                <w:szCs w:val="16"/>
              </w:rPr>
              <w:t>91.1095</w:t>
            </w:r>
          </w:p>
        </w:tc>
      </w:tr>
      <w:tr>
        <w:trPr>
          <w:cantSplit/>
        </w:trPr>
        <w:tc>
          <w:tcPr>
            <w:tcW w:w="709"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32.8071</w:t>
            </w:r>
          </w:p>
        </w:tc>
        <w:tc>
          <w:tcPr>
            <w:tcW w:w="1512" w:type="dxa"/>
          </w:tcPr>
          <w:p>
            <w:pPr>
              <w:pStyle w:val="yTableNAm"/>
            </w:pPr>
            <w:r>
              <w:rPr>
                <w:sz w:val="16"/>
                <w:szCs w:val="16"/>
              </w:rPr>
              <w:t>33.5095</w:t>
            </w:r>
          </w:p>
        </w:tc>
        <w:tc>
          <w:tcPr>
            <w:tcW w:w="1512" w:type="dxa"/>
          </w:tcPr>
          <w:p>
            <w:pPr>
              <w:pStyle w:val="yTableNAm"/>
            </w:pPr>
            <w:r>
              <w:rPr>
                <w:sz w:val="16"/>
                <w:szCs w:val="16"/>
              </w:rPr>
              <w:t>36.0479</w:t>
            </w:r>
          </w:p>
        </w:tc>
      </w:tr>
      <w:tr>
        <w:trPr>
          <w:cantSplit/>
        </w:trPr>
        <w:tc>
          <w:tcPr>
            <w:tcW w:w="709"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38.6341</w:t>
            </w:r>
          </w:p>
        </w:tc>
        <w:tc>
          <w:tcPr>
            <w:tcW w:w="1512" w:type="dxa"/>
          </w:tcPr>
          <w:p>
            <w:pPr>
              <w:pStyle w:val="yTableNAm"/>
            </w:pPr>
            <w:r>
              <w:rPr>
                <w:sz w:val="16"/>
                <w:szCs w:val="16"/>
              </w:rPr>
              <w:t>39.4963</w:t>
            </w:r>
          </w:p>
        </w:tc>
        <w:tc>
          <w:tcPr>
            <w:tcW w:w="1512" w:type="dxa"/>
          </w:tcPr>
          <w:p>
            <w:pPr>
              <w:pStyle w:val="yTableNAm"/>
            </w:pPr>
            <w:r>
              <w:rPr>
                <w:sz w:val="16"/>
                <w:szCs w:val="16"/>
              </w:rPr>
              <w:t>43.4555</w:t>
            </w:r>
          </w:p>
        </w:tc>
      </w:tr>
      <w:tr>
        <w:trPr>
          <w:cantSplit/>
        </w:trPr>
        <w:tc>
          <w:tcPr>
            <w:tcW w:w="709"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54.0401</w:t>
            </w:r>
          </w:p>
        </w:tc>
        <w:tc>
          <w:tcPr>
            <w:tcW w:w="1512" w:type="dxa"/>
            <w:tcBorders>
              <w:bottom w:val="single" w:sz="4" w:space="0" w:color="auto"/>
            </w:tcBorders>
          </w:tcPr>
          <w:p>
            <w:pPr>
              <w:pStyle w:val="yTableNAm"/>
            </w:pPr>
            <w:r>
              <w:rPr>
                <w:sz w:val="16"/>
                <w:szCs w:val="16"/>
              </w:rPr>
              <w:t>54.7902</w:t>
            </w:r>
          </w:p>
        </w:tc>
        <w:tc>
          <w:tcPr>
            <w:tcW w:w="1512" w:type="dxa"/>
            <w:tcBorders>
              <w:bottom w:val="single" w:sz="4" w:space="0" w:color="auto"/>
            </w:tcBorders>
          </w:tcPr>
          <w:p>
            <w:pPr>
              <w:pStyle w:val="yTableNAm"/>
            </w:pPr>
            <w:r>
              <w:rPr>
                <w:sz w:val="16"/>
                <w:szCs w:val="16"/>
              </w:rPr>
              <w:t>63.5707</w:t>
            </w:r>
          </w:p>
        </w:tc>
      </w:tr>
    </w:tbl>
    <w:p>
      <w:pPr>
        <w:pStyle w:val="yFootnotesection"/>
      </w:pPr>
      <w:r>
        <w:tab/>
        <w:t>[Division 1 inserted in Gazette 22 Aug 2014 p. 3021</w:t>
      </w:r>
      <w:r>
        <w:noBreakHyphen/>
        <w:t>3.]</w:t>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yHeading3"/>
        <w:spacing w:before="0"/>
      </w:pPr>
      <w:bookmarkStart w:id="58" w:name="_Toc399137931"/>
      <w:bookmarkStart w:id="59" w:name="_Toc401908218"/>
      <w:bookmarkStart w:id="60" w:name="_Toc416788400"/>
      <w:bookmarkStart w:id="61" w:name="_Toc416788432"/>
      <w:r>
        <w:rPr>
          <w:rStyle w:val="CharSDivNo"/>
        </w:rPr>
        <w:t>Division 2</w:t>
      </w:r>
      <w:r>
        <w:t> — </w:t>
      </w:r>
      <w:r>
        <w:rPr>
          <w:rStyle w:val="CharSDivText"/>
        </w:rPr>
        <w:t>Miscellaneous</w:t>
      </w:r>
      <w:bookmarkEnd w:id="58"/>
      <w:bookmarkEnd w:id="59"/>
      <w:bookmarkEnd w:id="60"/>
      <w:bookmarkEnd w:id="61"/>
    </w:p>
    <w:p>
      <w:pPr>
        <w:pStyle w:val="yFootnoteheading"/>
        <w:spacing w:after="120"/>
      </w:pPr>
      <w:r>
        <w:tab/>
        <w:t>[Heading inserted in Gazette 22 Aug 2014 p. 3023.]</w:t>
      </w:r>
    </w:p>
    <w:p>
      <w:pPr>
        <w:pStyle w:val="yHeading5"/>
      </w:pPr>
      <w:bookmarkStart w:id="62" w:name="_Toc401908219"/>
      <w:bookmarkStart w:id="63" w:name="_Toc416788433"/>
      <w:r>
        <w:rPr>
          <w:rStyle w:val="CharSClsNo"/>
        </w:rPr>
        <w:t>1</w:t>
      </w:r>
      <w:r>
        <w:t>.</w:t>
      </w:r>
      <w:r>
        <w:tab/>
        <w:t>Traffic light installations</w:t>
      </w:r>
      <w:bookmarkEnd w:id="62"/>
      <w:bookmarkEnd w:id="63"/>
    </w:p>
    <w:p>
      <w:pPr>
        <w:pStyle w:val="ySubsection"/>
      </w:pPr>
      <w:r>
        <w:tab/>
      </w:r>
      <w:r>
        <w:tab/>
        <w:t>Supply of electricity to traffic light installations comprises a charge of $5.6889 per day per kW of installed wattage.</w:t>
      </w:r>
    </w:p>
    <w:p>
      <w:pPr>
        <w:pStyle w:val="yFootnotesection"/>
      </w:pPr>
      <w:r>
        <w:tab/>
        <w:t>[Clause 1 inserted in Gazette 22 Aug 2014 p. 3023.]</w:t>
      </w:r>
    </w:p>
    <w:p>
      <w:pPr>
        <w:pStyle w:val="yHeading5"/>
      </w:pPr>
      <w:bookmarkStart w:id="64" w:name="_Toc401908220"/>
      <w:bookmarkStart w:id="65" w:name="_Toc416788434"/>
      <w:r>
        <w:rPr>
          <w:rStyle w:val="CharSClsNo"/>
        </w:rPr>
        <w:t>2</w:t>
      </w:r>
      <w:r>
        <w:t>.</w:t>
      </w:r>
      <w:r>
        <w:tab/>
        <w:t>Public telephone facility</w:t>
      </w:r>
      <w:bookmarkEnd w:id="64"/>
      <w:bookmarkEnd w:id="65"/>
    </w:p>
    <w:p>
      <w:pPr>
        <w:pStyle w:val="ySubsection"/>
      </w:pPr>
      <w:r>
        <w:tab/>
      </w:r>
      <w:r>
        <w:tab/>
        <w:t>Supply of electricity to a standard public telephone facility where supply is not independently metered comprises a charge of 49.4971 cents per day.</w:t>
      </w:r>
    </w:p>
    <w:p>
      <w:pPr>
        <w:pStyle w:val="yFootnotesection"/>
      </w:pPr>
      <w:r>
        <w:tab/>
        <w:t>[Clause 2 inserted in Gazette 22 Aug 2014 p. 3023.]</w:t>
      </w:r>
    </w:p>
    <w:p>
      <w:pPr>
        <w:pStyle w:val="yHeading5"/>
      </w:pPr>
      <w:bookmarkStart w:id="66" w:name="_Toc401908221"/>
      <w:bookmarkStart w:id="67" w:name="_Toc416788435"/>
      <w:r>
        <w:rPr>
          <w:rStyle w:val="CharSClsNo"/>
        </w:rPr>
        <w:t>3</w:t>
      </w:r>
      <w:r>
        <w:t>.</w:t>
      </w:r>
      <w:r>
        <w:tab/>
        <w:t>Railway crossing</w:t>
      </w:r>
      <w:bookmarkEnd w:id="66"/>
      <w:bookmarkEnd w:id="67"/>
    </w:p>
    <w:p>
      <w:pPr>
        <w:pStyle w:val="ySubsection"/>
      </w:pPr>
      <w:r>
        <w:tab/>
      </w:r>
      <w:r>
        <w:tab/>
        <w:t>Supply of electricity to standard railway crossing lights comprises a charge of 63.2540 cents per day.</w:t>
      </w:r>
    </w:p>
    <w:p>
      <w:pPr>
        <w:pStyle w:val="yFootnotesection"/>
      </w:pPr>
      <w:r>
        <w:tab/>
        <w:t>[Clause 3 inserted in Gazette 22 Aug 2014 p. 3023.]</w:t>
      </w:r>
    </w:p>
    <w:p>
      <w:pPr>
        <w:sectPr>
          <w:headerReference w:type="even" r:id="rId31"/>
          <w:headerReference w:type="default" r:id="rId3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8" w:name="_Toc399137935"/>
      <w:bookmarkStart w:id="69" w:name="_Toc401908222"/>
      <w:bookmarkStart w:id="70" w:name="_Toc416788404"/>
      <w:bookmarkStart w:id="71" w:name="_Toc416788436"/>
      <w:r>
        <w:rPr>
          <w:rStyle w:val="CharSchNo"/>
        </w:rPr>
        <w:t>Schedule 3</w:t>
      </w:r>
      <w:r>
        <w:rPr>
          <w:rStyle w:val="CharSDivNo"/>
        </w:rPr>
        <w:t> </w:t>
      </w:r>
      <w:r>
        <w:t>—</w:t>
      </w:r>
      <w:r>
        <w:rPr>
          <w:rStyle w:val="CharSDivText"/>
        </w:rPr>
        <w:t> </w:t>
      </w:r>
      <w:r>
        <w:rPr>
          <w:rStyle w:val="CharSchText"/>
        </w:rPr>
        <w:t>Meter rentals</w:t>
      </w:r>
      <w:bookmarkEnd w:id="68"/>
      <w:bookmarkEnd w:id="69"/>
      <w:bookmarkEnd w:id="70"/>
      <w:bookmarkEnd w:id="71"/>
    </w:p>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72" w:name="_Toc399137936"/>
      <w:bookmarkStart w:id="73" w:name="_Toc401908223"/>
      <w:bookmarkStart w:id="74" w:name="_Toc416788405"/>
      <w:bookmarkStart w:id="75" w:name="_Toc416788437"/>
      <w:r>
        <w:rPr>
          <w:rStyle w:val="CharSchNo"/>
        </w:rPr>
        <w:t>Schedule 4</w:t>
      </w:r>
      <w:r>
        <w:t> — </w:t>
      </w:r>
      <w:r>
        <w:rPr>
          <w:rStyle w:val="CharSchText"/>
        </w:rPr>
        <w:t>Fees</w:t>
      </w:r>
      <w:bookmarkEnd w:id="72"/>
      <w:bookmarkEnd w:id="73"/>
      <w:bookmarkEnd w:id="74"/>
      <w:bookmarkEnd w:id="75"/>
    </w:p>
    <w:p>
      <w:pPr>
        <w:pStyle w:val="yShoulderClause"/>
      </w:pPr>
      <w:r>
        <w:rPr>
          <w:szCs w:val="22"/>
        </w:rPr>
        <w:t>[bl. 7]</w:t>
      </w:r>
    </w:p>
    <w:p>
      <w:pPr>
        <w:pStyle w:val="yFootnoteheading"/>
        <w:spacing w:after="120"/>
      </w:pPr>
      <w:r>
        <w:tab/>
        <w:t>[Heading inserted in Gazette 26 Mar 2010 p. 1187; amended in Gazette 22 Aug 2014 p. 3023.]</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yTableNAm"/>
              <w:spacing w:after="80"/>
            </w:pPr>
          </w:p>
        </w:tc>
        <w:tc>
          <w:tcPr>
            <w:tcW w:w="5245" w:type="dxa"/>
            <w:tcBorders>
              <w:top w:val="single" w:sz="4" w:space="0" w:color="auto"/>
              <w:bottom w:val="single" w:sz="4" w:space="0" w:color="auto"/>
            </w:tcBorders>
          </w:tcPr>
          <w:p>
            <w:pPr>
              <w:pStyle w:val="yTableNAm"/>
              <w:spacing w:after="80"/>
              <w:rPr>
                <w:b/>
                <w:iCs/>
              </w:rPr>
            </w:pPr>
            <w:r>
              <w:rPr>
                <w:b/>
                <w:iCs/>
              </w:rPr>
              <w:t>Description of fee</w:t>
            </w:r>
          </w:p>
        </w:tc>
        <w:tc>
          <w:tcPr>
            <w:tcW w:w="1276" w:type="dxa"/>
            <w:tcBorders>
              <w:top w:val="single" w:sz="4" w:space="0" w:color="auto"/>
              <w:bottom w:val="single" w:sz="4" w:space="0" w:color="auto"/>
            </w:tcBorders>
          </w:tcPr>
          <w:p>
            <w:pPr>
              <w:pStyle w:val="yTableNAm"/>
              <w:spacing w:after="80"/>
              <w:rPr>
                <w:b/>
                <w:iCs/>
              </w:rPr>
            </w:pPr>
            <w:r>
              <w:rPr>
                <w:b/>
                <w:iCs/>
              </w:rPr>
              <w:t>Amount</w:t>
            </w:r>
          </w:p>
        </w:tc>
      </w:tr>
      <w:t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075"/>
              </w:tabs>
              <w:rPr>
                <w:b/>
                <w:iCs/>
              </w:rPr>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rPr>
                <w:bCs/>
                <w:iCs/>
              </w:rPr>
            </w:pPr>
            <w:r>
              <w:rPr>
                <w:bCs/>
                <w:iCs/>
              </w:rPr>
              <w:br/>
              <w:t>$33.80</w:t>
            </w:r>
          </w:p>
        </w:tc>
      </w:tr>
      <w:tr>
        <w:tc>
          <w:tcPr>
            <w:tcW w:w="567" w:type="dxa"/>
          </w:tcPr>
          <w:p>
            <w:pPr>
              <w:pStyle w:val="yTableNAm"/>
            </w:pPr>
            <w:r>
              <w:t>2.</w:t>
            </w:r>
          </w:p>
        </w:tc>
        <w:tc>
          <w:tcPr>
            <w:tcW w:w="5245" w:type="dxa"/>
          </w:tcPr>
          <w:p>
            <w:pPr>
              <w:pStyle w:val="yTableNAm"/>
            </w:pPr>
            <w:r>
              <w:t>Three phase residential installation — </w:t>
            </w:r>
          </w:p>
          <w:p>
            <w:pPr>
              <w:pStyle w:val="yTableNAm"/>
              <w:tabs>
                <w:tab w:val="clear" w:pos="567"/>
                <w:tab w:val="left" w:pos="207"/>
                <w:tab w:val="left" w:pos="708"/>
                <w:tab w:val="right" w:pos="934"/>
                <w:tab w:val="right" w:leader="dot" w:pos="5075"/>
              </w:tabs>
              <w:ind w:left="686" w:hanging="686"/>
            </w:pPr>
            <w:r>
              <w:tab/>
              <w:t>(a)</w:t>
            </w:r>
            <w:r>
              <w:tab/>
            </w:r>
            <w:r>
              <w:rPr>
                <w:iCs/>
              </w:rPr>
              <w:t>new</w:t>
            </w:r>
            <w:r>
              <w:t xml:space="preserve"> installation or replacement of single phase meter </w:t>
            </w:r>
            <w:r>
              <w:tab/>
            </w:r>
          </w:p>
          <w:p>
            <w:pPr>
              <w:pStyle w:val="yTableNAm"/>
              <w:tabs>
                <w:tab w:val="clear" w:pos="567"/>
                <w:tab w:val="left" w:pos="207"/>
                <w:tab w:val="left" w:pos="708"/>
                <w:tab w:val="right" w:pos="934"/>
                <w:tab w:val="right" w:leader="dot" w:pos="5075"/>
              </w:tabs>
              <w:ind w:left="686" w:hanging="686"/>
              <w:rPr>
                <w:b/>
                <w:iCs/>
              </w:rPr>
            </w:pPr>
            <w:r>
              <w:tab/>
              <w:t>(b)</w:t>
            </w:r>
            <w:r>
              <w:tab/>
              <w:t xml:space="preserve">installation of subsidiary three phase meter (each installation) </w:t>
            </w:r>
            <w:r>
              <w:tab/>
            </w:r>
          </w:p>
        </w:tc>
        <w:tc>
          <w:tcPr>
            <w:tcW w:w="1276"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567" w:type="dxa"/>
          </w:tcPr>
          <w:p>
            <w:pPr>
              <w:pStyle w:val="yTableNAm"/>
            </w:pPr>
            <w:r>
              <w:t>3.</w:t>
            </w:r>
          </w:p>
        </w:tc>
        <w:tc>
          <w:tcPr>
            <w:tcW w:w="5245" w:type="dxa"/>
          </w:tcPr>
          <w:p>
            <w:pPr>
              <w:pStyle w:val="yTableNAm"/>
              <w:tabs>
                <w:tab w:val="right" w:leader="dot" w:pos="5075"/>
              </w:tabs>
              <w:rPr>
                <w:b/>
                <w:iCs/>
              </w:rPr>
            </w:pPr>
            <w:r>
              <w:t>Non</w:t>
            </w:r>
            <w:r>
              <w:noBreakHyphen/>
              <w:t>refundable reconnection fee where supply has been terminated for non</w:t>
            </w:r>
            <w:r>
              <w:noBreakHyphen/>
              <w:t>payment of charges or for any other lawful reason</w:t>
            </w:r>
            <w:r>
              <w:tab/>
            </w:r>
          </w:p>
        </w:tc>
        <w:tc>
          <w:tcPr>
            <w:tcW w:w="1276" w:type="dxa"/>
          </w:tcPr>
          <w:p>
            <w:pPr>
              <w:pStyle w:val="yTableNAm"/>
              <w:rPr>
                <w:bCs/>
                <w:iCs/>
              </w:rPr>
            </w:pPr>
            <w:r>
              <w:rPr>
                <w:bCs/>
                <w:iCs/>
              </w:rPr>
              <w:br/>
            </w:r>
            <w:r>
              <w:rPr>
                <w:bCs/>
                <w:iCs/>
              </w:rPr>
              <w:br/>
              <w:t>$31.10</w:t>
            </w:r>
          </w:p>
        </w:tc>
      </w:tr>
      <w:tr>
        <w:tc>
          <w:tcPr>
            <w:tcW w:w="5812" w:type="dxa"/>
            <w:gridSpan w:val="2"/>
          </w:tcPr>
          <w:p>
            <w:pPr>
              <w:pStyle w:val="yTableNAm"/>
              <w:rPr>
                <w:i/>
              </w:rPr>
            </w:pPr>
            <w:r>
              <w:rPr>
                <w:i/>
              </w:rPr>
              <w:t>[4.</w:t>
            </w:r>
            <w:r>
              <w:rPr>
                <w:i/>
              </w:rPr>
              <w:tab/>
              <w:t>Deleted]</w:t>
            </w:r>
          </w:p>
        </w:tc>
        <w:tc>
          <w:tcPr>
            <w:tcW w:w="1276" w:type="dxa"/>
          </w:tcPr>
          <w:p>
            <w:pPr>
              <w:pStyle w:val="yTableNAm"/>
              <w:rPr>
                <w:bCs/>
                <w:iCs/>
              </w:rPr>
            </w:pPr>
          </w:p>
        </w:tc>
      </w:tr>
      <w:tr>
        <w:tc>
          <w:tcPr>
            <w:tcW w:w="567" w:type="dxa"/>
          </w:tcPr>
          <w:p>
            <w:pPr>
              <w:pStyle w:val="yTableNAm"/>
            </w:pPr>
            <w:r>
              <w:t>5.</w:t>
            </w:r>
          </w:p>
        </w:tc>
        <w:tc>
          <w:tcPr>
            <w:tcW w:w="5245" w:type="dxa"/>
          </w:tcPr>
          <w:p>
            <w:pPr>
              <w:pStyle w:val="yTableNAm"/>
            </w:pPr>
            <w:r>
              <w:t>Temporary supply connection — </w:t>
            </w:r>
          </w:p>
          <w:p>
            <w:pPr>
              <w:pStyle w:val="yTableNAm"/>
              <w:tabs>
                <w:tab w:val="clear" w:pos="567"/>
                <w:tab w:val="left" w:pos="207"/>
                <w:tab w:val="left" w:pos="708"/>
                <w:tab w:val="right" w:pos="934"/>
                <w:tab w:val="right" w:leader="dot" w:pos="5075"/>
              </w:tabs>
              <w:ind w:left="686" w:hanging="686"/>
            </w:pPr>
            <w:r>
              <w:tab/>
              <w:t>(a)</w:t>
            </w:r>
            <w:r>
              <w:tab/>
              <w:t xml:space="preserve">single phase (overhead) </w:t>
            </w:r>
            <w:r>
              <w:tab/>
            </w:r>
          </w:p>
          <w:p>
            <w:pPr>
              <w:pStyle w:val="yTableNAm"/>
              <w:tabs>
                <w:tab w:val="clear" w:pos="567"/>
                <w:tab w:val="left" w:pos="207"/>
                <w:tab w:val="left" w:pos="708"/>
                <w:tab w:val="right" w:pos="934"/>
                <w:tab w:val="right" w:leader="dot" w:pos="5075"/>
              </w:tabs>
              <w:ind w:left="686" w:hanging="686"/>
              <w:rPr>
                <w:b/>
                <w:iCs/>
              </w:rPr>
            </w:pPr>
            <w:r>
              <w:tab/>
              <w:t>(b)</w:t>
            </w:r>
            <w:r>
              <w:tab/>
              <w:t xml:space="preserve">three phase (overhead) </w:t>
            </w:r>
            <w:r>
              <w:tab/>
            </w:r>
          </w:p>
        </w:tc>
        <w:tc>
          <w:tcPr>
            <w:tcW w:w="1276" w:type="dxa"/>
          </w:tcPr>
          <w:p>
            <w:pPr>
              <w:pStyle w:val="yTableNAm"/>
              <w:rPr>
                <w:bCs/>
                <w:iCs/>
              </w:rPr>
            </w:pPr>
          </w:p>
          <w:p>
            <w:pPr>
              <w:pStyle w:val="yTableNAm"/>
              <w:rPr>
                <w:bCs/>
                <w:iCs/>
              </w:rPr>
            </w:pPr>
            <w:r>
              <w:t>$721.00</w:t>
            </w:r>
          </w:p>
          <w:p>
            <w:pPr>
              <w:pStyle w:val="yTableNAm"/>
              <w:rPr>
                <w:bCs/>
                <w:iCs/>
              </w:rPr>
            </w:pPr>
            <w:r>
              <w:t>$721.00</w:t>
            </w:r>
          </w:p>
        </w:tc>
      </w:tr>
      <w:tr>
        <w:tc>
          <w:tcPr>
            <w:tcW w:w="567" w:type="dxa"/>
          </w:tcPr>
          <w:p>
            <w:pPr>
              <w:pStyle w:val="yTableNAm"/>
            </w:pPr>
            <w:r>
              <w:t>6.</w:t>
            </w:r>
          </w:p>
        </w:tc>
        <w:tc>
          <w:tcPr>
            <w:tcW w:w="5245" w:type="dxa"/>
          </w:tcPr>
          <w:p>
            <w:pPr>
              <w:pStyle w:val="yTableNAm"/>
            </w:pPr>
            <w:r>
              <w:t>Meter testing — </w:t>
            </w:r>
          </w:p>
          <w:p>
            <w:pPr>
              <w:pStyle w:val="yTableNAm"/>
              <w:tabs>
                <w:tab w:val="clear" w:pos="567"/>
                <w:tab w:val="left" w:pos="207"/>
                <w:tab w:val="left" w:pos="708"/>
                <w:tab w:val="right" w:pos="934"/>
                <w:tab w:val="right" w:leader="dot" w:pos="5075"/>
              </w:tabs>
              <w:ind w:left="686" w:hanging="686"/>
            </w:pPr>
            <w:r>
              <w:tab/>
              <w:t>(a)</w:t>
            </w:r>
            <w:r>
              <w:tab/>
              <w:t xml:space="preserve">standard meter testing fee </w:t>
            </w:r>
            <w:r>
              <w:tab/>
            </w:r>
          </w:p>
          <w:p>
            <w:pPr>
              <w:pStyle w:val="yTableNAm"/>
              <w:tabs>
                <w:tab w:val="clear" w:pos="567"/>
                <w:tab w:val="left" w:pos="207"/>
                <w:tab w:val="left" w:pos="708"/>
                <w:tab w:val="right" w:pos="934"/>
                <w:tab w:val="right" w:leader="dot" w:pos="5075"/>
              </w:tabs>
              <w:ind w:left="686" w:hanging="686"/>
            </w:pPr>
            <w:r>
              <w:tab/>
              <w:t>(b)</w:t>
            </w:r>
            <w:r>
              <w:tab/>
              <w:t xml:space="preserve">reduced meter testing fee </w:t>
            </w:r>
            <w:r>
              <w:tab/>
            </w:r>
          </w:p>
        </w:tc>
        <w:tc>
          <w:tcPr>
            <w:tcW w:w="1276"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567" w:type="dxa"/>
          </w:tcPr>
          <w:p>
            <w:pPr>
              <w:pStyle w:val="yTableNAm"/>
            </w:pPr>
            <w:r>
              <w:t>7.</w:t>
            </w:r>
          </w:p>
        </w:tc>
        <w:tc>
          <w:tcPr>
            <w:tcW w:w="5245" w:type="dxa"/>
          </w:tcPr>
          <w:p>
            <w:pPr>
              <w:pStyle w:val="yTableNAm"/>
              <w:tabs>
                <w:tab w:val="right" w:leader="dot" w:pos="5075"/>
              </w:tabs>
            </w:pPr>
            <w:r>
              <w:t xml:space="preserve">Disconnection of </w:t>
            </w:r>
            <w:r>
              <w:rPr>
                <w:iCs/>
              </w:rPr>
              <w:t>overhead</w:t>
            </w:r>
            <w:r>
              <w:t xml:space="preserve"> service </w:t>
            </w:r>
            <w:r>
              <w:rPr>
                <w:iCs/>
              </w:rPr>
              <w:t>leads</w:t>
            </w:r>
            <w:r>
              <w:t xml:space="preserve"> following unauthorised reconnection </w:t>
            </w:r>
            <w:r>
              <w:tab/>
            </w:r>
          </w:p>
        </w:tc>
        <w:tc>
          <w:tcPr>
            <w:tcW w:w="1276" w:type="dxa"/>
          </w:tcPr>
          <w:p>
            <w:pPr>
              <w:pStyle w:val="yTableNAm"/>
              <w:rPr>
                <w:bCs/>
                <w:iCs/>
              </w:rPr>
            </w:pPr>
            <w:r>
              <w:rPr>
                <w:bCs/>
                <w:iCs/>
              </w:rPr>
              <w:br/>
            </w:r>
            <w:r>
              <w:t>$412.00</w:t>
            </w:r>
          </w:p>
        </w:tc>
      </w:tr>
      <w:tr>
        <w:tc>
          <w:tcPr>
            <w:tcW w:w="567" w:type="dxa"/>
          </w:tcPr>
          <w:p>
            <w:pPr>
              <w:pStyle w:val="yTableNAm"/>
            </w:pPr>
            <w:r>
              <w:t>8.</w:t>
            </w:r>
          </w:p>
        </w:tc>
        <w:tc>
          <w:tcPr>
            <w:tcW w:w="5245" w:type="dxa"/>
          </w:tcPr>
          <w:p>
            <w:pPr>
              <w:pStyle w:val="yTableNAm"/>
              <w:tabs>
                <w:tab w:val="right" w:leader="dot" w:pos="5075"/>
              </w:tabs>
            </w:pPr>
            <w:r>
              <w:t xml:space="preserve">Meter reading where reading requested by consumer </w:t>
            </w:r>
            <w:r>
              <w:tab/>
            </w:r>
          </w:p>
        </w:tc>
        <w:tc>
          <w:tcPr>
            <w:tcW w:w="1276" w:type="dxa"/>
          </w:tcPr>
          <w:p>
            <w:pPr>
              <w:pStyle w:val="yTableNAm"/>
              <w:rPr>
                <w:bCs/>
                <w:iCs/>
              </w:rPr>
            </w:pPr>
            <w:r>
              <w:t>$22.77</w:t>
            </w:r>
          </w:p>
        </w:tc>
      </w:tr>
      <w:tr>
        <w:tc>
          <w:tcPr>
            <w:tcW w:w="5812" w:type="dxa"/>
            <w:gridSpan w:val="2"/>
          </w:tcPr>
          <w:p>
            <w:pPr>
              <w:pStyle w:val="yTableNAm"/>
              <w:tabs>
                <w:tab w:val="right" w:leader="dot" w:pos="5075"/>
              </w:tabs>
              <w:rPr>
                <w:i/>
              </w:rPr>
            </w:pPr>
            <w:r>
              <w:rPr>
                <w:i/>
              </w:rPr>
              <w:t>[9.</w:t>
            </w:r>
            <w:r>
              <w:rPr>
                <w:i/>
              </w:rPr>
              <w:tab/>
              <w:t>Deleted]</w:t>
            </w:r>
          </w:p>
        </w:tc>
        <w:tc>
          <w:tcPr>
            <w:tcW w:w="1276" w:type="dxa"/>
          </w:tcPr>
          <w:p>
            <w:pPr>
              <w:pStyle w:val="yTableNAm"/>
              <w:rPr>
                <w:bCs/>
                <w:iCs/>
              </w:rPr>
            </w:pPr>
          </w:p>
        </w:tc>
      </w:tr>
      <w:tr>
        <w:tc>
          <w:tcPr>
            <w:tcW w:w="567" w:type="dxa"/>
          </w:tcPr>
          <w:p>
            <w:pPr>
              <w:pStyle w:val="yTableNAm"/>
            </w:pPr>
            <w:r>
              <w:t>10.</w:t>
            </w:r>
          </w:p>
        </w:tc>
        <w:tc>
          <w:tcPr>
            <w:tcW w:w="5245" w:type="dxa"/>
          </w:tcPr>
          <w:p>
            <w:pPr>
              <w:pStyle w:val="yTableNAm"/>
              <w:tabs>
                <w:tab w:val="right" w:leader="dot" w:pos="5075"/>
              </w:tabs>
            </w:pPr>
            <w:r>
              <w:t xml:space="preserve">Overdue account notices </w:t>
            </w:r>
            <w:r>
              <w:tab/>
            </w:r>
          </w:p>
        </w:tc>
        <w:tc>
          <w:tcPr>
            <w:tcW w:w="1276" w:type="dxa"/>
          </w:tcPr>
          <w:p>
            <w:pPr>
              <w:pStyle w:val="yTableNAm"/>
              <w:rPr>
                <w:bCs/>
                <w:iCs/>
              </w:rPr>
            </w:pPr>
            <w:r>
              <w:rPr>
                <w:szCs w:val="22"/>
              </w:rPr>
              <w:t>$4.75</w:t>
            </w:r>
          </w:p>
        </w:tc>
      </w:tr>
      <w:tr>
        <w:trPr>
          <w:cantSplit/>
        </w:trPr>
        <w:tc>
          <w:tcPr>
            <w:tcW w:w="567" w:type="dxa"/>
          </w:tcPr>
          <w:p>
            <w:pPr>
              <w:pStyle w:val="yTableNAm"/>
            </w:pPr>
            <w:r>
              <w:t>11.</w:t>
            </w:r>
          </w:p>
        </w:tc>
        <w:tc>
          <w:tcPr>
            <w:tcW w:w="5245" w:type="dxa"/>
          </w:tcPr>
          <w:p>
            <w:pPr>
              <w:pStyle w:val="yTableNAm"/>
              <w:tabs>
                <w:tab w:val="right" w:leader="dot" w:pos="5075"/>
              </w:tabs>
            </w:pPr>
            <w:r>
              <w:t xml:space="preserve">Rejected account payment (where payment made through Australia Post) </w:t>
            </w:r>
            <w:r>
              <w:tab/>
            </w:r>
          </w:p>
        </w:tc>
        <w:tc>
          <w:tcPr>
            <w:tcW w:w="1276" w:type="dxa"/>
          </w:tcPr>
          <w:p>
            <w:pPr>
              <w:pStyle w:val="yTableNAm"/>
              <w:rPr>
                <w:bCs/>
                <w:iCs/>
              </w:rPr>
            </w:pPr>
            <w:r>
              <w:rPr>
                <w:bCs/>
                <w:iCs/>
              </w:rPr>
              <w:br/>
            </w:r>
            <w:r>
              <w:t>$24.20</w:t>
            </w:r>
          </w:p>
        </w:tc>
      </w:tr>
      <w:tr>
        <w:trPr>
          <w:cantSplit/>
        </w:trPr>
        <w:tc>
          <w:tcPr>
            <w:tcW w:w="567" w:type="dxa"/>
          </w:tcPr>
          <w:p>
            <w:pPr>
              <w:pStyle w:val="yTableNAm"/>
            </w:pPr>
            <w:r>
              <w:t>12.</w:t>
            </w:r>
          </w:p>
        </w:tc>
        <w:tc>
          <w:tcPr>
            <w:tcW w:w="5245" w:type="dxa"/>
          </w:tcPr>
          <w:p>
            <w:pPr>
              <w:pStyle w:val="yTableNAm"/>
            </w:pPr>
            <w:r>
              <w:t>A transaction fee where a consumer makes a payment to the corporation by means of one of the following — </w:t>
            </w:r>
          </w:p>
        </w:tc>
        <w:tc>
          <w:tcPr>
            <w:tcW w:w="1276" w:type="dxa"/>
          </w:tcPr>
          <w:p>
            <w:pPr>
              <w:pStyle w:val="yTableNAm"/>
              <w:rPr>
                <w:bCs/>
                <w:iCs/>
              </w:rPr>
            </w:pPr>
          </w:p>
        </w:tc>
      </w:tr>
      <w:tr>
        <w:trPr>
          <w:cantSplit/>
        </w:trPr>
        <w:tc>
          <w:tcPr>
            <w:tcW w:w="567" w:type="dxa"/>
          </w:tcPr>
          <w:p>
            <w:pPr>
              <w:pStyle w:val="yTableNAm"/>
            </w:pPr>
          </w:p>
        </w:tc>
        <w:tc>
          <w:tcPr>
            <w:tcW w:w="5245" w:type="dxa"/>
          </w:tcPr>
          <w:p>
            <w:pPr>
              <w:pStyle w:val="yTableNAm"/>
              <w:tabs>
                <w:tab w:val="clear" w:pos="567"/>
                <w:tab w:val="left" w:pos="207"/>
                <w:tab w:val="left" w:pos="708"/>
                <w:tab w:val="right" w:pos="934"/>
                <w:tab w:val="right" w:leader="dot" w:pos="5075"/>
              </w:tabs>
              <w:ind w:left="686" w:hanging="686"/>
            </w:pPr>
            <w:r>
              <w:tab/>
              <w:t>(a)</w:t>
            </w:r>
            <w:r>
              <w:tab/>
              <w:t xml:space="preserve">a Visa or a MasterCard credit card or debit card </w:t>
            </w:r>
            <w:r>
              <w:tab/>
            </w:r>
          </w:p>
        </w:tc>
        <w:tc>
          <w:tcPr>
            <w:tcW w:w="1276" w:type="dxa"/>
          </w:tcPr>
          <w:p>
            <w:pPr>
              <w:pStyle w:val="yTableNAm"/>
              <w:rPr>
                <w:bCs/>
                <w:iCs/>
              </w:rPr>
            </w:pPr>
            <w:r>
              <w:t>0.7% of the amount of the charge</w:t>
            </w:r>
          </w:p>
        </w:tc>
      </w:tr>
      <w:tr>
        <w:trPr>
          <w:cantSplit/>
        </w:trPr>
        <w:tc>
          <w:tcPr>
            <w:tcW w:w="567" w:type="dxa"/>
            <w:tcBorders>
              <w:bottom w:val="single" w:sz="4" w:space="0" w:color="auto"/>
            </w:tcBorders>
          </w:tcPr>
          <w:p>
            <w:pPr>
              <w:pStyle w:val="yTableNAm"/>
              <w:spacing w:after="80"/>
            </w:pPr>
          </w:p>
        </w:tc>
        <w:tc>
          <w:tcPr>
            <w:tcW w:w="5245" w:type="dxa"/>
            <w:tcBorders>
              <w:bottom w:val="single" w:sz="4" w:space="0" w:color="auto"/>
            </w:tcBorders>
          </w:tcPr>
          <w:p>
            <w:pPr>
              <w:pStyle w:val="yTableNAm"/>
              <w:tabs>
                <w:tab w:val="clear" w:pos="567"/>
                <w:tab w:val="left" w:pos="207"/>
                <w:tab w:val="left" w:pos="708"/>
                <w:tab w:val="right" w:pos="934"/>
                <w:tab w:val="right" w:leader="dot" w:pos="5075"/>
              </w:tabs>
              <w:spacing w:after="80"/>
              <w:ind w:left="686" w:hanging="686"/>
            </w:pPr>
            <w:r>
              <w:tab/>
              <w:t>(b)</w:t>
            </w:r>
            <w:r>
              <w:tab/>
              <w:t xml:space="preserve">an American Express credit card </w:t>
            </w:r>
            <w:r>
              <w:tab/>
            </w:r>
          </w:p>
        </w:tc>
        <w:tc>
          <w:tcPr>
            <w:tcW w:w="1276" w:type="dxa"/>
            <w:tcBorders>
              <w:bottom w:val="single" w:sz="4" w:space="0" w:color="auto"/>
            </w:tcBorders>
          </w:tcPr>
          <w:p>
            <w:pPr>
              <w:pStyle w:val="yTableNAm"/>
              <w:spacing w:after="80"/>
              <w:rPr>
                <w:bCs/>
                <w:iCs/>
              </w:rPr>
            </w:pPr>
            <w:r>
              <w:t>0.7% of the amount of the charge</w:t>
            </w:r>
          </w:p>
        </w:tc>
      </w:tr>
    </w:tbl>
    <w:p>
      <w:pPr>
        <w:pStyle w:val="yFootnotesection"/>
      </w:pPr>
      <w:r>
        <w:tab/>
        <w:t>[Schedule 4 inserted in Gazette 26 Mar 2010 p. 1187-8; amended in Gazette 24 Jun 2011 p. 2498; 29 Jun 2012 p. 2911; 30 Aug 2013 p. 4096; 27 Jun 2014 p. 2326.]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endnotePr>
            <w:numFmt w:val="decimal"/>
          </w:endnotePr>
          <w:pgSz w:w="11907" w:h="16840" w:code="9"/>
          <w:pgMar w:top="2376" w:right="2405" w:bottom="3542" w:left="2405" w:header="706" w:footer="3380" w:gutter="0"/>
          <w:cols w:space="720"/>
          <w:noEndnote/>
          <w:docGrid w:linePitch="326"/>
        </w:sectPr>
      </w:pPr>
    </w:p>
    <w:p>
      <w:pPr>
        <w:pStyle w:val="nHeading2"/>
      </w:pPr>
      <w:bookmarkStart w:id="76" w:name="_Toc399137937"/>
      <w:bookmarkStart w:id="77" w:name="_Toc401908224"/>
      <w:bookmarkStart w:id="78" w:name="_Toc416788406"/>
      <w:bookmarkStart w:id="79" w:name="_Toc416788438"/>
      <w:r>
        <w:t>Notes</w:t>
      </w:r>
      <w:bookmarkEnd w:id="76"/>
      <w:bookmarkEnd w:id="77"/>
      <w:bookmarkEnd w:id="78"/>
      <w:bookmarkEnd w:id="79"/>
    </w:p>
    <w:p>
      <w:pPr>
        <w:pStyle w:val="nSubsection"/>
        <w:rPr>
          <w:snapToGrid w:val="0"/>
        </w:rPr>
      </w:pPr>
      <w:r>
        <w:rPr>
          <w:snapToGrid w:val="0"/>
          <w:vertAlign w:val="superscript"/>
        </w:rPr>
        <w:t>1</w:t>
      </w:r>
      <w:r>
        <w:rPr>
          <w:snapToGrid w:val="0"/>
        </w:rPr>
        <w:tab/>
        <w:t xml:space="preserve">This reprint is a compilation as at 3 October 2014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80" w:name="_Toc401908225"/>
      <w:bookmarkStart w:id="81" w:name="_Toc416788439"/>
      <w:r>
        <w:t>Compilation table</w:t>
      </w:r>
      <w:bookmarkEnd w:id="80"/>
      <w:bookmarkEnd w:id="8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8"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8"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8"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8"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8"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8"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8"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8"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8"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8"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8" w:type="dxa"/>
            <w:gridSpan w:val="3"/>
            <w:tcBorders>
              <w:bottom w:val="single" w:sz="8" w:space="0" w:color="auto"/>
            </w:tcBorders>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bl>
    <w:p>
      <w:pPr>
        <w:sectPr>
          <w:headerReference w:type="even" r:id="rId36"/>
          <w:headerReference w:type="default" r:id="rId37"/>
          <w:headerReference w:type="first" r:id="rId3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3" w:name="_Toc416788440"/>
      <w:r>
        <w:rPr>
          <w:sz w:val="28"/>
        </w:rPr>
        <w:t>Defined terms</w:t>
      </w:r>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interest period</w:t>
      </w:r>
      <w:r>
        <w:tab/>
        <w:t>12(1)</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Street lighting</w: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Street lighting</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4151054"/>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3.png"/><Relationship Id="rId38" Type="http://schemas.openxmlformats.org/officeDocument/2006/relationships/header" Target="header20.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3874</Words>
  <Characters>19026</Characters>
  <Application>Microsoft Office Word</Application>
  <DocSecurity>0</DocSecurity>
  <Lines>864</Lines>
  <Paragraphs>636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2006 - 02-a0-02</dc:title>
  <dc:subject/>
  <dc:creator/>
  <cp:keywords/>
  <dc:description/>
  <cp:lastModifiedBy>svcMRProcess</cp:lastModifiedBy>
  <cp:revision>4</cp:revision>
  <cp:lastPrinted>2014-10-21T01:03:00Z</cp:lastPrinted>
  <dcterms:created xsi:type="dcterms:W3CDTF">2020-02-24T16:46:00Z</dcterms:created>
  <dcterms:modified xsi:type="dcterms:W3CDTF">2020-02-24T16:46:00Z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20141003</vt:lpwstr>
  </property>
  <property fmtid="{D5CDD505-2E9C-101B-9397-08002B2CF9AE}" pid="4" name="OwlsUID">
    <vt:i4>38408</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2014-10-02T16:00:00Z</vt:filetime>
  </property>
  <property fmtid="{D5CDD505-2E9C-101B-9397-08002B2CF9AE}" pid="8" name="AsAtDate">
    <vt:lpwstr>03 Oct 2014</vt:lpwstr>
  </property>
  <property fmtid="{D5CDD505-2E9C-101B-9397-08002B2CF9AE}" pid="9" name="Suffix">
    <vt:lpwstr>02-a0-02</vt:lpwstr>
  </property>
</Properties>
</file>