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Agriculture and Related Resources Protection Act 1976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October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Agriculture and Related Resources Protection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_Toc412558159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_Toc412558160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_Toc412558161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10.</w:t>
      </w:r>
      <w:r>
        <w:tab/>
        <w:t>Delegation by Minister</w:t>
      </w:r>
      <w:r>
        <w:tab/>
      </w:r>
      <w:r>
        <w:fldChar w:fldCharType="begin"/>
      </w:r>
      <w:r>
        <w:instrText xml:space="preserve"> PAGEREF _Toc412558163 \h </w:instrText>
      </w:r>
      <w:r>
        <w:fldChar w:fldCharType="separate"/>
      </w:r>
      <w:r>
        <w:t>8</w:t>
      </w:r>
      <w:r>
        <w:fldChar w:fldCharType="end"/>
      </w:r>
    </w:p>
    <w:p>
      <w:pPr>
        <w:pStyle w:val="TOC8"/>
        <w:rPr>
          <w:rFonts w:asciiTheme="minorHAnsi" w:eastAsiaTheme="minorEastAsia" w:hAnsiTheme="minorHAnsi" w:cstheme="minorBidi"/>
          <w:szCs w:val="22"/>
        </w:rPr>
      </w:pPr>
      <w:r>
        <w:t>11A.</w:t>
      </w:r>
      <w:r>
        <w:tab/>
        <w:t>Delegation by Director General</w:t>
      </w:r>
      <w:r>
        <w:tab/>
      </w:r>
      <w:r>
        <w:fldChar w:fldCharType="begin"/>
      </w:r>
      <w:r>
        <w:instrText xml:space="preserve"> PAGEREF _Toc412558164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Authorised persons</w:t>
      </w:r>
      <w:r>
        <w:tab/>
      </w:r>
      <w:r>
        <w:fldChar w:fldCharType="begin"/>
      </w:r>
      <w:r>
        <w:instrText xml:space="preserve"> PAGEREF _Toc412558165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IV — Declaration of plants and animals</w:t>
      </w:r>
    </w:p>
    <w:p>
      <w:pPr>
        <w:pStyle w:val="TOC8"/>
        <w:rPr>
          <w:rFonts w:asciiTheme="minorHAnsi" w:eastAsiaTheme="minorEastAsia" w:hAnsiTheme="minorHAnsi" w:cstheme="minorBidi"/>
          <w:szCs w:val="22"/>
        </w:rPr>
      </w:pPr>
      <w:r>
        <w:t>35</w:t>
      </w:r>
      <w:r>
        <w:rPr>
          <w:snapToGrid w:val="0"/>
        </w:rPr>
        <w:t>.</w:t>
      </w:r>
      <w:r>
        <w:rPr>
          <w:snapToGrid w:val="0"/>
        </w:rPr>
        <w:tab/>
        <w:t>Classes of plants and animals may be declared</w:t>
      </w:r>
      <w:r>
        <w:tab/>
      </w:r>
      <w:r>
        <w:fldChar w:fldCharType="begin"/>
      </w:r>
      <w:r>
        <w:instrText xml:space="preserve"> PAGEREF _Toc412558167 \h </w:instrText>
      </w:r>
      <w:r>
        <w:fldChar w:fldCharType="separate"/>
      </w:r>
      <w:r>
        <w:t>10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Categories of declared plants and animals</w:t>
      </w:r>
      <w:r>
        <w:tab/>
      </w:r>
      <w:r>
        <w:fldChar w:fldCharType="begin"/>
      </w:r>
      <w:r>
        <w:instrText xml:space="preserve"> PAGEREF _Toc412558168 \h </w:instrText>
      </w:r>
      <w:r>
        <w:fldChar w:fldCharType="separate"/>
      </w:r>
      <w:r>
        <w:t>10</w:t>
      </w:r>
      <w:r>
        <w:fldChar w:fldCharType="end"/>
      </w:r>
    </w:p>
    <w:p>
      <w:pPr>
        <w:pStyle w:val="TOC8"/>
        <w:rPr>
          <w:rFonts w:asciiTheme="minorHAnsi" w:eastAsiaTheme="minorEastAsia" w:hAnsiTheme="minorHAnsi" w:cstheme="minorBidi"/>
          <w:szCs w:val="22"/>
        </w:rPr>
      </w:pPr>
      <w:r>
        <w:t>37.</w:t>
      </w:r>
      <w:r>
        <w:tab/>
        <w:t>List of declared animals and plants</w:t>
      </w:r>
      <w:r>
        <w:tab/>
      </w:r>
      <w:r>
        <w:fldChar w:fldCharType="begin"/>
      </w:r>
      <w:r>
        <w:instrText xml:space="preserve"> PAGEREF _Toc412558169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 — Control of declared plants and declared animals</w:t>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Operational work</w:t>
      </w:r>
    </w:p>
    <w:p>
      <w:pPr>
        <w:pStyle w:val="TOC8"/>
        <w:rPr>
          <w:rFonts w:asciiTheme="minorHAnsi" w:eastAsiaTheme="minorEastAsia" w:hAnsiTheme="minorHAnsi" w:cstheme="minorBidi"/>
          <w:szCs w:val="22"/>
        </w:rPr>
      </w:pPr>
      <w:r>
        <w:t>57</w:t>
      </w:r>
      <w:r>
        <w:rPr>
          <w:snapToGrid w:val="0"/>
        </w:rPr>
        <w:t>.</w:t>
      </w:r>
      <w:r>
        <w:rPr>
          <w:snapToGrid w:val="0"/>
        </w:rPr>
        <w:tab/>
        <w:t>Term used: operational work</w:t>
      </w:r>
      <w:r>
        <w:tab/>
      </w:r>
      <w:r>
        <w:fldChar w:fldCharType="begin"/>
      </w:r>
      <w:r>
        <w:instrText xml:space="preserve"> PAGEREF _Toc412558172 \h </w:instrText>
      </w:r>
      <w:r>
        <w:fldChar w:fldCharType="separate"/>
      </w:r>
      <w:r>
        <w:t>13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Operational work may be carried out</w:t>
      </w:r>
      <w:r>
        <w:tab/>
      </w:r>
      <w:r>
        <w:fldChar w:fldCharType="begin"/>
      </w:r>
      <w:r>
        <w:instrText xml:space="preserve"> PAGEREF _Toc412558173 \h </w:instrText>
      </w:r>
      <w:r>
        <w:fldChar w:fldCharType="separate"/>
      </w:r>
      <w:r>
        <w:t>13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Saving provisions</w:t>
      </w:r>
      <w:r>
        <w:tab/>
      </w:r>
      <w:r>
        <w:fldChar w:fldCharType="begin"/>
      </w:r>
      <w:r>
        <w:instrText xml:space="preserve"> PAGEREF _Toc412558174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VIA — Protection of agriculture and related resources from agricultural chemicals</w:t>
      </w:r>
    </w:p>
    <w:p>
      <w:pPr>
        <w:pStyle w:val="TOC8"/>
        <w:rPr>
          <w:rFonts w:asciiTheme="minorHAnsi" w:eastAsiaTheme="minorEastAsia" w:hAnsiTheme="minorHAnsi" w:cstheme="minorBidi"/>
          <w:szCs w:val="22"/>
        </w:rPr>
      </w:pPr>
      <w:r>
        <w:t>83A</w:t>
      </w:r>
      <w:r>
        <w:rPr>
          <w:snapToGrid w:val="0"/>
        </w:rPr>
        <w:t xml:space="preserve">. </w:t>
      </w:r>
      <w:r>
        <w:rPr>
          <w:snapToGrid w:val="0"/>
        </w:rPr>
        <w:tab/>
        <w:t>Protection from agricultural chemicals</w:t>
      </w:r>
      <w:r>
        <w:tab/>
      </w:r>
      <w:r>
        <w:fldChar w:fldCharType="begin"/>
      </w:r>
      <w:r>
        <w:instrText xml:space="preserve"> PAGEREF _Toc412558176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VII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Powers of inspectors and authorised persons</w:t>
      </w:r>
    </w:p>
    <w:p>
      <w:pPr>
        <w:pStyle w:val="TOC8"/>
        <w:rPr>
          <w:rFonts w:asciiTheme="minorHAnsi" w:eastAsiaTheme="minorEastAsia" w:hAnsiTheme="minorHAnsi" w:cstheme="minorBidi"/>
          <w:szCs w:val="22"/>
        </w:rPr>
      </w:pPr>
      <w:r>
        <w:t>84</w:t>
      </w:r>
      <w:r>
        <w:rPr>
          <w:snapToGrid w:val="0"/>
        </w:rPr>
        <w:t>.</w:t>
      </w:r>
      <w:r>
        <w:rPr>
          <w:snapToGrid w:val="0"/>
        </w:rPr>
        <w:tab/>
        <w:t>Power of entry</w:t>
      </w:r>
      <w:r>
        <w:tab/>
      </w:r>
      <w:r>
        <w:fldChar w:fldCharType="begin"/>
      </w:r>
      <w:r>
        <w:instrText xml:space="preserve"> PAGEREF _Toc412558179 \h </w:instrText>
      </w:r>
      <w:r>
        <w:fldChar w:fldCharType="separate"/>
      </w:r>
      <w:r>
        <w:t>16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Power to search conveyances etc.</w:t>
      </w:r>
      <w:r>
        <w:tab/>
      </w:r>
      <w:r>
        <w:fldChar w:fldCharType="begin"/>
      </w:r>
      <w:r>
        <w:instrText xml:space="preserve"> PAGEREF _Toc412558180 \h </w:instrText>
      </w:r>
      <w:r>
        <w:fldChar w:fldCharType="separate"/>
      </w:r>
      <w:r>
        <w:t>18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Name and address may be required</w:t>
      </w:r>
      <w:r>
        <w:tab/>
      </w:r>
      <w:r>
        <w:fldChar w:fldCharType="begin"/>
      </w:r>
      <w:r>
        <w:instrText xml:space="preserve"> PAGEREF _Toc412558181 \h </w:instrText>
      </w:r>
      <w:r>
        <w:fldChar w:fldCharType="separate"/>
      </w:r>
      <w:r>
        <w:t>19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Obstruction etc.</w:t>
      </w:r>
      <w:r>
        <w:tab/>
      </w:r>
      <w:r>
        <w:fldChar w:fldCharType="begin"/>
      </w:r>
      <w:r>
        <w:instrText xml:space="preserve"> PAGEREF _Toc412558182 \h </w:instrText>
      </w:r>
      <w:r>
        <w:fldChar w:fldCharType="separate"/>
      </w:r>
      <w:r>
        <w:t>19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Personating officers</w:t>
      </w:r>
      <w:r>
        <w:tab/>
      </w:r>
      <w:r>
        <w:fldChar w:fldCharType="begin"/>
      </w:r>
      <w:r>
        <w:instrText xml:space="preserve"> PAGEREF _Toc412558183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Agents, mortgagees and trustees</w:t>
      </w:r>
    </w:p>
    <w:p>
      <w:pPr>
        <w:pStyle w:val="TOC8"/>
        <w:rPr>
          <w:rFonts w:asciiTheme="minorHAnsi" w:eastAsiaTheme="minorEastAsia" w:hAnsiTheme="minorHAnsi" w:cstheme="minorBidi"/>
          <w:szCs w:val="22"/>
        </w:rPr>
      </w:pPr>
      <w:r>
        <w:t>89</w:t>
      </w:r>
      <w:r>
        <w:rPr>
          <w:snapToGrid w:val="0"/>
        </w:rPr>
        <w:t>.</w:t>
      </w:r>
      <w:r>
        <w:rPr>
          <w:snapToGrid w:val="0"/>
        </w:rPr>
        <w:tab/>
        <w:t>Attorneys and agents to represent principal</w:t>
      </w:r>
      <w:r>
        <w:tab/>
      </w:r>
      <w:r>
        <w:fldChar w:fldCharType="begin"/>
      </w:r>
      <w:r>
        <w:instrText xml:space="preserve"> PAGEREF _Toc412558185 \h </w:instrText>
      </w:r>
      <w:r>
        <w:fldChar w:fldCharType="separate"/>
      </w:r>
      <w:r>
        <w:t>20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Powers of trustees</w:t>
      </w:r>
      <w:r>
        <w:tab/>
      </w:r>
      <w:r>
        <w:fldChar w:fldCharType="begin"/>
      </w:r>
      <w:r>
        <w:instrText xml:space="preserve"> PAGEREF _Toc412558186 \h </w:instrText>
      </w:r>
      <w:r>
        <w:fldChar w:fldCharType="separate"/>
      </w:r>
      <w:r>
        <w:t>21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Mortgagees</w:t>
      </w:r>
      <w:r>
        <w:tab/>
      </w:r>
      <w:r>
        <w:fldChar w:fldCharType="begin"/>
      </w:r>
      <w:r>
        <w:instrText xml:space="preserve"> PAGEREF _Toc412558187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Procedure</w:t>
      </w:r>
    </w:p>
    <w:p>
      <w:pPr>
        <w:pStyle w:val="TOC8"/>
        <w:rPr>
          <w:rFonts w:asciiTheme="minorHAnsi" w:eastAsiaTheme="minorEastAsia" w:hAnsiTheme="minorHAnsi" w:cstheme="minorBidi"/>
          <w:szCs w:val="22"/>
        </w:rPr>
      </w:pPr>
      <w:r>
        <w:t>92</w:t>
      </w:r>
      <w:r>
        <w:rPr>
          <w:snapToGrid w:val="0"/>
        </w:rPr>
        <w:t>.</w:t>
      </w:r>
      <w:r>
        <w:rPr>
          <w:snapToGrid w:val="0"/>
        </w:rPr>
        <w:tab/>
        <w:t>Manner in which notices may be served</w:t>
      </w:r>
      <w:r>
        <w:tab/>
      </w:r>
      <w:r>
        <w:fldChar w:fldCharType="begin"/>
      </w:r>
      <w:r>
        <w:instrText xml:space="preserve"> PAGEREF _Toc412558189 \h </w:instrText>
      </w:r>
      <w:r>
        <w:fldChar w:fldCharType="separate"/>
      </w:r>
      <w:r>
        <w:t>21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Proof of documents and service</w:t>
      </w:r>
      <w:r>
        <w:tab/>
      </w:r>
      <w:r>
        <w:fldChar w:fldCharType="begin"/>
      </w:r>
      <w:r>
        <w:instrText xml:space="preserve"> PAGEREF _Toc412558190 \h </w:instrText>
      </w:r>
      <w:r>
        <w:fldChar w:fldCharType="separate"/>
      </w:r>
      <w:r>
        <w:t>24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Proof of ownership or occupancy</w:t>
      </w:r>
      <w:r>
        <w:tab/>
      </w:r>
      <w:r>
        <w:fldChar w:fldCharType="begin"/>
      </w:r>
      <w:r>
        <w:instrText xml:space="preserve"> PAGEREF _Toc412558191 \h </w:instrText>
      </w:r>
      <w:r>
        <w:fldChar w:fldCharType="separate"/>
      </w:r>
      <w:r>
        <w:t>24</w:t>
      </w:r>
      <w:r>
        <w:fldChar w:fldCharType="end"/>
      </w:r>
    </w:p>
    <w:p>
      <w:pPr>
        <w:pStyle w:val="TOC8"/>
        <w:rPr>
          <w:rFonts w:asciiTheme="minorHAnsi" w:eastAsiaTheme="minorEastAsia" w:hAnsiTheme="minorHAnsi" w:cstheme="minorBidi"/>
          <w:szCs w:val="22"/>
        </w:rPr>
      </w:pPr>
      <w:r>
        <w:t>94A</w:t>
      </w:r>
      <w:r>
        <w:rPr>
          <w:snapToGrid w:val="0"/>
        </w:rPr>
        <w:t xml:space="preserve">. </w:t>
      </w:r>
      <w:r>
        <w:rPr>
          <w:snapToGrid w:val="0"/>
        </w:rPr>
        <w:tab/>
        <w:t>Proof of plant or animal</w:t>
      </w:r>
      <w:r>
        <w:tab/>
      </w:r>
      <w:r>
        <w:fldChar w:fldCharType="begin"/>
      </w:r>
      <w:r>
        <w:instrText xml:space="preserve"> PAGEREF _Toc412558192 \h </w:instrText>
      </w:r>
      <w:r>
        <w:fldChar w:fldCharType="separate"/>
      </w:r>
      <w:r>
        <w:t>26</w:t>
      </w:r>
      <w:r>
        <w:fldChar w:fldCharType="end"/>
      </w:r>
    </w:p>
    <w:p>
      <w:pPr>
        <w:pStyle w:val="TOC8"/>
        <w:rPr>
          <w:rFonts w:asciiTheme="minorHAnsi" w:eastAsiaTheme="minorEastAsia" w:hAnsiTheme="minorHAnsi" w:cstheme="minorBidi"/>
          <w:szCs w:val="22"/>
        </w:rPr>
      </w:pPr>
      <w:r>
        <w:t>95.</w:t>
      </w:r>
      <w:r>
        <w:tab/>
        <w:t>Judicial notice of signatures</w:t>
      </w:r>
      <w:r>
        <w:tab/>
      </w:r>
      <w:r>
        <w:fldChar w:fldCharType="begin"/>
      </w:r>
      <w:r>
        <w:instrText xml:space="preserve"> PAGEREF _Toc412558193 \h </w:instrText>
      </w:r>
      <w:r>
        <w:fldChar w:fldCharType="separate"/>
      </w:r>
      <w:r>
        <w:t>26</w:t>
      </w:r>
      <w:r>
        <w:fldChar w:fldCharType="end"/>
      </w:r>
    </w:p>
    <w:p>
      <w:pPr>
        <w:pStyle w:val="TOC8"/>
        <w:rPr>
          <w:rFonts w:asciiTheme="minorHAnsi" w:eastAsiaTheme="minorEastAsia" w:hAnsiTheme="minorHAnsi" w:cstheme="minorBidi"/>
          <w:szCs w:val="22"/>
        </w:rPr>
      </w:pPr>
      <w:r>
        <w:t>96.</w:t>
      </w:r>
      <w:r>
        <w:tab/>
        <w:t>Authentication of documents</w:t>
      </w:r>
      <w:r>
        <w:tab/>
      </w:r>
      <w:r>
        <w:fldChar w:fldCharType="begin"/>
      </w:r>
      <w:r>
        <w:instrText xml:space="preserve"> PAGEREF _Toc412558194 \h </w:instrText>
      </w:r>
      <w:r>
        <w:fldChar w:fldCharType="separate"/>
      </w:r>
      <w:r>
        <w:t>26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Evidentiary provisions</w:t>
      </w:r>
      <w:r>
        <w:tab/>
      </w:r>
      <w:r>
        <w:fldChar w:fldCharType="begin"/>
      </w:r>
      <w:r>
        <w:instrText xml:space="preserve"> PAGEREF _Toc412558195 \h </w:instrText>
      </w:r>
      <w:r>
        <w:fldChar w:fldCharType="separate"/>
      </w:r>
      <w:r>
        <w:t>26</w:t>
      </w:r>
      <w:r>
        <w:fldChar w:fldCharType="end"/>
      </w:r>
    </w:p>
    <w:p>
      <w:pPr>
        <w:pStyle w:val="TOC8"/>
        <w:rPr>
          <w:rFonts w:asciiTheme="minorHAnsi" w:eastAsiaTheme="minorEastAsia" w:hAnsiTheme="minorHAnsi" w:cstheme="minorBidi"/>
          <w:szCs w:val="22"/>
        </w:rPr>
      </w:pPr>
      <w:r>
        <w:t>98.</w:t>
      </w:r>
      <w:r>
        <w:tab/>
        <w:t>Prosecutions</w:t>
      </w:r>
      <w:r>
        <w:tab/>
      </w:r>
      <w:r>
        <w:fldChar w:fldCharType="begin"/>
      </w:r>
      <w:r>
        <w:instrText xml:space="preserve"> PAGEREF _Toc412558196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99</w:t>
      </w:r>
      <w:r>
        <w:rPr>
          <w:snapToGrid w:val="0"/>
        </w:rPr>
        <w:t>.</w:t>
      </w:r>
      <w:r>
        <w:rPr>
          <w:snapToGrid w:val="0"/>
        </w:rPr>
        <w:tab/>
        <w:t>Variation or cancellation of declarations</w:t>
      </w:r>
      <w:r>
        <w:tab/>
      </w:r>
      <w:r>
        <w:fldChar w:fldCharType="begin"/>
      </w:r>
      <w:r>
        <w:instrText xml:space="preserve"> PAGEREF _Toc412558198 \h </w:instrText>
      </w:r>
      <w:r>
        <w:fldChar w:fldCharType="separate"/>
      </w:r>
      <w:r>
        <w:t>27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Indemnity to persons acting in execution of powers conferred by Act</w:t>
      </w:r>
      <w:r>
        <w:tab/>
      </w:r>
      <w:r>
        <w:fldChar w:fldCharType="begin"/>
      </w:r>
      <w:r>
        <w:instrText xml:space="preserve"> PAGEREF _Toc412558199 \h </w:instrText>
      </w:r>
      <w:r>
        <w:fldChar w:fldCharType="separate"/>
      </w:r>
      <w:r>
        <w:t>27</w:t>
      </w:r>
      <w:r>
        <w:fldChar w:fldCharType="end"/>
      </w:r>
    </w:p>
    <w:p>
      <w:pPr>
        <w:pStyle w:val="TOC8"/>
        <w:rPr>
          <w:rFonts w:asciiTheme="minorHAnsi" w:eastAsiaTheme="minorEastAsia" w:hAnsiTheme="minorHAnsi" w:cstheme="minorBidi"/>
          <w:szCs w:val="22"/>
        </w:rPr>
      </w:pPr>
      <w:r>
        <w:rPr>
          <w:bCs/>
        </w:rPr>
        <w:t>102.</w:t>
      </w:r>
      <w:r>
        <w:rPr>
          <w:bCs/>
        </w:rPr>
        <w:tab/>
        <w:t>Offences to be dealt with by magistrate</w:t>
      </w:r>
      <w:r>
        <w:tab/>
      </w:r>
      <w:r>
        <w:fldChar w:fldCharType="begin"/>
      </w:r>
      <w:r>
        <w:instrText xml:space="preserve"> PAGEREF _Toc412558200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VIII — Regulations</w:t>
      </w:r>
    </w:p>
    <w:p>
      <w:pPr>
        <w:pStyle w:val="TOC8"/>
        <w:rPr>
          <w:rFonts w:asciiTheme="minorHAnsi" w:eastAsiaTheme="minorEastAsia" w:hAnsiTheme="minorHAnsi" w:cstheme="minorBidi"/>
          <w:szCs w:val="22"/>
        </w:rPr>
      </w:pPr>
      <w:r>
        <w:t>103.</w:t>
      </w:r>
      <w:r>
        <w:tab/>
        <w:t>Governor may make regulations</w:t>
      </w:r>
      <w:r>
        <w:tab/>
      </w:r>
      <w:r>
        <w:fldChar w:fldCharType="begin"/>
      </w:r>
      <w:r>
        <w:instrText xml:space="preserve"> PAGEREF _Toc412558202 \h </w:instrText>
      </w:r>
      <w:r>
        <w:fldChar w:fldCharType="separate"/>
      </w:r>
      <w:r>
        <w:t>29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Regulations — general</w:t>
      </w:r>
      <w:r>
        <w:tab/>
      </w:r>
      <w:r>
        <w:fldChar w:fldCharType="begin"/>
      </w:r>
      <w:r>
        <w:instrText xml:space="preserve"> PAGEREF _Toc412558203 \h </w:instrText>
      </w:r>
      <w:r>
        <w:fldChar w:fldCharType="separate"/>
      </w:r>
      <w:r>
        <w:t>29</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Regulations — declared plants and declared animals</w:t>
      </w:r>
      <w:r>
        <w:tab/>
      </w:r>
      <w:r>
        <w:fldChar w:fldCharType="begin"/>
      </w:r>
      <w:r>
        <w:instrText xml:space="preserve"> PAGEREF _Toc412558204 \h </w:instrText>
      </w:r>
      <w:r>
        <w:fldChar w:fldCharType="separate"/>
      </w:r>
      <w:r>
        <w:t>29</w:t>
      </w:r>
      <w:r>
        <w:fldChar w:fldCharType="end"/>
      </w:r>
    </w:p>
    <w:p>
      <w:pPr>
        <w:pStyle w:val="TOC8"/>
        <w:rPr>
          <w:rFonts w:asciiTheme="minorHAnsi" w:eastAsiaTheme="minorEastAsia" w:hAnsiTheme="minorHAnsi" w:cstheme="minorBidi"/>
          <w:szCs w:val="22"/>
        </w:rPr>
      </w:pPr>
      <w:r>
        <w:t>106A</w:t>
      </w:r>
      <w:r>
        <w:rPr>
          <w:snapToGrid w:val="0"/>
        </w:rPr>
        <w:t xml:space="preserve">. </w:t>
      </w:r>
      <w:r>
        <w:rPr>
          <w:snapToGrid w:val="0"/>
        </w:rPr>
        <w:tab/>
        <w:t>Regulations — storage, use and transport of prescribed chemicals</w:t>
      </w:r>
      <w:r>
        <w:tab/>
      </w:r>
      <w:r>
        <w:fldChar w:fldCharType="begin"/>
      </w:r>
      <w:r>
        <w:instrText xml:space="preserve"> PAGEREF _Toc412558205 \h </w:instrText>
      </w:r>
      <w:r>
        <w:fldChar w:fldCharType="separate"/>
      </w:r>
      <w:r>
        <w:t>32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General provisions as to regulations</w:t>
      </w:r>
      <w:r>
        <w:tab/>
      </w:r>
      <w:r>
        <w:fldChar w:fldCharType="begin"/>
      </w:r>
      <w:r>
        <w:instrText xml:space="preserve"> PAGEREF _Toc412558206 \h </w:instrText>
      </w:r>
      <w:r>
        <w:fldChar w:fldCharType="separate"/>
      </w:r>
      <w:r>
        <w:t>33</w:t>
      </w:r>
      <w:r>
        <w:fldChar w:fldCharType="end"/>
      </w:r>
    </w:p>
    <w:p>
      <w:pPr>
        <w:pStyle w:val="TOC8"/>
        <w:rPr>
          <w:rFonts w:asciiTheme="minorHAnsi" w:eastAsiaTheme="minorEastAsia" w:hAnsiTheme="minorHAnsi" w:cstheme="minorBidi"/>
          <w:szCs w:val="22"/>
        </w:rPr>
      </w:pPr>
      <w:r>
        <w:t>108.</w:t>
      </w:r>
      <w:r>
        <w:tab/>
        <w:t>Penalties under regulations</w:t>
      </w:r>
      <w:r>
        <w:tab/>
      </w:r>
      <w:r>
        <w:fldChar w:fldCharType="begin"/>
      </w:r>
      <w:r>
        <w:instrText xml:space="preserve"> PAGEREF _Toc412558207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XI</w:t>
      </w:r>
      <w:r>
        <w:rPr>
          <w:b w:val="0"/>
        </w:rPr>
        <w:t> </w:t>
      </w:r>
      <w:r>
        <w:t>—</w:t>
      </w:r>
      <w:r>
        <w:rPr>
          <w:b w:val="0"/>
        </w:rPr>
        <w:t> </w:t>
      </w:r>
      <w:r>
        <w:rPr>
          <w:i/>
          <w:iCs/>
        </w:rPr>
        <w:t>Agriculture and Related Resources Protection Amendment Act 2010</w:t>
      </w:r>
      <w:r>
        <w:t> — Savings and transitional provisions</w:t>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_Toc412558209 \h </w:instrText>
      </w:r>
      <w:r>
        <w:fldChar w:fldCharType="separate"/>
      </w:r>
      <w:r>
        <w:t>35</w:t>
      </w:r>
      <w:r>
        <w:fldChar w:fldCharType="end"/>
      </w:r>
    </w:p>
    <w:p>
      <w:pPr>
        <w:pStyle w:val="TOC8"/>
        <w:rPr>
          <w:rFonts w:asciiTheme="minorHAnsi" w:eastAsiaTheme="minorEastAsia" w:hAnsiTheme="minorHAnsi" w:cstheme="minorBidi"/>
          <w:szCs w:val="22"/>
        </w:rPr>
      </w:pPr>
      <w:r>
        <w:t>121.</w:t>
      </w:r>
      <w:r>
        <w:tab/>
        <w:t>Approvals and certificates</w:t>
      </w:r>
      <w:r>
        <w:tab/>
      </w:r>
      <w:r>
        <w:fldChar w:fldCharType="begin"/>
      </w:r>
      <w:r>
        <w:instrText xml:space="preserve"> PAGEREF _Toc412558210 \h </w:instrText>
      </w:r>
      <w:r>
        <w:fldChar w:fldCharType="separate"/>
      </w:r>
      <w:r>
        <w:t>35</w:t>
      </w:r>
      <w:r>
        <w:fldChar w:fldCharType="end"/>
      </w:r>
    </w:p>
    <w:p>
      <w:pPr>
        <w:pStyle w:val="TOC8"/>
        <w:rPr>
          <w:rFonts w:asciiTheme="minorHAnsi" w:eastAsiaTheme="minorEastAsia" w:hAnsiTheme="minorHAnsi" w:cstheme="minorBidi"/>
          <w:szCs w:val="22"/>
        </w:rPr>
      </w:pPr>
      <w:r>
        <w:t>122.</w:t>
      </w:r>
      <w:r>
        <w:tab/>
        <w:t>Authorised persons</w:t>
      </w:r>
      <w:r>
        <w:tab/>
      </w:r>
      <w:r>
        <w:fldChar w:fldCharType="begin"/>
      </w:r>
      <w:r>
        <w:instrText xml:space="preserve"> PAGEREF _Toc412558211 \h </w:instrText>
      </w:r>
      <w:r>
        <w:fldChar w:fldCharType="separate"/>
      </w:r>
      <w:r>
        <w:t>35</w:t>
      </w:r>
      <w:r>
        <w:fldChar w:fldCharType="end"/>
      </w:r>
    </w:p>
    <w:p>
      <w:pPr>
        <w:pStyle w:val="TOC8"/>
        <w:rPr>
          <w:rFonts w:asciiTheme="minorHAnsi" w:eastAsiaTheme="minorEastAsia" w:hAnsiTheme="minorHAnsi" w:cstheme="minorBidi"/>
          <w:szCs w:val="22"/>
        </w:rPr>
      </w:pPr>
      <w:r>
        <w:t>123.</w:t>
      </w:r>
      <w:r>
        <w:tab/>
        <w:t>Declarations</w:t>
      </w:r>
      <w:r>
        <w:tab/>
      </w:r>
      <w:r>
        <w:fldChar w:fldCharType="begin"/>
      </w:r>
      <w:r>
        <w:instrText xml:space="preserve"> PAGEREF _Toc412558212 \h </w:instrText>
      </w:r>
      <w:r>
        <w:fldChar w:fldCharType="separate"/>
      </w:r>
      <w:r>
        <w:t>35</w:t>
      </w:r>
      <w:r>
        <w:fldChar w:fldCharType="end"/>
      </w:r>
    </w:p>
    <w:p>
      <w:pPr>
        <w:pStyle w:val="TOC8"/>
        <w:rPr>
          <w:rFonts w:asciiTheme="minorHAnsi" w:eastAsiaTheme="minorEastAsia" w:hAnsiTheme="minorHAnsi" w:cstheme="minorBidi"/>
          <w:szCs w:val="22"/>
        </w:rPr>
      </w:pPr>
      <w:r>
        <w:t>124.</w:t>
      </w:r>
      <w:r>
        <w:tab/>
        <w:t>Rates payable under section 61</w:t>
      </w:r>
      <w:r>
        <w:tab/>
      </w:r>
      <w:r>
        <w:fldChar w:fldCharType="begin"/>
      </w:r>
      <w:r>
        <w:instrText xml:space="preserve"> PAGEREF _Toc412558213 \h </w:instrText>
      </w:r>
      <w:r>
        <w:fldChar w:fldCharType="separate"/>
      </w:r>
      <w:r>
        <w:t>36</w:t>
      </w:r>
      <w:r>
        <w:fldChar w:fldCharType="end"/>
      </w:r>
    </w:p>
    <w:p>
      <w:pPr>
        <w:pStyle w:val="TOC8"/>
        <w:rPr>
          <w:rFonts w:asciiTheme="minorHAnsi" w:eastAsiaTheme="minorEastAsia" w:hAnsiTheme="minorHAnsi" w:cstheme="minorBidi"/>
          <w:szCs w:val="22"/>
        </w:rPr>
      </w:pPr>
      <w:r>
        <w:t>125.</w:t>
      </w:r>
      <w:r>
        <w:tab/>
        <w:t>Funds in, or payable to, former account</w:t>
      </w:r>
      <w:r>
        <w:tab/>
      </w:r>
      <w:r>
        <w:fldChar w:fldCharType="begin"/>
      </w:r>
      <w:r>
        <w:instrText xml:space="preserve"> PAGEREF _Toc412558214 \h </w:instrText>
      </w:r>
      <w:r>
        <w:fldChar w:fldCharType="separate"/>
      </w:r>
      <w:r>
        <w:t>36</w:t>
      </w:r>
      <w:r>
        <w:fldChar w:fldCharType="end"/>
      </w:r>
    </w:p>
    <w:p>
      <w:pPr>
        <w:pStyle w:val="TOC8"/>
        <w:rPr>
          <w:rFonts w:asciiTheme="minorHAnsi" w:eastAsiaTheme="minorEastAsia" w:hAnsiTheme="minorHAnsi" w:cstheme="minorBidi"/>
          <w:szCs w:val="22"/>
        </w:rPr>
      </w:pPr>
      <w:r>
        <w:t>126.</w:t>
      </w:r>
      <w:r>
        <w:tab/>
        <w:t>Management programmes</w:t>
      </w:r>
      <w:r>
        <w:tab/>
      </w:r>
      <w:r>
        <w:fldChar w:fldCharType="begin"/>
      </w:r>
      <w:r>
        <w:instrText xml:space="preserve"> PAGEREF _Toc412558215 \h </w:instrText>
      </w:r>
      <w:r>
        <w:fldChar w:fldCharType="separate"/>
      </w:r>
      <w:r>
        <w:t>37</w:t>
      </w:r>
      <w:r>
        <w:fldChar w:fldCharType="end"/>
      </w:r>
    </w:p>
    <w:p>
      <w:pPr>
        <w:pStyle w:val="TOC8"/>
        <w:rPr>
          <w:rFonts w:asciiTheme="minorHAnsi" w:eastAsiaTheme="minorEastAsia" w:hAnsiTheme="minorHAnsi" w:cstheme="minorBidi"/>
          <w:szCs w:val="22"/>
        </w:rPr>
      </w:pPr>
      <w:r>
        <w:t>127.</w:t>
      </w:r>
      <w:r>
        <w:tab/>
        <w:t>Notices</w:t>
      </w:r>
      <w:r>
        <w:tab/>
      </w:r>
      <w:r>
        <w:fldChar w:fldCharType="begin"/>
      </w:r>
      <w:r>
        <w:instrText xml:space="preserve"> PAGEREF _Toc412558216 \h </w:instrText>
      </w:r>
      <w:r>
        <w:fldChar w:fldCharType="separate"/>
      </w:r>
      <w:r>
        <w:t>37</w:t>
      </w:r>
      <w:r>
        <w:fldChar w:fldCharType="end"/>
      </w:r>
    </w:p>
    <w:p>
      <w:pPr>
        <w:pStyle w:val="TOC8"/>
        <w:rPr>
          <w:rFonts w:asciiTheme="minorHAnsi" w:eastAsiaTheme="minorEastAsia" w:hAnsiTheme="minorHAnsi" w:cstheme="minorBidi"/>
          <w:szCs w:val="22"/>
        </w:rPr>
      </w:pPr>
      <w:r>
        <w:t>128.</w:t>
      </w:r>
      <w:r>
        <w:tab/>
        <w:t>Permissions and authorities</w:t>
      </w:r>
      <w:r>
        <w:tab/>
      </w:r>
      <w:r>
        <w:fldChar w:fldCharType="begin"/>
      </w:r>
      <w:r>
        <w:instrText xml:space="preserve"> PAGEREF _Toc412558217 \h </w:instrText>
      </w:r>
      <w:r>
        <w:fldChar w:fldCharType="separate"/>
      </w:r>
      <w:r>
        <w:t>37</w:t>
      </w:r>
      <w:r>
        <w:fldChar w:fldCharType="end"/>
      </w:r>
    </w:p>
    <w:p>
      <w:pPr>
        <w:pStyle w:val="TOC8"/>
        <w:rPr>
          <w:rFonts w:asciiTheme="minorHAnsi" w:eastAsiaTheme="minorEastAsia" w:hAnsiTheme="minorHAnsi" w:cstheme="minorBidi"/>
          <w:szCs w:val="22"/>
        </w:rPr>
      </w:pPr>
      <w:r>
        <w:t>129.</w:t>
      </w:r>
      <w:r>
        <w:tab/>
        <w:t>Transitional regulations</w:t>
      </w:r>
      <w:r>
        <w:tab/>
      </w:r>
      <w:r>
        <w:fldChar w:fldCharType="begin"/>
      </w:r>
      <w:r>
        <w:instrText xml:space="preserve"> PAGEREF _Toc412558218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_Toc412558220 \h </w:instrText>
      </w:r>
      <w:r>
        <w:fldChar w:fldCharType="separate"/>
      </w:r>
      <w:r>
        <w:t>40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_Toc412558221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October 2014</w:t>
            </w:r>
          </w:p>
        </w:tc>
      </w:tr>
    </w:tbl>
    <w:p>
      <w:pPr>
        <w:pStyle w:val="WA"/>
        <w:spacing w:before="12"/>
      </w:pPr>
      <w:r>
        <w:t>Western Australia</w:t>
      </w:r>
    </w:p>
    <w:p>
      <w:pPr>
        <w:pStyle w:val="NameofActReg"/>
        <w:spacing w:before="600" w:after="720"/>
      </w:pPr>
      <w:r>
        <w:t xml:space="preserve">Agriculture and Related Resources Protection Act 1976 </w:t>
      </w:r>
    </w:p>
    <w:p>
      <w:pPr>
        <w:pStyle w:val="LongTitle"/>
        <w:rPr>
          <w:snapToGrid w:val="0"/>
        </w:rPr>
      </w:pPr>
      <w:r>
        <w:rPr>
          <w:snapToGrid w:val="0"/>
        </w:rPr>
        <w:t xml:space="preserve">An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3" w:name="_Toc402516060"/>
      <w:bookmarkStart w:id="4" w:name="_Toc412557944"/>
      <w:bookmarkStart w:id="5" w:name="_Toc412558008"/>
      <w:bookmarkStart w:id="6" w:name="_Toc41255815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402516061"/>
      <w:bookmarkStart w:id="8" w:name="_Toc412558159"/>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9" w:name="_Toc402516062"/>
      <w:bookmarkStart w:id="10" w:name="_Toc412558160"/>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spacing w:before="240"/>
      </w:pPr>
      <w:r>
        <w:t>[</w:t>
      </w:r>
      <w:r>
        <w:rPr>
          <w:b/>
        </w:rPr>
        <w:t>3, 4.</w:t>
      </w:r>
      <w:r>
        <w:tab/>
        <w:t>Deleted by No. 24 of 2007 s. 27</w:t>
      </w:r>
      <w:r>
        <w:rPr>
          <w:i w:val="0"/>
          <w:vertAlign w:val="superscript"/>
        </w:rPr>
        <w:t> 2</w:t>
      </w:r>
      <w:r>
        <w:t xml:space="preserve">.] </w:t>
      </w:r>
    </w:p>
    <w:p>
      <w:pPr>
        <w:pStyle w:val="Ednotesection"/>
        <w:spacing w:before="240"/>
      </w:pPr>
      <w:r>
        <w:t>[</w:t>
      </w:r>
      <w:r>
        <w:rPr>
          <w:b/>
        </w:rPr>
        <w:t>5.</w:t>
      </w:r>
      <w:r>
        <w:tab/>
        <w:t xml:space="preserve">Deleted by No. 59 of 1986 s. 4.] </w:t>
      </w:r>
    </w:p>
    <w:p>
      <w:pPr>
        <w:pStyle w:val="Ednotesection"/>
        <w:spacing w:before="240"/>
      </w:pPr>
      <w:r>
        <w:t>[</w:t>
      </w:r>
      <w:r>
        <w:rPr>
          <w:b/>
        </w:rPr>
        <w:t>6.</w:t>
      </w:r>
      <w:r>
        <w:tab/>
        <w:t xml:space="preserve">Deleted by No. 46 of 2010 s. 5.] </w:t>
      </w:r>
    </w:p>
    <w:p>
      <w:pPr>
        <w:pStyle w:val="Heading5"/>
        <w:spacing w:before="240"/>
        <w:rPr>
          <w:snapToGrid w:val="0"/>
        </w:rPr>
      </w:pPr>
      <w:bookmarkStart w:id="11" w:name="_Toc402516063"/>
      <w:bookmarkStart w:id="12" w:name="_Toc412558161"/>
      <w:r>
        <w:rPr>
          <w:rStyle w:val="CharSectno"/>
        </w:rPr>
        <w:t>7</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rPr>
          <w:snapToGrid/>
        </w:rPr>
      </w:pPr>
      <w:r>
        <w:rPr>
          <w:b/>
        </w:rPr>
        <w:tab/>
      </w:r>
      <w:r>
        <w:rPr>
          <w:rStyle w:val="CharDefText"/>
        </w:rPr>
        <w:t>animal</w:t>
      </w:r>
      <w:r>
        <w:t xml:space="preserve"> means any living thing that is not a human being or a plant;</w:t>
      </w:r>
    </w:p>
    <w:p>
      <w:pPr>
        <w:pStyle w:val="Defstart"/>
      </w:pPr>
      <w:r>
        <w:rPr>
          <w:b/>
        </w:rPr>
        <w:tab/>
      </w:r>
      <w:r>
        <w:rPr>
          <w:rStyle w:val="CharDefText"/>
        </w:rPr>
        <w:t>authorised person</w:t>
      </w:r>
      <w:r>
        <w:t xml:space="preserve"> means a person authorised by the Director General pursuant to section 11;</w:t>
      </w:r>
    </w:p>
    <w:p>
      <w:pPr>
        <w:pStyle w:val="Defstart"/>
      </w:pPr>
      <w:r>
        <w:rPr>
          <w:b/>
        </w:rPr>
        <w:tab/>
      </w:r>
      <w:r>
        <w:rPr>
          <w:rStyle w:val="CharDefText"/>
        </w:rPr>
        <w:t>category</w:t>
      </w:r>
      <w:r>
        <w:t xml:space="preserve"> means a category mentioned in section 36(3) or (4);</w:t>
      </w:r>
    </w:p>
    <w:p>
      <w:pPr>
        <w:pStyle w:val="Defstart"/>
      </w:pPr>
      <w:r>
        <w:rPr>
          <w:b/>
        </w:rPr>
        <w:tab/>
      </w:r>
      <w:r>
        <w:rPr>
          <w:rStyle w:val="CharDefText"/>
        </w:rPr>
        <w:t>class</w:t>
      </w:r>
      <w:r>
        <w:t>, in relation to plants or animals, means any group or grouping of plants or animals;</w:t>
      </w:r>
    </w:p>
    <w:p>
      <w:pPr>
        <w:pStyle w:val="Defstart"/>
      </w:pPr>
      <w:r>
        <w:tab/>
      </w:r>
      <w:r>
        <w:rPr>
          <w:rStyle w:val="CharDefText"/>
        </w:rPr>
        <w:t>Commissioner</w:t>
      </w:r>
      <w:r>
        <w:t xml:space="preserve"> means the Commissioner of State Revenue; </w:t>
      </w:r>
    </w:p>
    <w:p>
      <w:pPr>
        <w:pStyle w:val="Defstart"/>
      </w:pPr>
      <w:r>
        <w:rPr>
          <w:b/>
        </w:rPr>
        <w:tab/>
      </w:r>
      <w:r>
        <w:rPr>
          <w:rStyle w:val="CharDefText"/>
        </w:rPr>
        <w:t xml:space="preserve">control </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keepNext/>
      </w:pPr>
      <w:r>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authorised person to reduce the numbers or distribution of those plants;</w:t>
      </w:r>
    </w:p>
    <w:p>
      <w:pPr>
        <w:pStyle w:val="Defpara"/>
      </w:pPr>
      <w:r>
        <w:tab/>
        <w:t>(c)</w:t>
      </w:r>
      <w:r>
        <w:tab/>
        <w:t>in relation to declared plants of a class assigned to category P4, means — </w:t>
      </w:r>
    </w:p>
    <w:p>
      <w:pPr>
        <w:pStyle w:val="Defsubpara"/>
        <w:keepLines w:val="0"/>
        <w:rPr>
          <w:snapToGrid w:val="0"/>
        </w:rPr>
      </w:pPr>
      <w:r>
        <w:rPr>
          <w:snapToGrid w:val="0"/>
        </w:rPr>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to control those plants by taking or causing to be taken such measures as are approved by an inspector or authorised person to prevent the spread of those plants;</w:t>
      </w:r>
    </w:p>
    <w:p>
      <w:pPr>
        <w:pStyle w:val="Defpara"/>
        <w:rPr>
          <w:snapToGrid/>
        </w:rPr>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to control those animals by taking or causing to be taken such measures as are approved by an inspector or authorised person to reduce and restrict the number of those animals;</w:t>
      </w:r>
    </w:p>
    <w:p>
      <w:pPr>
        <w:pStyle w:val="Defpara"/>
        <w:rPr>
          <w:snapToGrid/>
        </w:rPr>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t>and inflexions and derivatives have correlative meanings;</w:t>
      </w:r>
    </w:p>
    <w:p>
      <w:pPr>
        <w:pStyle w:val="Defstart"/>
      </w:pPr>
      <w:r>
        <w:rPr>
          <w:b/>
        </w:rPr>
        <w:tab/>
      </w:r>
      <w:r>
        <w:rPr>
          <w:rStyle w:val="CharDefText"/>
        </w:rPr>
        <w:t>declaration</w:t>
      </w:r>
      <w:r>
        <w:t xml:space="preserve"> means a declaration made by the Minister and published in the </w:t>
      </w:r>
      <w:r>
        <w:rPr>
          <w:i/>
        </w:rPr>
        <w:t>Gazette</w:t>
      </w:r>
      <w:r>
        <w:t xml:space="preserve"> and the verb </w:t>
      </w:r>
      <w:r>
        <w:rPr>
          <w:rStyle w:val="CharDefText"/>
        </w:rPr>
        <w:t>to declare</w:t>
      </w:r>
      <w:r>
        <w:t xml:space="preserve"> and inflexions and derivatives have correlative meanings;</w:t>
      </w:r>
    </w:p>
    <w:p>
      <w:pPr>
        <w:pStyle w:val="Defstart"/>
      </w:pPr>
      <w:r>
        <w:rPr>
          <w:b/>
        </w:rPr>
        <w:tab/>
      </w:r>
      <w:r>
        <w:rPr>
          <w:rStyle w:val="CharDefText"/>
        </w:rPr>
        <w:t>declared animal</w:t>
      </w:r>
      <w:r>
        <w:t xml:space="preserve"> means an animal belonging to a class of animals declared under section 35 to be declared animals and includes — </w:t>
      </w:r>
    </w:p>
    <w:p>
      <w:pPr>
        <w:pStyle w:val="Defpara"/>
      </w:pPr>
      <w:r>
        <w:tab/>
        <w:t>(a)</w:t>
      </w:r>
      <w:r>
        <w:tab/>
        <w:t>such an animal of any kind or sex; and</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t>and, unless otherwise specified in a declaration under that section, includes any hybrid or cross derived from such an animal;</w:t>
      </w:r>
    </w:p>
    <w:p>
      <w:pPr>
        <w:pStyle w:val="Defstart"/>
      </w:pPr>
      <w:r>
        <w:tab/>
      </w:r>
      <w:r>
        <w:rPr>
          <w:rStyle w:val="CharDefText"/>
        </w:rPr>
        <w:t>Declared Pest Account</w:t>
      </w:r>
      <w:r>
        <w:t xml:space="preserve"> has the meaning given in the </w:t>
      </w:r>
      <w:r>
        <w:rPr>
          <w:i/>
        </w:rPr>
        <w:t>Biosecurity and Agriculture Management Act 2007</w:t>
      </w:r>
      <w:r>
        <w:t xml:space="preserve"> section 6;</w:t>
      </w:r>
    </w:p>
    <w:p>
      <w:pPr>
        <w:pStyle w:val="Defstart"/>
      </w:pPr>
      <w:r>
        <w:rPr>
          <w:b/>
        </w:rPr>
        <w:tab/>
      </w:r>
      <w:r>
        <w:rPr>
          <w:rStyle w:val="CharDefText"/>
        </w:rPr>
        <w:t>declared plant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tab/>
      </w:r>
      <w:r>
        <w:rPr>
          <w:rStyle w:val="CharDefText"/>
        </w:rPr>
        <w:t>department</w:t>
      </w:r>
      <w:r>
        <w:t xml:space="preserve"> means the department principally assisting in the administration of this Act;</w:t>
      </w:r>
    </w:p>
    <w:p>
      <w:pPr>
        <w:pStyle w:val="Defstart"/>
      </w:pPr>
      <w:r>
        <w:tab/>
      </w:r>
      <w:r>
        <w:rPr>
          <w:rStyle w:val="CharDefText"/>
        </w:rPr>
        <w:t>Director General</w:t>
      </w:r>
      <w:r>
        <w:t xml:space="preserve"> means the chief executive officer of the department;</w:t>
      </w:r>
    </w:p>
    <w:p>
      <w:pPr>
        <w:pStyle w:val="Defstart"/>
      </w:pPr>
      <w:r>
        <w:tab/>
      </w:r>
      <w:r>
        <w:rPr>
          <w:rStyle w:val="CharDefText"/>
        </w:rPr>
        <w:t>inspector</w:t>
      </w:r>
      <w:r>
        <w:t xml:space="preserve"> means an inspector appointed under the </w:t>
      </w:r>
      <w:r>
        <w:rPr>
          <w:i/>
        </w:rPr>
        <w:t>Biosecurity and Agriculture Management Act </w:t>
      </w:r>
      <w:r>
        <w:rPr>
          <w:i/>
          <w:iCs/>
        </w:rPr>
        <w:t>2007</w:t>
      </w:r>
      <w:r>
        <w:t xml:space="preserve"> section 162;</w:t>
      </w:r>
    </w:p>
    <w:p>
      <w:pPr>
        <w:pStyle w:val="Defstart"/>
      </w:pPr>
      <w:r>
        <w:rPr>
          <w:b/>
        </w:rPr>
        <w:tab/>
      </w:r>
      <w:r>
        <w:rPr>
          <w:rStyle w:val="CharDefText"/>
        </w:rPr>
        <w:t>occupier</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rStyle w:val="CharDefText"/>
        </w:rPr>
        <w:t>occupy</w:t>
      </w:r>
      <w:r>
        <w:t xml:space="preserve"> and inflexions and derivatives have, in relation to land, meanings correlative to “occupier”;</w:t>
      </w:r>
    </w:p>
    <w:p>
      <w:pPr>
        <w:pStyle w:val="Defstart"/>
      </w:pPr>
      <w:r>
        <w:rPr>
          <w:b/>
        </w:rPr>
        <w:tab/>
      </w:r>
      <w:r>
        <w:rPr>
          <w:rStyle w:val="CharDefText"/>
        </w:rPr>
        <w:t>owner</w:t>
      </w:r>
      <w:r>
        <w:t>, in relation to land, means — </w:t>
      </w:r>
    </w:p>
    <w:p>
      <w:pPr>
        <w:pStyle w:val="Defpara"/>
        <w:tabs>
          <w:tab w:val="clear" w:pos="1616"/>
          <w:tab w:val="left" w:pos="1701"/>
        </w:tabs>
      </w:pPr>
      <w:r>
        <w:tab/>
        <w:t xml:space="preserve">(a) </w:t>
      </w:r>
      <w:r>
        <w:tab/>
        <w:t xml:space="preserve">   (i)</w:t>
      </w:r>
      <w:r>
        <w:tab/>
        <w:t xml:space="preserve">  a person who is in possession of the land as —</w:t>
      </w:r>
    </w:p>
    <w:p>
      <w:pPr>
        <w:pStyle w:val="Defsubpara"/>
        <w:keepLines w:val="0"/>
        <w:tabs>
          <w:tab w:val="clear" w:pos="2325"/>
          <w:tab w:val="right" w:pos="3000"/>
          <w:tab w:val="left" w:pos="3360"/>
        </w:tabs>
        <w:ind w:left="3360" w:hanging="3360"/>
        <w:rPr>
          <w:snapToGrid w:val="0"/>
        </w:rPr>
      </w:pPr>
      <w:r>
        <w:rPr>
          <w:snapToGrid w:val="0"/>
        </w:rPr>
        <w:tab/>
      </w: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right" w:pos="3000"/>
          <w:tab w:val="left" w:pos="3360"/>
        </w:tabs>
        <w:ind w:left="3360" w:hanging="3360"/>
        <w:rPr>
          <w:snapToGrid w:val="0"/>
        </w:rPr>
      </w:pPr>
      <w:r>
        <w:rPr>
          <w:snapToGrid w:val="0"/>
        </w:rPr>
        <w:tab/>
      </w:r>
      <w:r>
        <w:rPr>
          <w:snapToGrid w:val="0"/>
        </w:rPr>
        <w:tab/>
        <w:t>(B)</w:t>
      </w:r>
      <w:r>
        <w:rPr>
          <w:snapToGrid w:val="0"/>
        </w:rPr>
        <w:tab/>
        <w:t>a Crown lessee or a lessee or tenant under a lease or tenancy agreement;</w:t>
      </w:r>
    </w:p>
    <w:p>
      <w:pPr>
        <w:pStyle w:val="Defsubpara"/>
        <w:keepLines w:val="0"/>
        <w:tabs>
          <w:tab w:val="clear" w:pos="2325"/>
          <w:tab w:val="right" w:pos="3000"/>
          <w:tab w:val="left" w:pos="3360"/>
        </w:tabs>
        <w:ind w:left="3360" w:hanging="3360"/>
        <w:rPr>
          <w:snapToGrid w:val="0"/>
        </w:rPr>
      </w:pPr>
      <w:r>
        <w:rPr>
          <w:snapToGrid w:val="0"/>
        </w:rPr>
        <w:tab/>
      </w:r>
      <w:r>
        <w:rPr>
          <w:snapToGrid w:val="0"/>
        </w:rPr>
        <w:tab/>
        <w:t>(C)</w:t>
      </w:r>
      <w:r>
        <w:rPr>
          <w:snapToGrid w:val="0"/>
        </w:rPr>
        <w:tab/>
        <w:t>a mortgagee of the land;</w:t>
      </w:r>
    </w:p>
    <w:p>
      <w:pPr>
        <w:pStyle w:val="Defsubpara"/>
        <w:keepLines w:val="0"/>
        <w:tabs>
          <w:tab w:val="clear" w:pos="2325"/>
          <w:tab w:val="right" w:pos="3000"/>
          <w:tab w:val="left" w:pos="3360"/>
        </w:tabs>
        <w:ind w:left="3360" w:hanging="3360"/>
        <w:rPr>
          <w:snapToGrid w:val="0"/>
        </w:rPr>
      </w:pPr>
      <w:r>
        <w:rPr>
          <w:snapToGrid w:val="0"/>
        </w:rPr>
        <w:tab/>
      </w:r>
      <w:r>
        <w:rPr>
          <w:snapToGrid w:val="0"/>
        </w:rPr>
        <w:tab/>
        <w:t>(D)</w:t>
      </w:r>
      <w:r>
        <w:rPr>
          <w:snapToGrid w:val="0"/>
        </w:rPr>
        <w:tab/>
        <w:t>a trustee, attorney or authorised agent of such a holder, lessee, tenant or mortgagee;</w:t>
      </w:r>
    </w:p>
    <w:p>
      <w:pPr>
        <w:pStyle w:val="Defsubpara"/>
        <w:keepLines w:val="0"/>
      </w:pPr>
      <w:r>
        <w:tab/>
      </w:r>
      <w:r>
        <w:tab/>
        <w:t>or</w:t>
      </w:r>
    </w:p>
    <w:p>
      <w:pPr>
        <w:pStyle w:val="Defsubpara"/>
      </w:pP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rPr>
          <w:snapToGrid w:val="0"/>
        </w:rPr>
      </w:pPr>
      <w:r>
        <w:rPr>
          <w:snapToGrid w:val="0"/>
        </w:rPr>
        <w:tab/>
        <w:t>(i)</w:t>
      </w:r>
      <w:r>
        <w:rPr>
          <w:snapToGrid w:val="0"/>
        </w:rPr>
        <w:tab/>
        <w:t>under a licence or concession relating to specific Crown land, has the right of taking a profit of the land;</w:t>
      </w:r>
    </w:p>
    <w:p>
      <w:pPr>
        <w:pStyle w:val="Defsubpara"/>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3</w:t>
      </w:r>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is in the unauthorised occupation of the land which is Crown land,</w:t>
      </w:r>
    </w:p>
    <w:p>
      <w:pPr>
        <w:pStyle w:val="Defstart"/>
        <w:rPr>
          <w:snapToGrid/>
        </w:rPr>
      </w:pPr>
      <w:r>
        <w:tab/>
        <w:t xml:space="preserve">and </w:t>
      </w:r>
      <w:r>
        <w:rPr>
          <w:rStyle w:val="CharDefText"/>
        </w:rPr>
        <w:t>own</w:t>
      </w:r>
      <w:r>
        <w:t xml:space="preserve"> and inflexions and derivatives have, in relation to land, meanings correlative to “owner”;</w:t>
      </w:r>
    </w:p>
    <w:p>
      <w:pPr>
        <w:pStyle w:val="Defstart"/>
      </w:pPr>
      <w:r>
        <w:rPr>
          <w:b/>
        </w:rPr>
        <w:tab/>
      </w:r>
      <w:r>
        <w:rPr>
          <w:rStyle w:val="CharDefText"/>
        </w:rPr>
        <w:t>pastoral lease</w:t>
      </w:r>
      <w:r>
        <w:t xml:space="preserve"> has the meaning ascribed to that term in and for the purposes of the </w:t>
      </w:r>
      <w:r>
        <w:rPr>
          <w:i/>
        </w:rPr>
        <w:t>Land Administration Act 1997</w:t>
      </w:r>
      <w:r>
        <w:t>;</w:t>
      </w:r>
    </w:p>
    <w:p>
      <w:pPr>
        <w:pStyle w:val="Defstart"/>
      </w:pPr>
      <w:r>
        <w:rPr>
          <w:b/>
        </w:rPr>
        <w:tab/>
      </w:r>
      <w:r>
        <w:rPr>
          <w:rStyle w:val="CharDefText"/>
        </w:rPr>
        <w:t>plant</w:t>
      </w:r>
      <w:r>
        <w:t xml:space="preserve"> means vegetation of any kind;</w:t>
      </w:r>
    </w:p>
    <w:p>
      <w:pPr>
        <w:pStyle w:val="Defstart"/>
      </w:pPr>
      <w:r>
        <w:rPr>
          <w:b/>
        </w:rPr>
        <w:tab/>
      </w:r>
      <w:r>
        <w:rPr>
          <w:rStyle w:val="CharDefText"/>
        </w:rPr>
        <w:t>prohibited material</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r>
      <w:r>
        <w:rPr>
          <w:rStyle w:val="CharDefText"/>
        </w:rPr>
        <w:t>train</w:t>
      </w:r>
      <w:r>
        <w:t xml:space="preserve"> includes a railway locomotive, railway carriage and railway wagon;</w:t>
      </w:r>
    </w:p>
    <w:p>
      <w:pPr>
        <w:pStyle w:val="Defstart"/>
      </w:pPr>
      <w:r>
        <w:rPr>
          <w:b/>
        </w:rPr>
        <w:tab/>
      </w:r>
      <w:r>
        <w:rPr>
          <w:rStyle w:val="CharDefText"/>
        </w:rPr>
        <w:t>vehicle</w:t>
      </w:r>
      <w:r>
        <w:t xml:space="preserve"> has the meaning ascribed to that term in and for the purposes of the </w:t>
      </w:r>
      <w:r>
        <w:rPr>
          <w:i/>
        </w:rPr>
        <w:t>Road Traffic Act 1974</w:t>
      </w:r>
      <w:r>
        <w:t>;</w:t>
      </w:r>
    </w:p>
    <w:p>
      <w:pPr>
        <w:pStyle w:val="Defstart"/>
      </w:pPr>
      <w:r>
        <w:rPr>
          <w:b/>
        </w:rPr>
        <w:tab/>
      </w:r>
      <w:r>
        <w:rPr>
          <w:rStyle w:val="CharDefText"/>
        </w:rPr>
        <w:t>watercourse</w:t>
      </w:r>
      <w:r>
        <w:t xml:space="preserve"> includes any waters, whether running or still, permanent or temporary, or natural or artificially constructed.</w:t>
      </w:r>
    </w:p>
    <w:p>
      <w:pPr>
        <w:pStyle w:val="Subsection"/>
        <w:keepNext/>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Footnotesection"/>
        <w:ind w:left="890" w:hanging="890"/>
        <w:rPr>
          <w:snapToGrid/>
        </w:rPr>
      </w:pPr>
      <w:r>
        <w:tab/>
        <w:t>[Section 7 amended by No. 59 of 1986 s. 5; No. 14 of 1996 s. 4; No. 31 of 1997 s. 141; No. 45 of 2002 s. 7(2); No. 74 of 2003 s. 26; No. 55 of 2004 s. 24; No. 77 of 2006 Sch. 1 cl. 6(1); No. 24 of 2007 s. 27</w:t>
      </w:r>
      <w:r>
        <w:rPr>
          <w:i w:val="0"/>
          <w:vertAlign w:val="superscript"/>
        </w:rPr>
        <w:t> 2</w:t>
      </w:r>
      <w:r>
        <w:t xml:space="preserve">; No. 46 of 2010 s. 6 and 55.] </w:t>
      </w:r>
    </w:p>
    <w:p>
      <w:pPr>
        <w:pStyle w:val="Ednotesection"/>
        <w:spacing w:before="240"/>
      </w:pPr>
    </w:p>
    <w:p>
      <w:pPr>
        <w:pStyle w:val="Heading2"/>
      </w:pPr>
      <w:bookmarkStart w:id="13" w:name="_Toc402516064"/>
      <w:bookmarkStart w:id="14" w:name="_Toc412557948"/>
      <w:bookmarkStart w:id="15" w:name="_Toc412558012"/>
      <w:bookmarkStart w:id="16" w:name="_Toc412558162"/>
      <w:r>
        <w:rPr>
          <w:rStyle w:val="CharPartNo"/>
        </w:rPr>
        <w:t>Part II</w:t>
      </w:r>
      <w:r>
        <w:rPr>
          <w:rStyle w:val="CharDivNo"/>
        </w:rPr>
        <w:t> </w:t>
      </w:r>
      <w:r>
        <w:t>—</w:t>
      </w:r>
      <w:r>
        <w:rPr>
          <w:rStyle w:val="CharDivText"/>
        </w:rPr>
        <w:t> </w:t>
      </w:r>
      <w:r>
        <w:rPr>
          <w:rStyle w:val="CharPartText"/>
        </w:rPr>
        <w:t>Administration</w:t>
      </w:r>
      <w:bookmarkEnd w:id="13"/>
      <w:bookmarkEnd w:id="14"/>
      <w:bookmarkEnd w:id="15"/>
      <w:bookmarkEnd w:id="16"/>
      <w:r>
        <w:rPr>
          <w:rStyle w:val="CharPartText"/>
        </w:rPr>
        <w:t xml:space="preserve"> </w:t>
      </w:r>
    </w:p>
    <w:p>
      <w:pPr>
        <w:pStyle w:val="Ednotesection"/>
        <w:spacing w:before="260"/>
      </w:pPr>
      <w:r>
        <w:t>[</w:t>
      </w:r>
      <w:r>
        <w:rPr>
          <w:b/>
        </w:rPr>
        <w:t>8, 9.</w:t>
      </w:r>
      <w:r>
        <w:tab/>
        <w:t xml:space="preserve">Deleted by No. 46 of 2010 s. 7.] </w:t>
      </w:r>
    </w:p>
    <w:p>
      <w:pPr>
        <w:pStyle w:val="Heading5"/>
      </w:pPr>
      <w:bookmarkStart w:id="17" w:name="_Toc402516065"/>
      <w:bookmarkStart w:id="18" w:name="_Toc412558163"/>
      <w:r>
        <w:rPr>
          <w:rStyle w:val="CharSectno"/>
        </w:rPr>
        <w:t>10</w:t>
      </w:r>
      <w:r>
        <w:t>.</w:t>
      </w:r>
      <w:r>
        <w:tab/>
        <w:t>Delegation by Minister</w:t>
      </w:r>
      <w:bookmarkEnd w:id="17"/>
      <w:bookmarkEnd w:id="18"/>
    </w:p>
    <w:p>
      <w:pPr>
        <w:pStyle w:val="Subsection"/>
      </w:pPr>
      <w:r>
        <w:tab/>
        <w:t>(1)</w:t>
      </w:r>
      <w:r>
        <w:tab/>
        <w:t>The Minister may delegate to the Director General any power or duty of the Minister under another provision of this Act.</w:t>
      </w:r>
    </w:p>
    <w:p>
      <w:pPr>
        <w:pStyle w:val="Subsection"/>
      </w:pPr>
      <w:r>
        <w:tab/>
        <w:t>(2)</w:t>
      </w:r>
      <w:r>
        <w:tab/>
        <w:t>The delegation must be in writing signed by the Minister.</w:t>
      </w:r>
    </w:p>
    <w:p>
      <w:pPr>
        <w:pStyle w:val="Subsection"/>
      </w:pPr>
      <w:r>
        <w:tab/>
        <w:t>(3)</w:t>
      </w:r>
      <w:r>
        <w:tab/>
        <w:t>The delegation may expressly authorise the Director General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intention is shown.</w:t>
      </w:r>
    </w:p>
    <w:p>
      <w:pPr>
        <w:pStyle w:val="Subsection"/>
      </w:pPr>
      <w:r>
        <w:tab/>
        <w:t>(5)</w:t>
      </w:r>
      <w:r>
        <w:tab/>
        <w:t>Nothing in this section limits the ability of the Minister to perform a function through an officer or agent.</w:t>
      </w:r>
    </w:p>
    <w:p>
      <w:pPr>
        <w:pStyle w:val="Footnotesection"/>
      </w:pPr>
      <w:r>
        <w:tab/>
        <w:t xml:space="preserve">[Section 10 inserted by No. 46 of 2010 s. 8.] </w:t>
      </w:r>
    </w:p>
    <w:p>
      <w:pPr>
        <w:pStyle w:val="Heading5"/>
      </w:pPr>
      <w:bookmarkStart w:id="19" w:name="_Toc402516066"/>
      <w:bookmarkStart w:id="20" w:name="_Toc412558164"/>
      <w:r>
        <w:rPr>
          <w:rStyle w:val="CharSectno"/>
        </w:rPr>
        <w:t>11A</w:t>
      </w:r>
      <w:r>
        <w:t>.</w:t>
      </w:r>
      <w:r>
        <w:tab/>
        <w:t>Delegation by Director General</w:t>
      </w:r>
      <w:bookmarkEnd w:id="19"/>
      <w:bookmarkEnd w:id="20"/>
    </w:p>
    <w:p>
      <w:pPr>
        <w:pStyle w:val="Subsection"/>
      </w:pPr>
      <w:r>
        <w:tab/>
        <w:t>(1)</w:t>
      </w:r>
      <w:r>
        <w:tab/>
        <w:t>The Director General may delegate to an officer of the department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A person exercising or performing a power or duty that has been delegated to the person under this section is to be taken to do so in accordance with the terms of the delegation unless the contrary intention is shown.</w:t>
      </w:r>
    </w:p>
    <w:p>
      <w:pPr>
        <w:pStyle w:val="Subsection"/>
      </w:pPr>
      <w:r>
        <w:tab/>
        <w:t>(4)</w:t>
      </w:r>
      <w:r>
        <w:tab/>
        <w:t>Nothing in this section limits the ability of the Director General to perform a function through an officer or agent.</w:t>
      </w:r>
    </w:p>
    <w:p>
      <w:pPr>
        <w:pStyle w:val="Footnotesection"/>
      </w:pPr>
      <w:r>
        <w:tab/>
        <w:t xml:space="preserve">[Section 11A inserted by No. 46 of 2010 s. 8.] </w:t>
      </w:r>
    </w:p>
    <w:p>
      <w:pPr>
        <w:pStyle w:val="Heading5"/>
        <w:rPr>
          <w:snapToGrid w:val="0"/>
        </w:rPr>
      </w:pPr>
      <w:bookmarkStart w:id="21" w:name="_Toc402516067"/>
      <w:bookmarkStart w:id="22" w:name="_Toc412558165"/>
      <w:r>
        <w:rPr>
          <w:rStyle w:val="CharSectno"/>
        </w:rPr>
        <w:t>11</w:t>
      </w:r>
      <w:r>
        <w:rPr>
          <w:snapToGrid w:val="0"/>
        </w:rPr>
        <w:t>.</w:t>
      </w:r>
      <w:r>
        <w:rPr>
          <w:snapToGrid w:val="0"/>
        </w:rPr>
        <w:tab/>
        <w:t>Authorised persons</w:t>
      </w:r>
      <w:bookmarkEnd w:id="21"/>
      <w:bookmarkEnd w:id="22"/>
      <w:r>
        <w:rPr>
          <w:snapToGrid w:val="0"/>
        </w:rPr>
        <w:t xml:space="preserve"> </w:t>
      </w:r>
    </w:p>
    <w:p>
      <w:pPr>
        <w:pStyle w:val="Subsection"/>
        <w:rPr>
          <w:snapToGrid w:val="0"/>
        </w:rPr>
      </w:pPr>
      <w:r>
        <w:rPr>
          <w:snapToGrid w:val="0"/>
        </w:rPr>
        <w:tab/>
        <w:t>(1)</w:t>
      </w:r>
      <w:r>
        <w:rPr>
          <w:snapToGrid w:val="0"/>
        </w:rPr>
        <w:tab/>
        <w:t xml:space="preserve">The </w:t>
      </w:r>
      <w:r>
        <w:t>Director General</w:t>
      </w:r>
      <w:r>
        <w:rPr>
          <w:snapToGrid w:val="0"/>
        </w:rPr>
        <w:t xml:space="preserve">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Footnotesection"/>
      </w:pPr>
      <w:r>
        <w:tab/>
        <w:t xml:space="preserve">[Section 11 amended by No. 46 of 2010 s. 9.] </w:t>
      </w:r>
    </w:p>
    <w:p>
      <w:pPr>
        <w:pStyle w:val="Ednotesection"/>
        <w:spacing w:before="260"/>
      </w:pPr>
      <w:r>
        <w:t>[</w:t>
      </w:r>
      <w:r>
        <w:rPr>
          <w:b/>
        </w:rPr>
        <w:t>12.</w:t>
      </w:r>
      <w:r>
        <w:tab/>
        <w:t xml:space="preserve">Deleted by No. 46 of 2010 s. 10.] </w:t>
      </w:r>
    </w:p>
    <w:p>
      <w:pPr>
        <w:pStyle w:val="Ednotepart"/>
        <w:tabs>
          <w:tab w:val="left" w:pos="882"/>
        </w:tabs>
      </w:pPr>
      <w:r>
        <w:t xml:space="preserve">[Part III: </w:t>
      </w:r>
      <w:r>
        <w:tab/>
        <w:t>s. 13</w:t>
      </w:r>
      <w:r>
        <w:noBreakHyphen/>
        <w:t>16 deleted by No. 46 of 2010 s. 11;</w:t>
      </w:r>
      <w:r>
        <w:br/>
      </w:r>
      <w:r>
        <w:tab/>
      </w:r>
      <w:r>
        <w:tab/>
        <w:t>s. 17 deleted by No. 9 of 1998 s. 3;</w:t>
      </w:r>
      <w:r>
        <w:br/>
      </w:r>
      <w:r>
        <w:tab/>
      </w:r>
      <w:r>
        <w:tab/>
        <w:t>s. 18</w:t>
      </w:r>
      <w:r>
        <w:noBreakHyphen/>
        <w:t>34A deleted by No. 46 of 2010 s. 11.]</w:t>
      </w:r>
    </w:p>
    <w:p>
      <w:pPr>
        <w:pStyle w:val="Heading2"/>
      </w:pPr>
      <w:bookmarkStart w:id="23" w:name="_Toc402516068"/>
      <w:bookmarkStart w:id="24" w:name="_Toc412557952"/>
      <w:bookmarkStart w:id="25" w:name="_Toc412558016"/>
      <w:bookmarkStart w:id="26" w:name="_Toc412558166"/>
      <w:r>
        <w:rPr>
          <w:rStyle w:val="CharPartNo"/>
        </w:rPr>
        <w:t>Part IV</w:t>
      </w:r>
      <w:r>
        <w:rPr>
          <w:rStyle w:val="CharDivNo"/>
        </w:rPr>
        <w:t> </w:t>
      </w:r>
      <w:r>
        <w:t>—</w:t>
      </w:r>
      <w:r>
        <w:rPr>
          <w:rStyle w:val="CharDivText"/>
        </w:rPr>
        <w:t> </w:t>
      </w:r>
      <w:r>
        <w:rPr>
          <w:rStyle w:val="CharPartText"/>
        </w:rPr>
        <w:t>Declaration of plants and animals</w:t>
      </w:r>
      <w:bookmarkEnd w:id="23"/>
      <w:bookmarkEnd w:id="24"/>
      <w:bookmarkEnd w:id="25"/>
      <w:bookmarkEnd w:id="26"/>
      <w:r>
        <w:rPr>
          <w:rStyle w:val="CharPartText"/>
        </w:rPr>
        <w:t xml:space="preserve"> </w:t>
      </w:r>
    </w:p>
    <w:p>
      <w:pPr>
        <w:pStyle w:val="Heading5"/>
        <w:spacing w:before="180"/>
        <w:rPr>
          <w:snapToGrid w:val="0"/>
        </w:rPr>
      </w:pPr>
      <w:bookmarkStart w:id="27" w:name="_Toc402516069"/>
      <w:bookmarkStart w:id="28" w:name="_Toc412558167"/>
      <w:r>
        <w:rPr>
          <w:rStyle w:val="CharSectno"/>
        </w:rPr>
        <w:t>35</w:t>
      </w:r>
      <w:r>
        <w:rPr>
          <w:snapToGrid w:val="0"/>
        </w:rPr>
        <w:t>.</w:t>
      </w:r>
      <w:r>
        <w:rPr>
          <w:snapToGrid w:val="0"/>
        </w:rPr>
        <w:tab/>
        <w:t>Classes of plants and animals may be declared</w:t>
      </w:r>
      <w:bookmarkEnd w:id="27"/>
      <w:bookmarkEnd w:id="28"/>
      <w:r>
        <w:rPr>
          <w:snapToGrid w:val="0"/>
        </w:rPr>
        <w:t xml:space="preserve"> </w:t>
      </w:r>
    </w:p>
    <w:p>
      <w:pPr>
        <w:pStyle w:val="Subsection"/>
        <w:rPr>
          <w:snapToGrid w:val="0"/>
        </w:rPr>
      </w:pPr>
      <w:r>
        <w:rPr>
          <w:snapToGrid w:val="0"/>
        </w:rPr>
        <w:tab/>
        <w:t>(1)</w:t>
      </w:r>
      <w:r>
        <w:rPr>
          <w:snapToGrid w:val="0"/>
        </w:rPr>
        <w:tab/>
        <w:t xml:space="preserve">The </w:t>
      </w:r>
      <w:r>
        <w:t xml:space="preserve">Minister </w:t>
      </w:r>
      <w:r>
        <w:rPr>
          <w:snapToGrid w:val="0"/>
        </w:rPr>
        <w:t>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 and</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Footnotesection"/>
      </w:pPr>
      <w:r>
        <w:tab/>
        <w:t>[Section 35 amended by No. 46 of 2010 s. 55(1).]</w:t>
      </w:r>
    </w:p>
    <w:p>
      <w:pPr>
        <w:pStyle w:val="Heading5"/>
        <w:spacing w:before="180"/>
        <w:rPr>
          <w:snapToGrid w:val="0"/>
        </w:rPr>
      </w:pPr>
      <w:bookmarkStart w:id="29" w:name="_Toc402516070"/>
      <w:bookmarkStart w:id="30" w:name="_Toc412558168"/>
      <w:r>
        <w:rPr>
          <w:rStyle w:val="CharSectno"/>
        </w:rPr>
        <w:t>36</w:t>
      </w:r>
      <w:r>
        <w:rPr>
          <w:snapToGrid w:val="0"/>
        </w:rPr>
        <w:t>.</w:t>
      </w:r>
      <w:r>
        <w:rPr>
          <w:snapToGrid w:val="0"/>
        </w:rPr>
        <w:tab/>
        <w:t>Categories of declared plants and animals</w:t>
      </w:r>
      <w:bookmarkEnd w:id="29"/>
      <w:bookmarkEnd w:id="30"/>
      <w:r>
        <w:rPr>
          <w:snapToGrid w:val="0"/>
        </w:rPr>
        <w:t xml:space="preserve"> </w:t>
      </w:r>
    </w:p>
    <w:p>
      <w:pPr>
        <w:pStyle w:val="Subsection"/>
        <w:spacing w:before="120"/>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w:t>
      </w:r>
      <w:r>
        <w:t xml:space="preserve"> Minister</w:t>
      </w:r>
      <w:r>
        <w:rPr>
          <w:snapToGrid w:val="0"/>
        </w:rPr>
        <w:t>, need to be taken in relation to declared plants or declared animals of that class in order to achieve the object of this Act.</w:t>
      </w:r>
    </w:p>
    <w:p>
      <w:pPr>
        <w:pStyle w:val="Subsection"/>
        <w:spacing w:before="120"/>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w:t>
      </w:r>
      <w:r>
        <w:t xml:space="preserve"> Minister</w:t>
      </w:r>
      <w:r>
        <w:rPr>
          <w:snapToGrid w:val="0"/>
        </w:rPr>
        <w:t>, be prohibited;</w:t>
      </w:r>
    </w:p>
    <w:p>
      <w:pPr>
        <w:pStyle w:val="Indenta"/>
        <w:rPr>
          <w:snapToGrid w:val="0"/>
        </w:rPr>
      </w:pPr>
      <w:r>
        <w:rPr>
          <w:snapToGrid w:val="0"/>
        </w:rPr>
        <w:tab/>
        <w:t>(b)</w:t>
      </w:r>
      <w:r>
        <w:rPr>
          <w:snapToGrid w:val="0"/>
        </w:rPr>
        <w:tab/>
        <w:t>category P2 in respect of an area if those plants should, in the opinion of the</w:t>
      </w:r>
      <w:r>
        <w:t xml:space="preserve"> Minister</w:t>
      </w:r>
      <w:r>
        <w:rPr>
          <w:snapToGrid w:val="0"/>
        </w:rPr>
        <w:t>,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w:t>
      </w:r>
      <w:r>
        <w:t xml:space="preserve"> Minister</w:t>
      </w:r>
      <w:r>
        <w:rPr>
          <w:snapToGrid w:val="0"/>
        </w:rPr>
        <w:t>, be reduced in that area;</w:t>
      </w:r>
    </w:p>
    <w:p>
      <w:pPr>
        <w:pStyle w:val="Indenta"/>
        <w:rPr>
          <w:snapToGrid w:val="0"/>
        </w:rPr>
      </w:pPr>
      <w:r>
        <w:rPr>
          <w:snapToGrid w:val="0"/>
        </w:rPr>
        <w:tab/>
        <w:t>(d)</w:t>
      </w:r>
      <w:r>
        <w:rPr>
          <w:snapToGrid w:val="0"/>
        </w:rPr>
        <w:tab/>
        <w:t xml:space="preserve">category P4 in respect of an area if those plants should, in the opinion of the </w:t>
      </w:r>
      <w:r>
        <w:t>Minister</w:t>
      </w:r>
      <w:r>
        <w:rPr>
          <w:snapToGrid w:val="0"/>
        </w:rPr>
        <w:t>,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w:t>
      </w:r>
      <w:r>
        <w:t xml:space="preserve"> Minister</w:t>
      </w:r>
      <w:r>
        <w:rPr>
          <w:snapToGrid w:val="0"/>
        </w:rPr>
        <w:t>,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w:t>
      </w:r>
      <w:r>
        <w:t xml:space="preserve"> Minister</w:t>
      </w:r>
      <w:r>
        <w:rPr>
          <w:snapToGrid w:val="0"/>
        </w:rPr>
        <w:t>,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w:t>
      </w:r>
      <w:r>
        <w:t xml:space="preserve"> Minister</w:t>
      </w:r>
      <w:r>
        <w:rPr>
          <w:snapToGrid w:val="0"/>
        </w:rPr>
        <w:t>,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w:t>
      </w:r>
      <w:r>
        <w:t xml:space="preserve"> Minister</w:t>
      </w:r>
      <w:r>
        <w:rPr>
          <w:snapToGrid w:val="0"/>
        </w:rPr>
        <w:t>,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w:t>
      </w:r>
      <w:r>
        <w:t xml:space="preserve"> Minister</w:t>
      </w:r>
      <w:r>
        <w:rPr>
          <w:snapToGrid w:val="0"/>
        </w:rPr>
        <w:t>,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w:t>
      </w:r>
      <w:r>
        <w:t xml:space="preserve"> Minister</w:t>
      </w:r>
      <w:r>
        <w:rPr>
          <w:snapToGrid w:val="0"/>
        </w:rPr>
        <w:t>,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w:t>
      </w:r>
      <w:r>
        <w:t xml:space="preserve"> Minister</w:t>
      </w:r>
      <w:r>
        <w:rPr>
          <w:snapToGrid w:val="0"/>
        </w:rPr>
        <w:t>,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w:t>
      </w:r>
      <w:r>
        <w:t xml:space="preserve"> Minister</w:t>
      </w:r>
      <w:r>
        <w:rPr>
          <w:snapToGrid w:val="0"/>
        </w:rPr>
        <w:t xml:space="preserve">, be approved and published by the </w:t>
      </w:r>
      <w:r>
        <w:t xml:space="preserve">Minister </w:t>
      </w:r>
      <w:r>
        <w:rPr>
          <w:snapToGrid w:val="0"/>
        </w:rPr>
        <w:t>and implemented in and in relation to that area.</w:t>
      </w:r>
    </w:p>
    <w:p>
      <w:pPr>
        <w:pStyle w:val="Subsection"/>
        <w:spacing w:before="120"/>
        <w:rPr>
          <w:snapToGrid w:val="0"/>
        </w:rPr>
      </w:pPr>
      <w:r>
        <w:rPr>
          <w:snapToGrid w:val="0"/>
        </w:rPr>
        <w:tab/>
        <w:t>(5)</w:t>
      </w:r>
      <w:r>
        <w:rPr>
          <w:snapToGrid w:val="0"/>
        </w:rPr>
        <w:tab/>
        <w:t xml:space="preserve">In subsections (3) and (4) </w:t>
      </w:r>
      <w:r>
        <w:rPr>
          <w:rStyle w:val="CharDefText"/>
        </w:rPr>
        <w:t>area</w:t>
      </w:r>
      <w:r>
        <w:rPr>
          <w:snapToGrid w:val="0"/>
        </w:rPr>
        <w:t xml:space="preserve"> means the whole of the State or a part of the State.</w:t>
      </w:r>
    </w:p>
    <w:p>
      <w:pPr>
        <w:pStyle w:val="Footnotesection"/>
      </w:pPr>
      <w:r>
        <w:tab/>
        <w:t xml:space="preserve">[Section 36 amended by No. 31 of 1983 s. 3; No. 14 of 1996 s. 4; No. 46 of 2010 s. 55(1).] </w:t>
      </w:r>
    </w:p>
    <w:p>
      <w:pPr>
        <w:pStyle w:val="Heading5"/>
        <w:spacing w:before="180"/>
      </w:pPr>
      <w:bookmarkStart w:id="31" w:name="_Toc402516071"/>
      <w:bookmarkStart w:id="32" w:name="_Toc412558169"/>
      <w:r>
        <w:rPr>
          <w:rStyle w:val="CharSectno"/>
        </w:rPr>
        <w:t>37</w:t>
      </w:r>
      <w:r>
        <w:t>.</w:t>
      </w:r>
      <w:r>
        <w:tab/>
        <w:t>List of declared animals and plants</w:t>
      </w:r>
      <w:bookmarkEnd w:id="31"/>
      <w:bookmarkEnd w:id="32"/>
    </w:p>
    <w:p>
      <w:pPr>
        <w:pStyle w:val="Subsection"/>
        <w:spacing w:before="120"/>
      </w:pPr>
      <w:r>
        <w:tab/>
      </w:r>
      <w:r>
        <w:tab/>
        <w:t xml:space="preserve">The Director General must — </w:t>
      </w:r>
    </w:p>
    <w:p>
      <w:pPr>
        <w:pStyle w:val="Indenta"/>
      </w:pPr>
      <w:r>
        <w:tab/>
        <w:t>(a)</w:t>
      </w:r>
      <w:r>
        <w:tab/>
        <w:t xml:space="preserve">maintain, on or accessible through the department’s website, a publicly accessible list setting out — </w:t>
      </w:r>
    </w:p>
    <w:p>
      <w:pPr>
        <w:pStyle w:val="Indenti"/>
      </w:pPr>
      <w:r>
        <w:tab/>
        <w:t>(i)</w:t>
      </w:r>
      <w:r>
        <w:tab/>
        <w:t>every class of plants or animals that is for the time being the subject of a declaration made under section 35; and</w:t>
      </w:r>
    </w:p>
    <w:p>
      <w:pPr>
        <w:pStyle w:val="Indenti"/>
      </w:pPr>
      <w:r>
        <w:tab/>
        <w:t>(ii)</w:t>
      </w:r>
      <w:r>
        <w:tab/>
        <w:t>the matters for the time being specified under section 35(2) in relation to each class referred to in subparagraph (i);</w:t>
      </w:r>
    </w:p>
    <w:p>
      <w:pPr>
        <w:pStyle w:val="Indenta"/>
      </w:pPr>
      <w:r>
        <w:tab/>
      </w:r>
      <w:r>
        <w:tab/>
        <w:t>and</w:t>
      </w:r>
    </w:p>
    <w:p>
      <w:pPr>
        <w:pStyle w:val="Indenta"/>
      </w:pPr>
      <w:r>
        <w:tab/>
        <w:t>(b)</w:t>
      </w:r>
      <w:r>
        <w:tab/>
        <w:t>make copies of the list available to the public for inspection at the head office and regional offices of the department during business hours.</w:t>
      </w:r>
    </w:p>
    <w:p>
      <w:pPr>
        <w:pStyle w:val="Footnotesection"/>
        <w:spacing w:before="80"/>
        <w:ind w:left="890" w:hanging="890"/>
      </w:pPr>
      <w:r>
        <w:tab/>
        <w:t xml:space="preserve">[Section 37 inserted by No. 46 of 2010 s. 12.] </w:t>
      </w:r>
    </w:p>
    <w:p>
      <w:pPr>
        <w:pStyle w:val="Heading2"/>
      </w:pPr>
      <w:bookmarkStart w:id="33" w:name="_Toc402516072"/>
      <w:bookmarkStart w:id="34" w:name="_Toc412557956"/>
      <w:bookmarkStart w:id="35" w:name="_Toc412558020"/>
      <w:bookmarkStart w:id="36" w:name="_Toc412558170"/>
      <w:r>
        <w:rPr>
          <w:rStyle w:val="CharPartNo"/>
        </w:rPr>
        <w:t>Part V</w:t>
      </w:r>
      <w:r>
        <w:t> — </w:t>
      </w:r>
      <w:r>
        <w:rPr>
          <w:rStyle w:val="CharPartText"/>
        </w:rPr>
        <w:t>Control of declared plants and declared animals</w:t>
      </w:r>
      <w:bookmarkEnd w:id="33"/>
      <w:bookmarkEnd w:id="34"/>
      <w:bookmarkEnd w:id="35"/>
      <w:bookmarkEnd w:id="36"/>
      <w:r>
        <w:rPr>
          <w:rStyle w:val="CharPartText"/>
        </w:rPr>
        <w:t xml:space="preserve"> </w:t>
      </w:r>
    </w:p>
    <w:p>
      <w:pPr>
        <w:pStyle w:val="Ednotesection"/>
        <w:spacing w:before="260"/>
      </w:pPr>
      <w:r>
        <w:t>[Divisions 1-4 (s. 38</w:t>
      </w:r>
      <w:r>
        <w:noBreakHyphen/>
        <w:t>56) deleted by No. 24 of 2007 s. 27</w:t>
      </w:r>
      <w:r>
        <w:rPr>
          <w:i w:val="0"/>
          <w:vertAlign w:val="superscript"/>
        </w:rPr>
        <w:t> 2</w:t>
      </w:r>
      <w:r>
        <w:t>.]</w:t>
      </w:r>
    </w:p>
    <w:p>
      <w:pPr>
        <w:pStyle w:val="Heading3"/>
      </w:pPr>
      <w:bookmarkStart w:id="37" w:name="_Toc402516073"/>
      <w:bookmarkStart w:id="38" w:name="_Toc412557957"/>
      <w:bookmarkStart w:id="39" w:name="_Toc412558021"/>
      <w:bookmarkStart w:id="40" w:name="_Toc412558171"/>
      <w:r>
        <w:rPr>
          <w:rStyle w:val="CharDivNo"/>
        </w:rPr>
        <w:t>Division 5</w:t>
      </w:r>
      <w:r>
        <w:rPr>
          <w:snapToGrid w:val="0"/>
        </w:rPr>
        <w:t> — </w:t>
      </w:r>
      <w:r>
        <w:rPr>
          <w:rStyle w:val="CharDivText"/>
        </w:rPr>
        <w:t>Operational work</w:t>
      </w:r>
      <w:bookmarkEnd w:id="37"/>
      <w:bookmarkEnd w:id="38"/>
      <w:bookmarkEnd w:id="39"/>
      <w:bookmarkEnd w:id="40"/>
    </w:p>
    <w:p>
      <w:pPr>
        <w:pStyle w:val="Footnoteheading"/>
        <w:rPr>
          <w:b/>
        </w:rPr>
      </w:pPr>
      <w:r>
        <w:tab/>
        <w:t>[Heading amended by No. 46 of 2010 s. 24.]</w:t>
      </w:r>
    </w:p>
    <w:p>
      <w:pPr>
        <w:pStyle w:val="Heading5"/>
        <w:rPr>
          <w:snapToGrid w:val="0"/>
        </w:rPr>
      </w:pPr>
      <w:bookmarkStart w:id="41" w:name="_Toc402516074"/>
      <w:bookmarkStart w:id="42" w:name="_Toc412558172"/>
      <w:r>
        <w:rPr>
          <w:rStyle w:val="CharSectno"/>
        </w:rPr>
        <w:t>57</w:t>
      </w:r>
      <w:r>
        <w:rPr>
          <w:snapToGrid w:val="0"/>
        </w:rPr>
        <w:t>.</w:t>
      </w:r>
      <w:r>
        <w:rPr>
          <w:snapToGrid w:val="0"/>
        </w:rPr>
        <w:tab/>
        <w:t>Term used: operational work</w:t>
      </w:r>
      <w:bookmarkEnd w:id="41"/>
      <w:bookmarkEnd w:id="42"/>
      <w:r>
        <w:rPr>
          <w:snapToGrid w:val="0"/>
        </w:rPr>
        <w:t xml:space="preserve"> </w:t>
      </w:r>
    </w:p>
    <w:p>
      <w:pPr>
        <w:pStyle w:val="Subsection"/>
        <w:rPr>
          <w:snapToGrid w:val="0"/>
        </w:rPr>
      </w:pPr>
      <w:r>
        <w:rPr>
          <w:snapToGrid w:val="0"/>
        </w:rPr>
        <w:tab/>
      </w:r>
      <w:r>
        <w:rPr>
          <w:snapToGrid w:val="0"/>
        </w:rPr>
        <w:tab/>
        <w:t xml:space="preserve">In this Division </w:t>
      </w:r>
      <w:r>
        <w:rPr>
          <w:rStyle w:val="CharDefText"/>
        </w:rPr>
        <w:t>operational work</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43" w:name="_Toc402516075"/>
      <w:bookmarkStart w:id="44" w:name="_Toc412558173"/>
      <w:r>
        <w:rPr>
          <w:rStyle w:val="CharSectno"/>
        </w:rPr>
        <w:t>58</w:t>
      </w:r>
      <w:r>
        <w:rPr>
          <w:snapToGrid w:val="0"/>
        </w:rPr>
        <w:t>.</w:t>
      </w:r>
      <w:r>
        <w:rPr>
          <w:snapToGrid w:val="0"/>
        </w:rPr>
        <w:tab/>
        <w:t>Operational work may be carried out</w:t>
      </w:r>
      <w:bookmarkEnd w:id="43"/>
      <w:bookmarkEnd w:id="44"/>
    </w:p>
    <w:p>
      <w:pPr>
        <w:pStyle w:val="Subsection"/>
      </w:pPr>
      <w:r>
        <w:tab/>
        <w:t>(1)</w:t>
      </w:r>
      <w:r>
        <w:tab/>
        <w:t xml:space="preserve">In this section — </w:t>
      </w:r>
    </w:p>
    <w:p>
      <w:pPr>
        <w:pStyle w:val="Defstart"/>
      </w:pPr>
      <w:r>
        <w:tab/>
      </w:r>
      <w:r>
        <w:rPr>
          <w:rStyle w:val="CharDefText"/>
        </w:rPr>
        <w:t>dwelling</w:t>
      </w:r>
      <w:r>
        <w:t xml:space="preserve"> has the meaning given in the </w:t>
      </w:r>
      <w:r>
        <w:rPr>
          <w:i/>
        </w:rPr>
        <w:t>Biosecurity and Agriculture Management Act 2007</w:t>
      </w:r>
      <w:r>
        <w:t xml:space="preserve"> section 63.</w:t>
      </w:r>
    </w:p>
    <w:p>
      <w:pPr>
        <w:pStyle w:val="Subsection"/>
      </w:pPr>
      <w:r>
        <w:tab/>
        <w:t>(2A)</w:t>
      </w:r>
      <w:r>
        <w:tab/>
        <w:t>Inspectors and authorised persons may, at any time and to such extent as the Director General may determine, carry out operational work on and in relation to any place other than a dwelling without cost to the owner or occupier of that place.</w:t>
      </w:r>
    </w:p>
    <w:p>
      <w:pPr>
        <w:pStyle w:val="Subsection"/>
      </w:pPr>
      <w:r>
        <w:tab/>
        <w:t>(2B)</w:t>
      </w:r>
      <w:r>
        <w:tab/>
        <w:t xml:space="preserve">The operational work may be carried out — </w:t>
      </w:r>
    </w:p>
    <w:p>
      <w:pPr>
        <w:pStyle w:val="Indenta"/>
      </w:pPr>
      <w:r>
        <w:tab/>
        <w:t>(a)</w:t>
      </w:r>
      <w:r>
        <w:tab/>
        <w:t>out of moneys from time to time appropriated by Parliament for that purpose; or</w:t>
      </w:r>
    </w:p>
    <w:p>
      <w:pPr>
        <w:pStyle w:val="Indenta"/>
      </w:pPr>
      <w:r>
        <w:tab/>
        <w:t>(b)</w:t>
      </w:r>
      <w:r>
        <w:tab/>
        <w:t>out of moneys from time to time standing to the credit of the Declared Pest Account other than moneys derived from rates under section 60; or</w:t>
      </w:r>
    </w:p>
    <w:p>
      <w:pPr>
        <w:pStyle w:val="Indenta"/>
      </w:pPr>
      <w:r>
        <w:tab/>
        <w:t>(c)</w:t>
      </w:r>
      <w:r>
        <w:tab/>
        <w:t>on and in relation to private land held under pastoral lease out of moneys from time to time standing to the credit of the Declared Pest Account and derived from rates under section 60; or</w:t>
      </w:r>
    </w:p>
    <w:p>
      <w:pPr>
        <w:pStyle w:val="Indenta"/>
      </w:pPr>
      <w:r>
        <w:tab/>
        <w:t>(d)</w:t>
      </w:r>
      <w:r>
        <w:tab/>
        <w:t>on and in relation to public land, land under the control of a local government or private land pursuant to an agreement under section 41, 46 or 55.</w:t>
      </w:r>
    </w:p>
    <w:p>
      <w:pPr>
        <w:pStyle w:val="Subsection"/>
        <w:rPr>
          <w:snapToGrid w:val="0"/>
        </w:rPr>
      </w:pPr>
      <w:r>
        <w:rPr>
          <w:snapToGrid w:val="0"/>
        </w:rPr>
        <w:tab/>
        <w:t>(2)</w:t>
      </w:r>
      <w:r>
        <w:rPr>
          <w:snapToGrid w:val="0"/>
        </w:rPr>
        <w:tab/>
        <w:t xml:space="preserve">An inspector or authorised person may enter any land for the purpose of exercising </w:t>
      </w:r>
      <w:r>
        <w:t>powers</w:t>
      </w:r>
      <w:r>
        <w:rPr>
          <w:snapToGrid w:val="0"/>
        </w:rPr>
        <w:t xml:space="preserve"> under this section.</w:t>
      </w:r>
    </w:p>
    <w:p>
      <w:pPr>
        <w:pStyle w:val="Footnotesection"/>
      </w:pPr>
      <w:r>
        <w:tab/>
        <w:t xml:space="preserve">[Section 58 amended by No. 14 of 1996 s. 4; No. 6 of 2006 s. 4; No. 77 of 2006 Sch. 1 cl. 6(4); No. 46 of 2010 s. 25.] </w:t>
      </w:r>
    </w:p>
    <w:p>
      <w:pPr>
        <w:pStyle w:val="Heading5"/>
        <w:rPr>
          <w:snapToGrid w:val="0"/>
        </w:rPr>
      </w:pPr>
      <w:bookmarkStart w:id="45" w:name="_Toc402516076"/>
      <w:bookmarkStart w:id="46" w:name="_Toc412558174"/>
      <w:r>
        <w:rPr>
          <w:rStyle w:val="CharSectno"/>
        </w:rPr>
        <w:t>59</w:t>
      </w:r>
      <w:r>
        <w:rPr>
          <w:snapToGrid w:val="0"/>
        </w:rPr>
        <w:t>.</w:t>
      </w:r>
      <w:r>
        <w:rPr>
          <w:snapToGrid w:val="0"/>
        </w:rPr>
        <w:tab/>
        <w:t>Saving provisions</w:t>
      </w:r>
      <w:bookmarkEnd w:id="45"/>
      <w:bookmarkEnd w:id="46"/>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to control declared plants and declared animals.</w:t>
      </w:r>
    </w:p>
    <w:p>
      <w:pPr>
        <w:pStyle w:val="Ednotesubsection"/>
      </w:pPr>
      <w:r>
        <w:tab/>
        <w:t>[(2)</w:t>
      </w:r>
      <w:r>
        <w:tab/>
        <w:t>deleted]</w:t>
      </w:r>
    </w:p>
    <w:p>
      <w:pPr>
        <w:pStyle w:val="Footnotesection"/>
      </w:pPr>
      <w:r>
        <w:tab/>
        <w:t>[Section 59 amended by No. 24 of 2007 s. 27</w:t>
      </w:r>
      <w:r>
        <w:rPr>
          <w:i w:val="0"/>
          <w:vertAlign w:val="superscript"/>
        </w:rPr>
        <w:t> 2</w:t>
      </w:r>
      <w:r>
        <w:t>; No. 46 of 2010 s. 26.]</w:t>
      </w:r>
    </w:p>
    <w:p>
      <w:pPr>
        <w:pStyle w:val="Ednotesection"/>
        <w:spacing w:before="260"/>
      </w:pPr>
      <w:r>
        <w:t>[Division 6:</w:t>
      </w:r>
      <w:r>
        <w:tab/>
        <w:t>s. 60, 62</w:t>
      </w:r>
      <w:r>
        <w:noBreakHyphen/>
        <w:t>65 deleted by No. 24 of 2007 s. 27</w:t>
      </w:r>
      <w:r>
        <w:rPr>
          <w:i w:val="0"/>
          <w:vertAlign w:val="superscript"/>
        </w:rPr>
        <w:t> 2</w:t>
      </w:r>
      <w:r>
        <w:t>;</w:t>
      </w:r>
      <w:r>
        <w:br/>
      </w:r>
      <w:r>
        <w:tab/>
        <w:t>s. 61 deleted by No. 46 of 2010 s. 28.]</w:t>
      </w:r>
    </w:p>
    <w:p>
      <w:pPr>
        <w:pStyle w:val="Ednotedivision"/>
      </w:pPr>
      <w:r>
        <w:t>[Divisions 7 and 8 (s. 66</w:t>
      </w:r>
      <w:r>
        <w:noBreakHyphen/>
        <w:t>70) deleted by No. 24 of 2007 s. 27</w:t>
      </w:r>
      <w:r>
        <w:rPr>
          <w:i w:val="0"/>
          <w:vertAlign w:val="superscript"/>
        </w:rPr>
        <w:t> 2</w:t>
      </w:r>
      <w:r>
        <w:t xml:space="preserve">.] </w:t>
      </w:r>
    </w:p>
    <w:p>
      <w:pPr>
        <w:pStyle w:val="Ednotepart"/>
      </w:pPr>
      <w:r>
        <w:t>[Part VI (s. 71</w:t>
      </w:r>
      <w:r>
        <w:noBreakHyphen/>
        <w:t>83) deleted by No. 24 of 2007 s. 27</w:t>
      </w:r>
      <w:r>
        <w:rPr>
          <w:i w:val="0"/>
          <w:vertAlign w:val="superscript"/>
        </w:rPr>
        <w:t> 2</w:t>
      </w:r>
      <w:r>
        <w:t>.]</w:t>
      </w:r>
    </w:p>
    <w:p>
      <w:pPr>
        <w:pStyle w:val="Heading2"/>
      </w:pPr>
      <w:bookmarkStart w:id="47" w:name="_Toc402516077"/>
      <w:bookmarkStart w:id="48" w:name="_Toc412557961"/>
      <w:bookmarkStart w:id="49" w:name="_Toc412558025"/>
      <w:bookmarkStart w:id="50" w:name="_Toc412558175"/>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47"/>
      <w:bookmarkEnd w:id="48"/>
      <w:bookmarkEnd w:id="49"/>
      <w:bookmarkEnd w:id="50"/>
      <w:r>
        <w:rPr>
          <w:rStyle w:val="CharPartText"/>
        </w:rPr>
        <w:t xml:space="preserve"> </w:t>
      </w:r>
    </w:p>
    <w:p>
      <w:pPr>
        <w:pStyle w:val="Heading5"/>
        <w:rPr>
          <w:snapToGrid w:val="0"/>
        </w:rPr>
      </w:pPr>
      <w:bookmarkStart w:id="51" w:name="_Toc402516078"/>
      <w:bookmarkStart w:id="52" w:name="_Toc412558176"/>
      <w:r>
        <w:rPr>
          <w:rStyle w:val="CharSectno"/>
        </w:rPr>
        <w:t>83A</w:t>
      </w:r>
      <w:r>
        <w:rPr>
          <w:snapToGrid w:val="0"/>
        </w:rPr>
        <w:t xml:space="preserve">. </w:t>
      </w:r>
      <w:r>
        <w:rPr>
          <w:snapToGrid w:val="0"/>
        </w:rPr>
        <w:tab/>
        <w:t>Protection from agricultural chemicals</w:t>
      </w:r>
      <w:bookmarkEnd w:id="51"/>
      <w:bookmarkEnd w:id="52"/>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 xml:space="preserve">Penalty: </w:t>
      </w:r>
      <w:r>
        <w:t>a fine of $50 000</w:t>
      </w:r>
      <w:r>
        <w:rPr>
          <w:snapToGrid w:val="0"/>
        </w:rPr>
        <w:t>.</w:t>
      </w:r>
    </w:p>
    <w:p>
      <w:pPr>
        <w:pStyle w:val="Footnotesection"/>
      </w:pPr>
      <w:r>
        <w:tab/>
        <w:t xml:space="preserve">[Section 83A inserted by No. 55 of 1979 s. 7; amended by No. 20 of 1989 s. 3; No. 46 of 2010 s. 42 and 56.] </w:t>
      </w:r>
    </w:p>
    <w:p>
      <w:pPr>
        <w:pStyle w:val="Heading2"/>
      </w:pPr>
      <w:bookmarkStart w:id="53" w:name="_Toc402516079"/>
      <w:bookmarkStart w:id="54" w:name="_Toc412557963"/>
      <w:bookmarkStart w:id="55" w:name="_Toc412558027"/>
      <w:bookmarkStart w:id="56" w:name="_Toc412558177"/>
      <w:r>
        <w:rPr>
          <w:rStyle w:val="CharPartNo"/>
        </w:rPr>
        <w:t>Part VII</w:t>
      </w:r>
      <w:r>
        <w:t> — </w:t>
      </w:r>
      <w:r>
        <w:rPr>
          <w:rStyle w:val="CharPartText"/>
        </w:rPr>
        <w:t>General</w:t>
      </w:r>
      <w:bookmarkEnd w:id="53"/>
      <w:bookmarkEnd w:id="54"/>
      <w:bookmarkEnd w:id="55"/>
      <w:bookmarkEnd w:id="56"/>
      <w:r>
        <w:rPr>
          <w:rStyle w:val="CharPartText"/>
        </w:rPr>
        <w:t xml:space="preserve"> </w:t>
      </w:r>
    </w:p>
    <w:p>
      <w:pPr>
        <w:pStyle w:val="Heading3"/>
        <w:rPr>
          <w:snapToGrid w:val="0"/>
        </w:rPr>
      </w:pPr>
      <w:bookmarkStart w:id="57" w:name="_Toc402516080"/>
      <w:bookmarkStart w:id="58" w:name="_Toc412557964"/>
      <w:bookmarkStart w:id="59" w:name="_Toc412558028"/>
      <w:bookmarkStart w:id="60" w:name="_Toc412558178"/>
      <w:r>
        <w:rPr>
          <w:rStyle w:val="CharDivNo"/>
        </w:rPr>
        <w:t>Division 1</w:t>
      </w:r>
      <w:r>
        <w:rPr>
          <w:snapToGrid w:val="0"/>
        </w:rPr>
        <w:t> — </w:t>
      </w:r>
      <w:r>
        <w:rPr>
          <w:rStyle w:val="CharDivText"/>
        </w:rPr>
        <w:t>Powers of inspectors and authorised persons</w:t>
      </w:r>
      <w:bookmarkEnd w:id="57"/>
      <w:bookmarkEnd w:id="58"/>
      <w:bookmarkEnd w:id="59"/>
      <w:bookmarkEnd w:id="60"/>
      <w:r>
        <w:rPr>
          <w:rStyle w:val="CharDivText"/>
        </w:rPr>
        <w:t xml:space="preserve"> </w:t>
      </w:r>
    </w:p>
    <w:p>
      <w:pPr>
        <w:pStyle w:val="Heading5"/>
        <w:rPr>
          <w:snapToGrid w:val="0"/>
        </w:rPr>
      </w:pPr>
      <w:bookmarkStart w:id="61" w:name="_Toc402516081"/>
      <w:bookmarkStart w:id="62" w:name="_Toc412558179"/>
      <w:r>
        <w:rPr>
          <w:rStyle w:val="CharSectno"/>
        </w:rPr>
        <w:t>84</w:t>
      </w:r>
      <w:r>
        <w:rPr>
          <w:snapToGrid w:val="0"/>
        </w:rPr>
        <w:t>.</w:t>
      </w:r>
      <w:r>
        <w:rPr>
          <w:snapToGrid w:val="0"/>
        </w:rPr>
        <w:tab/>
        <w:t>Power of entry</w:t>
      </w:r>
      <w:bookmarkEnd w:id="61"/>
      <w:bookmarkEnd w:id="62"/>
      <w:r>
        <w:rPr>
          <w:snapToGrid w:val="0"/>
        </w:rPr>
        <w:t xml:space="preserve"> </w:t>
      </w:r>
    </w:p>
    <w:p>
      <w:pPr>
        <w:pStyle w:val="Subsection"/>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rPr>
          <w:snapToGrid w:val="0"/>
        </w:rPr>
      </w:pPr>
      <w:r>
        <w:rPr>
          <w:snapToGrid w:val="0"/>
        </w:rPr>
        <w:tab/>
        <w:t>(a)</w:t>
      </w:r>
      <w:r>
        <w:rPr>
          <w:snapToGrid w:val="0"/>
        </w:rPr>
        <w:tab/>
        <w:t>make a search to ascertain — </w:t>
      </w:r>
    </w:p>
    <w:p>
      <w:pPr>
        <w:pStyle w:val="Indenti"/>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 or</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whether there is any declared plant or prohibited material in or upon the land or premises that has been introduced contrary to this Act; or</w:t>
      </w:r>
    </w:p>
    <w:p>
      <w:pPr>
        <w:pStyle w:val="Indenti"/>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rPr>
          <w:snapToGrid w:val="0"/>
        </w:rPr>
      </w:pPr>
      <w:r>
        <w:rPr>
          <w:snapToGrid w:val="0"/>
        </w:rPr>
        <w:tab/>
        <w:t>(v)</w:t>
      </w:r>
      <w:r>
        <w:rPr>
          <w:snapToGrid w:val="0"/>
        </w:rPr>
        <w:tab/>
        <w:t>whether any chemical is being or has been stored or used upon the land or in the premises contrary to this Act;</w:t>
      </w:r>
    </w:p>
    <w:p>
      <w:pPr>
        <w:pStyle w:val="Indenta"/>
        <w:rPr>
          <w:snapToGrid w:val="0"/>
        </w:rPr>
      </w:pPr>
      <w:r>
        <w:rPr>
          <w:snapToGrid w:val="0"/>
        </w:rPr>
        <w:tab/>
        <w:t>(b)</w:t>
      </w:r>
      <w:r>
        <w:rPr>
          <w:snapToGrid w:val="0"/>
        </w:rPr>
        <w:tab/>
        <w:t>patrol and inspect any fence on or bounding that land.</w:t>
      </w:r>
    </w:p>
    <w:p>
      <w:pPr>
        <w:pStyle w:val="Subsection"/>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rPr>
          <w:snapToGrid w:val="0"/>
        </w:rPr>
      </w:pPr>
      <w:r>
        <w:rPr>
          <w:snapToGrid w:val="0"/>
        </w:rPr>
        <w:tab/>
        <w:t>(a)</w:t>
      </w:r>
      <w:r>
        <w:rPr>
          <w:snapToGrid w:val="0"/>
        </w:rPr>
        <w:tab/>
        <w:t>any declared plant or declared animal that is required by this Act to be controlled;</w:t>
      </w:r>
    </w:p>
    <w:p>
      <w:pPr>
        <w:pStyle w:val="Indenta"/>
        <w:spacing w:before="60"/>
        <w:rPr>
          <w:snapToGrid w:val="0"/>
        </w:rPr>
      </w:pPr>
      <w:r>
        <w:rPr>
          <w:snapToGrid w:val="0"/>
        </w:rPr>
        <w:tab/>
        <w:t>(b)</w:t>
      </w:r>
      <w:r>
        <w:rPr>
          <w:snapToGrid w:val="0"/>
        </w:rPr>
        <w:tab/>
        <w:t>any declared plant or prohibited material that has been introduced contrary to this Act;</w:t>
      </w:r>
    </w:p>
    <w:p>
      <w:pPr>
        <w:pStyle w:val="Indenta"/>
        <w:spacing w:before="60"/>
        <w:rPr>
          <w:snapToGrid w:val="0"/>
        </w:rPr>
      </w:pPr>
      <w:r>
        <w:rPr>
          <w:snapToGrid w:val="0"/>
        </w:rPr>
        <w:tab/>
        <w:t>(c)</w:t>
      </w:r>
      <w:r>
        <w:rPr>
          <w:snapToGrid w:val="0"/>
        </w:rPr>
        <w:tab/>
        <w:t>any declared animal that has been introduced or is being kept contrary to this Act;</w:t>
      </w:r>
    </w:p>
    <w:p>
      <w:pPr>
        <w:pStyle w:val="Indenta"/>
        <w:spacing w:before="60"/>
        <w:rPr>
          <w:snapToGrid w:val="0"/>
        </w:rPr>
      </w:pPr>
      <w:r>
        <w:rPr>
          <w:snapToGrid w:val="0"/>
        </w:rPr>
        <w:tab/>
        <w:t>(d)</w:t>
      </w:r>
      <w:r>
        <w:rPr>
          <w:snapToGrid w:val="0"/>
        </w:rPr>
        <w:tab/>
        <w:t>any chemical that is being stored or has been used contrary to this Act,</w:t>
      </w:r>
    </w:p>
    <w:p>
      <w:pPr>
        <w:pStyle w:val="Subsection"/>
        <w:spacing w:before="100"/>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spacing w:before="100"/>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spacing w:before="100"/>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w:t>
      </w:r>
      <w:r>
        <w:t xml:space="preserve"> Director General</w:t>
      </w:r>
      <w:r>
        <w:rPr>
          <w:snapToGrid w:val="0"/>
        </w:rPr>
        <w:t>.</w:t>
      </w:r>
    </w:p>
    <w:p>
      <w:pPr>
        <w:pStyle w:val="Subsection"/>
        <w:spacing w:before="100"/>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spacing w:before="100"/>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spacing w:before="60"/>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[Section 84 amended by No. 22 of 1980 s. 6; No. 84 of 2004 s. 80; No. 24 of 2007 s. 27</w:t>
      </w:r>
      <w:r>
        <w:rPr>
          <w:i w:val="0"/>
          <w:vertAlign w:val="superscript"/>
        </w:rPr>
        <w:t> 2</w:t>
      </w:r>
      <w:r>
        <w:t xml:space="preserve">; No. 46 of 2010 s. 55(2).] </w:t>
      </w:r>
    </w:p>
    <w:p>
      <w:pPr>
        <w:pStyle w:val="Heading5"/>
        <w:spacing w:before="240"/>
        <w:rPr>
          <w:snapToGrid w:val="0"/>
        </w:rPr>
      </w:pPr>
      <w:bookmarkStart w:id="63" w:name="_Toc402516082"/>
      <w:bookmarkStart w:id="64" w:name="_Toc412558180"/>
      <w:r>
        <w:rPr>
          <w:rStyle w:val="CharSectno"/>
        </w:rPr>
        <w:t>85</w:t>
      </w:r>
      <w:r>
        <w:rPr>
          <w:snapToGrid w:val="0"/>
        </w:rPr>
        <w:t>.</w:t>
      </w:r>
      <w:r>
        <w:rPr>
          <w:snapToGrid w:val="0"/>
        </w:rPr>
        <w:tab/>
        <w:t>Power to search conveyances etc.</w:t>
      </w:r>
      <w:bookmarkEnd w:id="63"/>
      <w:bookmarkEnd w:id="64"/>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 xml:space="preserve">Penalty: </w:t>
      </w:r>
      <w:r>
        <w:t>a fine of $20 000</w:t>
      </w:r>
      <w:r>
        <w:rPr>
          <w:snapToGrid w:val="0"/>
        </w:rPr>
        <w:t>.</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ind w:left="890" w:hanging="890"/>
      </w:pPr>
      <w:r>
        <w:tab/>
        <w:t>[Section 85 amended by No. 22 of 1980 s. 7; No. 20 of 1989 s. 3; No. 24 of 2007 s. 27</w:t>
      </w:r>
      <w:r>
        <w:rPr>
          <w:i w:val="0"/>
          <w:vertAlign w:val="superscript"/>
        </w:rPr>
        <w:t> 2</w:t>
      </w:r>
      <w:r>
        <w:t xml:space="preserve">; No. 46 of 2010 s. 56.] </w:t>
      </w:r>
    </w:p>
    <w:p>
      <w:pPr>
        <w:pStyle w:val="Heading5"/>
        <w:spacing w:before="240"/>
        <w:rPr>
          <w:snapToGrid w:val="0"/>
        </w:rPr>
      </w:pPr>
      <w:bookmarkStart w:id="65" w:name="_Toc402516083"/>
      <w:bookmarkStart w:id="66" w:name="_Toc412558181"/>
      <w:r>
        <w:rPr>
          <w:rStyle w:val="CharSectno"/>
        </w:rPr>
        <w:t>86</w:t>
      </w:r>
      <w:r>
        <w:rPr>
          <w:snapToGrid w:val="0"/>
        </w:rPr>
        <w:t>.</w:t>
      </w:r>
      <w:r>
        <w:rPr>
          <w:snapToGrid w:val="0"/>
        </w:rPr>
        <w:tab/>
        <w:t>Name and address may be required</w:t>
      </w:r>
      <w:bookmarkEnd w:id="65"/>
      <w:bookmarkEnd w:id="66"/>
      <w:r>
        <w:rPr>
          <w:snapToGrid w:val="0"/>
        </w:rPr>
        <w:t xml:space="preserve"> </w:t>
      </w:r>
    </w:p>
    <w:p>
      <w:pPr>
        <w:pStyle w:val="Subsection"/>
        <w:spacing w:before="180"/>
        <w:rPr>
          <w:snapToGrid w:val="0"/>
        </w:rPr>
      </w:pPr>
      <w:r>
        <w:rPr>
          <w:snapToGrid w:val="0"/>
        </w:rPr>
        <w:tab/>
      </w:r>
      <w:r>
        <w:rPr>
          <w:snapToGrid w:val="0"/>
        </w:rPr>
        <w:tab/>
        <w:t>An inspector or authorised person acting in the exercise or performance of his powers, duties or functions under this Act may — </w:t>
      </w:r>
    </w:p>
    <w:p>
      <w:pPr>
        <w:pStyle w:val="Indenta"/>
        <w:spacing w:before="100"/>
        <w:rPr>
          <w:snapToGrid w:val="0"/>
        </w:rPr>
      </w:pPr>
      <w:r>
        <w:rPr>
          <w:snapToGrid w:val="0"/>
        </w:rPr>
        <w:tab/>
        <w:t>(a)</w:t>
      </w:r>
      <w:r>
        <w:rPr>
          <w:snapToGrid w:val="0"/>
        </w:rPr>
        <w:tab/>
        <w:t>require any person to state his name and address;</w:t>
      </w:r>
    </w:p>
    <w:p>
      <w:pPr>
        <w:pStyle w:val="Indenta"/>
        <w:spacing w:before="100"/>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spacing w:before="240"/>
        <w:rPr>
          <w:snapToGrid w:val="0"/>
        </w:rPr>
      </w:pPr>
      <w:bookmarkStart w:id="67" w:name="_Toc402516084"/>
      <w:bookmarkStart w:id="68" w:name="_Toc412558182"/>
      <w:r>
        <w:rPr>
          <w:rStyle w:val="CharSectno"/>
        </w:rPr>
        <w:t>87</w:t>
      </w:r>
      <w:r>
        <w:rPr>
          <w:snapToGrid w:val="0"/>
        </w:rPr>
        <w:t>.</w:t>
      </w:r>
      <w:r>
        <w:rPr>
          <w:snapToGrid w:val="0"/>
        </w:rPr>
        <w:tab/>
        <w:t>Obstruction etc.</w:t>
      </w:r>
      <w:bookmarkEnd w:id="67"/>
      <w:bookmarkEnd w:id="68"/>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00"/>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 or</w:t>
      </w:r>
    </w:p>
    <w:p>
      <w:pPr>
        <w:pStyle w:val="Indenta"/>
        <w:spacing w:before="100"/>
        <w:rPr>
          <w:snapToGrid w:val="0"/>
        </w:rPr>
      </w:pPr>
      <w:r>
        <w:rPr>
          <w:snapToGrid w:val="0"/>
        </w:rPr>
        <w:tab/>
        <w:t>(b)</w:t>
      </w:r>
      <w:r>
        <w:rPr>
          <w:snapToGrid w:val="0"/>
        </w:rPr>
        <w:tab/>
        <w:t>without lawful excuse, refuses or wilfully fails to comply with any lawful requirement of an inspector or authorised person under this Act; or</w:t>
      </w:r>
    </w:p>
    <w:p>
      <w:pPr>
        <w:pStyle w:val="Indenta"/>
        <w:spacing w:before="100"/>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keepNext/>
        <w:spacing w:before="100"/>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 $20 000</w:t>
      </w:r>
      <w:r>
        <w:rPr>
          <w:snapToGrid w:val="0"/>
        </w:rPr>
        <w:t>.</w:t>
      </w:r>
    </w:p>
    <w:p>
      <w:pPr>
        <w:pStyle w:val="Footnotesection"/>
        <w:ind w:left="890" w:hanging="890"/>
      </w:pPr>
      <w:r>
        <w:tab/>
        <w:t xml:space="preserve">[Section 87 amended by No. 59 of 1986 s. 7; No. 20 of 1989 s. 3; No. 46 of 2010 s. 56.] </w:t>
      </w:r>
    </w:p>
    <w:p>
      <w:pPr>
        <w:pStyle w:val="Heading5"/>
        <w:rPr>
          <w:snapToGrid w:val="0"/>
        </w:rPr>
      </w:pPr>
      <w:bookmarkStart w:id="69" w:name="_Toc402516085"/>
      <w:bookmarkStart w:id="70" w:name="_Toc412558183"/>
      <w:r>
        <w:rPr>
          <w:rStyle w:val="CharSectno"/>
        </w:rPr>
        <w:t>88</w:t>
      </w:r>
      <w:r>
        <w:rPr>
          <w:snapToGrid w:val="0"/>
        </w:rPr>
        <w:t>.</w:t>
      </w:r>
      <w:r>
        <w:rPr>
          <w:snapToGrid w:val="0"/>
        </w:rPr>
        <w:tab/>
        <w:t>Personating officers</w:t>
      </w:r>
      <w:bookmarkEnd w:id="69"/>
      <w:bookmarkEnd w:id="70"/>
      <w:r>
        <w:rPr>
          <w:snapToGrid w:val="0"/>
        </w:rPr>
        <w:t xml:space="preserve"> </w:t>
      </w:r>
    </w:p>
    <w:p>
      <w:pPr>
        <w:pStyle w:val="Subsection"/>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 xml:space="preserve">Penalty: </w:t>
      </w:r>
      <w:r>
        <w:t>a fine of $20 000</w:t>
      </w:r>
      <w:r>
        <w:rPr>
          <w:snapToGrid w:val="0"/>
        </w:rPr>
        <w:t>.</w:t>
      </w:r>
    </w:p>
    <w:p>
      <w:pPr>
        <w:pStyle w:val="Footnotesection"/>
        <w:ind w:left="890" w:hanging="890"/>
      </w:pPr>
      <w:r>
        <w:tab/>
        <w:t xml:space="preserve">[Section 88 amended by No. 20 of 1989 s. 3; No. 46 of 2010 s. 56.] </w:t>
      </w:r>
    </w:p>
    <w:p>
      <w:pPr>
        <w:pStyle w:val="Heading3"/>
        <w:rPr>
          <w:snapToGrid w:val="0"/>
        </w:rPr>
      </w:pPr>
      <w:bookmarkStart w:id="71" w:name="_Toc402516086"/>
      <w:bookmarkStart w:id="72" w:name="_Toc412557970"/>
      <w:bookmarkStart w:id="73" w:name="_Toc412558034"/>
      <w:bookmarkStart w:id="74" w:name="_Toc412558184"/>
      <w:r>
        <w:rPr>
          <w:rStyle w:val="CharDivNo"/>
        </w:rPr>
        <w:t>Division 2</w:t>
      </w:r>
      <w:r>
        <w:rPr>
          <w:snapToGrid w:val="0"/>
        </w:rPr>
        <w:t> — </w:t>
      </w:r>
      <w:r>
        <w:rPr>
          <w:rStyle w:val="CharDivText"/>
        </w:rPr>
        <w:t>Agents, mortgagees and trustees</w:t>
      </w:r>
      <w:bookmarkEnd w:id="71"/>
      <w:bookmarkEnd w:id="72"/>
      <w:bookmarkEnd w:id="73"/>
      <w:bookmarkEnd w:id="74"/>
      <w:r>
        <w:rPr>
          <w:rStyle w:val="CharDivText"/>
        </w:rPr>
        <w:t xml:space="preserve"> </w:t>
      </w:r>
    </w:p>
    <w:p>
      <w:pPr>
        <w:pStyle w:val="Heading5"/>
        <w:rPr>
          <w:snapToGrid w:val="0"/>
        </w:rPr>
      </w:pPr>
      <w:bookmarkStart w:id="75" w:name="_Toc402516087"/>
      <w:bookmarkStart w:id="76" w:name="_Toc412558185"/>
      <w:r>
        <w:rPr>
          <w:rStyle w:val="CharSectno"/>
        </w:rPr>
        <w:t>89</w:t>
      </w:r>
      <w:r>
        <w:rPr>
          <w:snapToGrid w:val="0"/>
        </w:rPr>
        <w:t>.</w:t>
      </w:r>
      <w:r>
        <w:rPr>
          <w:snapToGrid w:val="0"/>
        </w:rPr>
        <w:tab/>
        <w:t>Attorneys and agents to represent principal</w:t>
      </w:r>
      <w:bookmarkEnd w:id="75"/>
      <w:bookmarkEnd w:id="76"/>
      <w:r>
        <w:rPr>
          <w:snapToGrid w:val="0"/>
        </w:rPr>
        <w:t xml:space="preserve"> </w:t>
      </w:r>
    </w:p>
    <w:p>
      <w:pPr>
        <w:pStyle w:val="Subsection"/>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77" w:name="_Toc402516088"/>
      <w:bookmarkStart w:id="78" w:name="_Toc412558186"/>
      <w:r>
        <w:rPr>
          <w:rStyle w:val="CharSectno"/>
        </w:rPr>
        <w:t>90</w:t>
      </w:r>
      <w:r>
        <w:rPr>
          <w:snapToGrid w:val="0"/>
        </w:rPr>
        <w:t>.</w:t>
      </w:r>
      <w:r>
        <w:rPr>
          <w:snapToGrid w:val="0"/>
        </w:rPr>
        <w:tab/>
        <w:t>Powers of trustees</w:t>
      </w:r>
      <w:bookmarkEnd w:id="77"/>
      <w:bookmarkEnd w:id="78"/>
      <w:r>
        <w:rPr>
          <w:snapToGrid w:val="0"/>
        </w:rPr>
        <w:t xml:space="preserve"> </w:t>
      </w:r>
    </w:p>
    <w:p>
      <w:pPr>
        <w:pStyle w:val="Subsection"/>
        <w:rPr>
          <w:snapToGrid w:val="0"/>
        </w:rPr>
      </w:pPr>
      <w:r>
        <w:rPr>
          <w:snapToGrid w:val="0"/>
        </w:rPr>
        <w:tab/>
      </w:r>
      <w:r>
        <w:rPr>
          <w:snapToGrid w:val="0"/>
        </w:rPr>
        <w:tab/>
        <w:t xml:space="preserve">A trustee who is an owner of land in accordance with the definition </w:t>
      </w:r>
      <w:r>
        <w:rPr>
          <w:b/>
          <w:i/>
          <w:snapToGrid w:val="0"/>
        </w:rPr>
        <w:t>owner</w:t>
      </w:r>
      <w:r>
        <w:rPr>
          <w:snapToGrid w:val="0"/>
        </w:rPr>
        <w:t xml:space="preserve">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79" w:name="_Toc402516089"/>
      <w:bookmarkStart w:id="80" w:name="_Toc412558187"/>
      <w:r>
        <w:rPr>
          <w:rStyle w:val="CharSectno"/>
        </w:rPr>
        <w:t>91</w:t>
      </w:r>
      <w:r>
        <w:rPr>
          <w:snapToGrid w:val="0"/>
        </w:rPr>
        <w:t>.</w:t>
      </w:r>
      <w:r>
        <w:rPr>
          <w:snapToGrid w:val="0"/>
        </w:rPr>
        <w:tab/>
        <w:t>Mortgagees</w:t>
      </w:r>
      <w:bookmarkEnd w:id="79"/>
      <w:bookmarkEnd w:id="80"/>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81" w:name="_Toc402516090"/>
      <w:bookmarkStart w:id="82" w:name="_Toc412557974"/>
      <w:bookmarkStart w:id="83" w:name="_Toc412558038"/>
      <w:bookmarkStart w:id="84" w:name="_Toc412558188"/>
      <w:r>
        <w:rPr>
          <w:rStyle w:val="CharDivNo"/>
        </w:rPr>
        <w:t>Division 3</w:t>
      </w:r>
      <w:r>
        <w:rPr>
          <w:snapToGrid w:val="0"/>
        </w:rPr>
        <w:t> — </w:t>
      </w:r>
      <w:r>
        <w:rPr>
          <w:rStyle w:val="CharDivText"/>
        </w:rPr>
        <w:t>Procedure</w:t>
      </w:r>
      <w:bookmarkEnd w:id="81"/>
      <w:bookmarkEnd w:id="82"/>
      <w:bookmarkEnd w:id="83"/>
      <w:bookmarkEnd w:id="84"/>
      <w:r>
        <w:rPr>
          <w:rStyle w:val="CharDivText"/>
        </w:rPr>
        <w:t xml:space="preserve"> </w:t>
      </w:r>
    </w:p>
    <w:p>
      <w:pPr>
        <w:pStyle w:val="Heading5"/>
        <w:rPr>
          <w:snapToGrid w:val="0"/>
        </w:rPr>
      </w:pPr>
      <w:bookmarkStart w:id="85" w:name="_Toc402516091"/>
      <w:bookmarkStart w:id="86" w:name="_Toc412558189"/>
      <w:r>
        <w:rPr>
          <w:rStyle w:val="CharSectno"/>
        </w:rPr>
        <w:t>92</w:t>
      </w:r>
      <w:r>
        <w:rPr>
          <w:snapToGrid w:val="0"/>
        </w:rPr>
        <w:t>.</w:t>
      </w:r>
      <w:r>
        <w:rPr>
          <w:snapToGrid w:val="0"/>
        </w:rPr>
        <w:tab/>
        <w:t>Manner in which notices may be served</w:t>
      </w:r>
      <w:bookmarkEnd w:id="85"/>
      <w:bookmarkEnd w:id="86"/>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 or</w:t>
      </w:r>
    </w:p>
    <w:p>
      <w:pPr>
        <w:pStyle w:val="Indenta"/>
        <w:rPr>
          <w:snapToGrid w:val="0"/>
        </w:rPr>
      </w:pPr>
      <w:r>
        <w:rPr>
          <w:snapToGrid w:val="0"/>
        </w:rPr>
        <w:tab/>
        <w:t>(b)</w:t>
      </w:r>
      <w:r>
        <w:rPr>
          <w:snapToGrid w:val="0"/>
        </w:rPr>
        <w:tab/>
        <w:t>by leaving it for him at his usual or last known place of abode or business; or</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spacing w:before="120"/>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spacing w:before="120"/>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spacing w:before="120"/>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spacing w:before="120"/>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spacing w:before="60"/>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spacing w:before="60"/>
        <w:rPr>
          <w:snapToGrid w:val="0"/>
        </w:rPr>
      </w:pPr>
      <w:r>
        <w:rPr>
          <w:snapToGrid w:val="0"/>
        </w:rPr>
        <w:tab/>
        <w:t>(b)</w:t>
      </w:r>
      <w:r>
        <w:rPr>
          <w:snapToGrid w:val="0"/>
        </w:rPr>
        <w:tab/>
        <w:t>a copy of the notice has been posted to the person appearing to be the owner on search made in</w:t>
      </w:r>
      <w:r>
        <w:t xml:space="preserve"> a register or other records referred to in section 94(1)(b)</w:t>
      </w:r>
      <w:r>
        <w:rPr>
          <w:snapToGrid w:val="0"/>
        </w:rPr>
        <w:t>, addressed to him at his place of abode or business, as disclosed by the search.</w:t>
      </w:r>
    </w:p>
    <w:p>
      <w:pPr>
        <w:pStyle w:val="Subsection"/>
        <w:spacing w:before="100"/>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 xml:space="preserve">Penalty: </w:t>
      </w:r>
      <w:r>
        <w:t>a fine of $20 000</w:t>
      </w:r>
      <w:r>
        <w:rPr>
          <w:snapToGrid w:val="0"/>
        </w:rPr>
        <w:t>.</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4</w:t>
      </w:r>
      <w:r>
        <w:rPr>
          <w:snapToGrid w:val="0"/>
        </w:rPr>
        <w:t>.</w:t>
      </w:r>
    </w:p>
    <w:p>
      <w:pPr>
        <w:pStyle w:val="Footnotesection"/>
        <w:ind w:left="890" w:hanging="890"/>
      </w:pPr>
      <w:r>
        <w:tab/>
        <w:t xml:space="preserve">[Section 92 amended by No. 59 of 1986 s. 7; No. 20 of 1989 s. 20; No. 14 of 1996 s. 4; No. 81 of 1996 s. 153(2); No. 60 of 2006 s. 121(2); No. 46 of 2010 s. 56.] </w:t>
      </w:r>
    </w:p>
    <w:p>
      <w:pPr>
        <w:pStyle w:val="Heading5"/>
        <w:rPr>
          <w:snapToGrid w:val="0"/>
        </w:rPr>
      </w:pPr>
      <w:bookmarkStart w:id="87" w:name="_Toc402516092"/>
      <w:bookmarkStart w:id="88" w:name="_Toc412558190"/>
      <w:r>
        <w:rPr>
          <w:rStyle w:val="CharSectno"/>
        </w:rPr>
        <w:t>93</w:t>
      </w:r>
      <w:r>
        <w:rPr>
          <w:snapToGrid w:val="0"/>
        </w:rPr>
        <w:t>.</w:t>
      </w:r>
      <w:r>
        <w:rPr>
          <w:snapToGrid w:val="0"/>
        </w:rPr>
        <w:tab/>
        <w:t>Proof of documents and service</w:t>
      </w:r>
      <w:bookmarkEnd w:id="87"/>
      <w:bookmarkEnd w:id="88"/>
      <w:r>
        <w:rPr>
          <w:snapToGrid w:val="0"/>
        </w:rPr>
        <w:t xml:space="preserve"> </w:t>
      </w:r>
    </w:p>
    <w:p>
      <w:pPr>
        <w:pStyle w:val="Subsection"/>
        <w:rPr>
          <w:snapToGrid w:val="0"/>
        </w:rPr>
      </w:pPr>
      <w:r>
        <w:rPr>
          <w:snapToGrid w:val="0"/>
        </w:rPr>
        <w:tab/>
        <w:t>(1)</w:t>
      </w:r>
      <w:r>
        <w:rPr>
          <w:snapToGrid w:val="0"/>
        </w:rPr>
        <w:tab/>
        <w:t xml:space="preserve">For the purposes of this section </w:t>
      </w:r>
      <w:r>
        <w:rPr>
          <w:rStyle w:val="CharDefText"/>
        </w:rPr>
        <w:t>document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rStyle w:val="CharDefText"/>
        </w:rPr>
        <w:t>serve</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rPr>
          <w:snapToGrid w:val="0"/>
        </w:rPr>
      </w:pPr>
      <w:bookmarkStart w:id="89" w:name="_Toc402516093"/>
      <w:bookmarkStart w:id="90" w:name="_Toc412558191"/>
      <w:r>
        <w:rPr>
          <w:rStyle w:val="CharSectno"/>
        </w:rPr>
        <w:t>94</w:t>
      </w:r>
      <w:r>
        <w:rPr>
          <w:snapToGrid w:val="0"/>
        </w:rPr>
        <w:t>.</w:t>
      </w:r>
      <w:r>
        <w:rPr>
          <w:snapToGrid w:val="0"/>
        </w:rPr>
        <w:tab/>
        <w:t>Proof of ownership or occupancy</w:t>
      </w:r>
      <w:bookmarkEnd w:id="89"/>
      <w:bookmarkEnd w:id="90"/>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Indenti"/>
      </w:pPr>
      <w:r>
        <w:tab/>
        <w:t>(iv)</w:t>
      </w:r>
      <w:r>
        <w:tab/>
        <w:t xml:space="preserve">the CEO as defined in section 3 of the </w:t>
      </w:r>
      <w:r>
        <w:rPr>
          <w:i/>
        </w:rPr>
        <w:t>Conservation and Land Management Act 1984</w:t>
      </w:r>
      <w:r>
        <w:t>, that any person is registered as the holder of a permit, licence or lease under Part VIII of that Act,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 25; No. 14 of 1996 s. 4; No. 81 of 1996 s. 153(1); No. 84 of 2004 s. 80; No. 28 of 2006 s. 10; No. 60 of 2006 s. 121(3).] </w:t>
      </w:r>
    </w:p>
    <w:p>
      <w:pPr>
        <w:pStyle w:val="Heading5"/>
        <w:rPr>
          <w:snapToGrid w:val="0"/>
        </w:rPr>
      </w:pPr>
      <w:bookmarkStart w:id="91" w:name="_Toc402516094"/>
      <w:bookmarkStart w:id="92" w:name="_Toc412558192"/>
      <w:r>
        <w:rPr>
          <w:rStyle w:val="CharSectno"/>
        </w:rPr>
        <w:t>94A</w:t>
      </w:r>
      <w:r>
        <w:rPr>
          <w:snapToGrid w:val="0"/>
        </w:rPr>
        <w:t xml:space="preserve">. </w:t>
      </w:r>
      <w:r>
        <w:rPr>
          <w:snapToGrid w:val="0"/>
        </w:rPr>
        <w:tab/>
        <w:t>Proof of plant or animal</w:t>
      </w:r>
      <w:bookmarkEnd w:id="91"/>
      <w:bookmarkEnd w:id="92"/>
      <w:r>
        <w:rPr>
          <w:snapToGrid w:val="0"/>
        </w:rPr>
        <w:t xml:space="preserve"> </w:t>
      </w:r>
    </w:p>
    <w:p>
      <w:pPr>
        <w:pStyle w:val="Subsection"/>
        <w:rPr>
          <w:snapToGrid w:val="0"/>
        </w:rPr>
      </w:pPr>
      <w:r>
        <w:rPr>
          <w:snapToGrid w:val="0"/>
        </w:rPr>
        <w:tab/>
      </w:r>
      <w:r>
        <w:rPr>
          <w:snapToGrid w:val="0"/>
        </w:rPr>
        <w:tab/>
        <w:t xml:space="preserve">In any proceedings for an offence against this Act a certificate signed or purporting to be signed by or on behalf of the </w:t>
      </w:r>
      <w:r>
        <w:t>Director General</w:t>
      </w:r>
      <w:r>
        <w:rPr>
          <w:snapToGrid w:val="0"/>
        </w:rPr>
        <w:t xml:space="preserve">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 8; amended by No. 31 of 1983 s. 15; No. 46 of 2010 s. 43.] </w:t>
      </w:r>
    </w:p>
    <w:p>
      <w:pPr>
        <w:pStyle w:val="Heading5"/>
      </w:pPr>
      <w:bookmarkStart w:id="93" w:name="_Toc402516095"/>
      <w:bookmarkStart w:id="94" w:name="_Toc412558193"/>
      <w:r>
        <w:rPr>
          <w:rStyle w:val="CharSectno"/>
        </w:rPr>
        <w:t>95</w:t>
      </w:r>
      <w:r>
        <w:t>.</w:t>
      </w:r>
      <w:r>
        <w:tab/>
        <w:t>Judicial notice of signatures</w:t>
      </w:r>
      <w:bookmarkEnd w:id="93"/>
      <w:bookmarkEnd w:id="94"/>
    </w:p>
    <w:p>
      <w:pPr>
        <w:pStyle w:val="Subsection"/>
      </w:pPr>
      <w:r>
        <w:tab/>
      </w:r>
      <w:r>
        <w:tab/>
        <w:t>A person acting judicially must take judicial notice of the signature of the Director General and of the Minister.</w:t>
      </w:r>
    </w:p>
    <w:p>
      <w:pPr>
        <w:pStyle w:val="Footnotesection"/>
      </w:pPr>
      <w:r>
        <w:tab/>
        <w:t>[Section 95 inserted by No. 46 of 2010 s. 44.]</w:t>
      </w:r>
    </w:p>
    <w:p>
      <w:pPr>
        <w:pStyle w:val="Heading5"/>
      </w:pPr>
      <w:bookmarkStart w:id="95" w:name="_Toc402516096"/>
      <w:bookmarkStart w:id="96" w:name="_Toc412558194"/>
      <w:r>
        <w:rPr>
          <w:rStyle w:val="CharSectno"/>
        </w:rPr>
        <w:t>96</w:t>
      </w:r>
      <w:r>
        <w:t>.</w:t>
      </w:r>
      <w:r>
        <w:tab/>
        <w:t>Authentication of documents</w:t>
      </w:r>
      <w:bookmarkEnd w:id="95"/>
      <w:bookmarkEnd w:id="96"/>
    </w:p>
    <w:p>
      <w:pPr>
        <w:pStyle w:val="Subsection"/>
      </w:pPr>
      <w:r>
        <w:tab/>
      </w:r>
      <w:r>
        <w:tab/>
        <w:t>Subject to this Act, every document required or used for or in connection with the purposes of this Act may be authenticated by the signature of the Director General or the Minister.</w:t>
      </w:r>
    </w:p>
    <w:p>
      <w:pPr>
        <w:pStyle w:val="Footnotesection"/>
      </w:pPr>
      <w:r>
        <w:tab/>
        <w:t>[Section 96 inserted by No. 46 of 2010 s. 44.]</w:t>
      </w:r>
    </w:p>
    <w:p>
      <w:pPr>
        <w:pStyle w:val="Heading5"/>
        <w:rPr>
          <w:snapToGrid w:val="0"/>
        </w:rPr>
      </w:pPr>
      <w:bookmarkStart w:id="97" w:name="_Toc402516097"/>
      <w:bookmarkStart w:id="98" w:name="_Toc412558195"/>
      <w:r>
        <w:rPr>
          <w:rStyle w:val="CharSectno"/>
        </w:rPr>
        <w:t>97</w:t>
      </w:r>
      <w:r>
        <w:rPr>
          <w:snapToGrid w:val="0"/>
        </w:rPr>
        <w:t>.</w:t>
      </w:r>
      <w:r>
        <w:rPr>
          <w:snapToGrid w:val="0"/>
        </w:rPr>
        <w:tab/>
        <w:t>Evidentiary provisions</w:t>
      </w:r>
      <w:bookmarkEnd w:id="97"/>
      <w:bookmarkEnd w:id="98"/>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w:t>
      </w:r>
      <w:r>
        <w:t xml:space="preserve">the State under this Act, </w:t>
      </w:r>
      <w:r>
        <w:rPr>
          <w:snapToGrid w:val="0"/>
        </w:rPr>
        <w:t xml:space="preserve">it shall be sufficient to produce the certificate of the </w:t>
      </w:r>
      <w:r>
        <w:t xml:space="preserve">Minister or the Director General, </w:t>
      </w:r>
      <w:r>
        <w:rPr>
          <w:snapToGrid w:val="0"/>
        </w:rPr>
        <w:t xml:space="preserve">and such certificate shall be prima facie evidence that such costs, charges and expenses were actually and lawfully incurred by a person authorised by </w:t>
      </w:r>
      <w:r>
        <w:t>the Minister or the Director General in</w:t>
      </w:r>
      <w:r>
        <w:rPr>
          <w:snapToGrid w:val="0"/>
        </w:rPr>
        <w:t xml:space="preserve"> that behalf, and the onus of disproving the amount shall be upon the defendant.</w:t>
      </w:r>
    </w:p>
    <w:p>
      <w:pPr>
        <w:pStyle w:val="Subsection"/>
        <w:rPr>
          <w:snapToGrid w:val="0"/>
        </w:rPr>
      </w:pPr>
      <w:r>
        <w:rPr>
          <w:snapToGrid w:val="0"/>
        </w:rPr>
        <w:tab/>
        <w:t>(2)</w:t>
      </w:r>
      <w:r>
        <w:rPr>
          <w:snapToGrid w:val="0"/>
        </w:rPr>
        <w:tab/>
        <w:t>In any proceedings under this Act a report drawn up and signed by an inspector or authorised person pursuant to section 84(4) shall be prima facie evidence of the matters stated in that report.</w:t>
      </w:r>
    </w:p>
    <w:p>
      <w:pPr>
        <w:pStyle w:val="Footnotesection"/>
      </w:pPr>
      <w:r>
        <w:tab/>
        <w:t>[Section 97 amended by No. 46 of 2010 s. 45.]</w:t>
      </w:r>
    </w:p>
    <w:p>
      <w:pPr>
        <w:pStyle w:val="Heading5"/>
      </w:pPr>
      <w:bookmarkStart w:id="99" w:name="_Toc402516098"/>
      <w:bookmarkStart w:id="100" w:name="_Toc412558196"/>
      <w:r>
        <w:rPr>
          <w:rStyle w:val="CharSectno"/>
        </w:rPr>
        <w:t>98</w:t>
      </w:r>
      <w:r>
        <w:t>.</w:t>
      </w:r>
      <w:r>
        <w:tab/>
        <w:t>Prosecutions</w:t>
      </w:r>
      <w:bookmarkEnd w:id="99"/>
      <w:bookmarkEnd w:id="100"/>
    </w:p>
    <w:p>
      <w:pPr>
        <w:pStyle w:val="Subsection"/>
      </w:pPr>
      <w:r>
        <w:tab/>
      </w:r>
      <w:r>
        <w:tab/>
        <w:t>A prosecution for an offence under this Act cannot be commenced except by or with the approval of the Director General.</w:t>
      </w:r>
    </w:p>
    <w:p>
      <w:pPr>
        <w:pStyle w:val="Footnotesection"/>
      </w:pPr>
      <w:r>
        <w:tab/>
        <w:t>[Section 98 inserted by No. 46 of 2010 s. 46.]</w:t>
      </w:r>
    </w:p>
    <w:p>
      <w:pPr>
        <w:pStyle w:val="Heading3"/>
        <w:rPr>
          <w:snapToGrid w:val="0"/>
        </w:rPr>
      </w:pPr>
      <w:bookmarkStart w:id="101" w:name="_Toc402516099"/>
      <w:bookmarkStart w:id="102" w:name="_Toc412557983"/>
      <w:bookmarkStart w:id="103" w:name="_Toc412558047"/>
      <w:bookmarkStart w:id="104" w:name="_Toc412558197"/>
      <w:r>
        <w:rPr>
          <w:rStyle w:val="CharDivNo"/>
        </w:rPr>
        <w:t>Division 4</w:t>
      </w:r>
      <w:r>
        <w:rPr>
          <w:snapToGrid w:val="0"/>
        </w:rPr>
        <w:t> — </w:t>
      </w:r>
      <w:r>
        <w:rPr>
          <w:rStyle w:val="CharDivText"/>
        </w:rPr>
        <w:t>Miscellaneous</w:t>
      </w:r>
      <w:bookmarkEnd w:id="101"/>
      <w:bookmarkEnd w:id="102"/>
      <w:bookmarkEnd w:id="103"/>
      <w:bookmarkEnd w:id="104"/>
      <w:r>
        <w:rPr>
          <w:rStyle w:val="CharDivText"/>
        </w:rPr>
        <w:t xml:space="preserve"> </w:t>
      </w:r>
    </w:p>
    <w:p>
      <w:pPr>
        <w:pStyle w:val="Heading5"/>
        <w:rPr>
          <w:snapToGrid w:val="0"/>
        </w:rPr>
      </w:pPr>
      <w:bookmarkStart w:id="105" w:name="_Toc402516100"/>
      <w:bookmarkStart w:id="106" w:name="_Toc412558198"/>
      <w:r>
        <w:rPr>
          <w:rStyle w:val="CharSectno"/>
        </w:rPr>
        <w:t>99</w:t>
      </w:r>
      <w:r>
        <w:rPr>
          <w:snapToGrid w:val="0"/>
        </w:rPr>
        <w:t>.</w:t>
      </w:r>
      <w:r>
        <w:rPr>
          <w:snapToGrid w:val="0"/>
        </w:rPr>
        <w:tab/>
        <w:t>Variation or cancellation of declarations</w:t>
      </w:r>
      <w:bookmarkEnd w:id="105"/>
      <w:bookmarkEnd w:id="106"/>
      <w:r>
        <w:rPr>
          <w:snapToGrid w:val="0"/>
        </w:rPr>
        <w:t xml:space="preserve"> </w:t>
      </w:r>
    </w:p>
    <w:p>
      <w:pPr>
        <w:pStyle w:val="Subsection"/>
        <w:rPr>
          <w:snapToGrid w:val="0"/>
        </w:rPr>
      </w:pPr>
      <w:r>
        <w:rPr>
          <w:snapToGrid w:val="0"/>
        </w:rPr>
        <w:tab/>
      </w:r>
      <w:r>
        <w:rPr>
          <w:snapToGrid w:val="0"/>
        </w:rPr>
        <w:tab/>
        <w:t xml:space="preserve">Where the </w:t>
      </w:r>
      <w:r>
        <w:t xml:space="preserve">Minister </w:t>
      </w:r>
      <w:r>
        <w:rPr>
          <w:snapToGrid w:val="0"/>
        </w:rPr>
        <w:t xml:space="preserve">has made a declaration pursuant to the power conferred by this Act or any other Act, </w:t>
      </w:r>
      <w:r>
        <w:t xml:space="preserve">the Minister may, </w:t>
      </w:r>
      <w:r>
        <w:rPr>
          <w:snapToGrid w:val="0"/>
        </w:rPr>
        <w:t>by subsequent declaration, — </w:t>
      </w:r>
    </w:p>
    <w:p>
      <w:pPr>
        <w:pStyle w:val="Indenta"/>
        <w:rPr>
          <w:snapToGrid w:val="0"/>
        </w:rPr>
      </w:pPr>
      <w:r>
        <w:rPr>
          <w:snapToGrid w:val="0"/>
        </w:rPr>
        <w:tab/>
        <w:t>(a)</w:t>
      </w:r>
      <w:r>
        <w:rPr>
          <w:snapToGrid w:val="0"/>
        </w:rPr>
        <w:tab/>
        <w:t>vary the provisions and operation of the earlier declaration; or</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Footnotesection"/>
      </w:pPr>
      <w:r>
        <w:tab/>
        <w:t>[Section 99 amended by No. 46 of 2010 s. 47 and 55(1).]</w:t>
      </w:r>
    </w:p>
    <w:p>
      <w:pPr>
        <w:pStyle w:val="Heading5"/>
        <w:rPr>
          <w:snapToGrid w:val="0"/>
        </w:rPr>
      </w:pPr>
      <w:bookmarkStart w:id="107" w:name="_Toc402516101"/>
      <w:bookmarkStart w:id="108" w:name="_Toc412558199"/>
      <w:r>
        <w:rPr>
          <w:rStyle w:val="CharSectno"/>
        </w:rPr>
        <w:t>100</w:t>
      </w:r>
      <w:r>
        <w:rPr>
          <w:snapToGrid w:val="0"/>
        </w:rPr>
        <w:t>.</w:t>
      </w:r>
      <w:r>
        <w:rPr>
          <w:snapToGrid w:val="0"/>
        </w:rPr>
        <w:tab/>
        <w:t>Indemnity to persons acting in execution of powers conferred by Act</w:t>
      </w:r>
      <w:bookmarkEnd w:id="107"/>
      <w:bookmarkEnd w:id="10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keepNext/>
        <w:ind w:left="890" w:hanging="890"/>
      </w:pPr>
      <w:r>
        <w:t>[</w:t>
      </w:r>
      <w:r>
        <w:rPr>
          <w:b/>
        </w:rPr>
        <w:t>101.</w:t>
      </w:r>
      <w:r>
        <w:tab/>
        <w:t xml:space="preserve">Deleted by No. 20 of 1989 s. 3.] </w:t>
      </w:r>
    </w:p>
    <w:p>
      <w:pPr>
        <w:pStyle w:val="Heading5"/>
        <w:rPr>
          <w:b w:val="0"/>
        </w:rPr>
      </w:pPr>
      <w:bookmarkStart w:id="109" w:name="_Toc402516102"/>
      <w:bookmarkStart w:id="110" w:name="_Toc412558200"/>
      <w:r>
        <w:rPr>
          <w:rStyle w:val="CharSectno"/>
          <w:bCs/>
        </w:rPr>
        <w:t>102</w:t>
      </w:r>
      <w:r>
        <w:rPr>
          <w:bCs/>
        </w:rPr>
        <w:t>.</w:t>
      </w:r>
      <w:r>
        <w:rPr>
          <w:bCs/>
        </w:rPr>
        <w:tab/>
        <w:t>Offences to be dealt with by magistrate</w:t>
      </w:r>
      <w:bookmarkEnd w:id="109"/>
      <w:bookmarkEnd w:id="110"/>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111" w:name="_Toc402516103"/>
      <w:bookmarkStart w:id="112" w:name="_Toc412557987"/>
      <w:bookmarkStart w:id="113" w:name="_Toc412558051"/>
      <w:bookmarkStart w:id="114" w:name="_Toc412558201"/>
      <w:r>
        <w:rPr>
          <w:rStyle w:val="CharPartNo"/>
        </w:rPr>
        <w:t>Part VIII</w:t>
      </w:r>
      <w:r>
        <w:rPr>
          <w:rStyle w:val="CharDivNo"/>
        </w:rPr>
        <w:t> </w:t>
      </w:r>
      <w:r>
        <w:t>—</w:t>
      </w:r>
      <w:r>
        <w:rPr>
          <w:rStyle w:val="CharDivText"/>
        </w:rPr>
        <w:t> </w:t>
      </w:r>
      <w:r>
        <w:rPr>
          <w:rStyle w:val="CharPartText"/>
        </w:rPr>
        <w:t>Regulations</w:t>
      </w:r>
      <w:bookmarkEnd w:id="111"/>
      <w:bookmarkEnd w:id="112"/>
      <w:bookmarkEnd w:id="113"/>
      <w:bookmarkEnd w:id="114"/>
      <w:r>
        <w:rPr>
          <w:rStyle w:val="CharPartText"/>
        </w:rPr>
        <w:t xml:space="preserve"> </w:t>
      </w:r>
    </w:p>
    <w:p>
      <w:pPr>
        <w:pStyle w:val="Heading5"/>
      </w:pPr>
      <w:bookmarkStart w:id="115" w:name="_Toc402516104"/>
      <w:bookmarkStart w:id="116" w:name="_Toc412558202"/>
      <w:r>
        <w:rPr>
          <w:rStyle w:val="CharSectno"/>
        </w:rPr>
        <w:t>103</w:t>
      </w:r>
      <w:r>
        <w:t>.</w:t>
      </w:r>
      <w:r>
        <w:tab/>
        <w:t>Governor may make regulations</w:t>
      </w:r>
      <w:bookmarkEnd w:id="115"/>
      <w:bookmarkEnd w:id="116"/>
    </w:p>
    <w:p>
      <w:pPr>
        <w:pStyle w:val="Subsection"/>
      </w:pPr>
      <w:r>
        <w:tab/>
      </w:r>
      <w:r>
        <w:tab/>
        <w:t>The Governor may make regulations prescribing all matters which by this Act are required or permitted to be prescribed or are contemplated as being prescribed or which are necessary or expedient to be prescribed for carrying this Act into effect.</w:t>
      </w:r>
    </w:p>
    <w:p>
      <w:pPr>
        <w:pStyle w:val="Footnotesection"/>
      </w:pPr>
      <w:r>
        <w:tab/>
        <w:t>[Section 103 inserted by No. 46 of 2010 s. 48.]</w:t>
      </w:r>
    </w:p>
    <w:p>
      <w:pPr>
        <w:pStyle w:val="Heading5"/>
        <w:rPr>
          <w:snapToGrid w:val="0"/>
        </w:rPr>
      </w:pPr>
      <w:bookmarkStart w:id="117" w:name="_Toc402516105"/>
      <w:bookmarkStart w:id="118" w:name="_Toc412558203"/>
      <w:r>
        <w:rPr>
          <w:rStyle w:val="CharSectno"/>
        </w:rPr>
        <w:t>104</w:t>
      </w:r>
      <w:r>
        <w:rPr>
          <w:snapToGrid w:val="0"/>
        </w:rPr>
        <w:t>.</w:t>
      </w:r>
      <w:r>
        <w:rPr>
          <w:snapToGrid w:val="0"/>
        </w:rPr>
        <w:tab/>
        <w:t>Regulations — general</w:t>
      </w:r>
      <w:bookmarkEnd w:id="117"/>
      <w:bookmarkEnd w:id="118"/>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Ednotepara"/>
        <w:rPr>
          <w:snapToGrid w:val="0"/>
        </w:rPr>
      </w:pPr>
      <w:r>
        <w:rPr>
          <w:snapToGrid w:val="0"/>
        </w:rPr>
        <w:tab/>
        <w:t>[(a)</w:t>
      </w:r>
      <w:r>
        <w:rPr>
          <w:snapToGrid w:val="0"/>
        </w:rPr>
        <w:noBreakHyphen/>
        <w:t>(d)</w:t>
      </w:r>
      <w:r>
        <w:rPr>
          <w:snapToGrid w:val="0"/>
        </w:rPr>
        <w:tab/>
        <w:t>deleted]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State.</w:t>
      </w:r>
    </w:p>
    <w:p>
      <w:pPr>
        <w:pStyle w:val="Footnotesection"/>
      </w:pPr>
      <w:r>
        <w:tab/>
        <w:t xml:space="preserve">[Section 104 amended by No. 14 of 1996 s. 4; No. 46 of 2010 s. 49.] </w:t>
      </w:r>
    </w:p>
    <w:p>
      <w:pPr>
        <w:pStyle w:val="Heading5"/>
        <w:rPr>
          <w:snapToGrid w:val="0"/>
        </w:rPr>
      </w:pPr>
      <w:bookmarkStart w:id="119" w:name="_Toc402516106"/>
      <w:bookmarkStart w:id="120" w:name="_Toc412558204"/>
      <w:r>
        <w:rPr>
          <w:rStyle w:val="CharSectno"/>
        </w:rPr>
        <w:t>105</w:t>
      </w:r>
      <w:r>
        <w:rPr>
          <w:snapToGrid w:val="0"/>
        </w:rPr>
        <w:t>.</w:t>
      </w:r>
      <w:r>
        <w:rPr>
          <w:snapToGrid w:val="0"/>
        </w:rPr>
        <w:tab/>
        <w:t>Regulations — declared plants and declared animals</w:t>
      </w:r>
      <w:bookmarkEnd w:id="119"/>
      <w:bookmarkEnd w:id="120"/>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Ednotepara"/>
        <w:spacing w:before="80"/>
        <w:rPr>
          <w:snapToGrid w:val="0"/>
        </w:rPr>
      </w:pPr>
      <w:r>
        <w:rPr>
          <w:snapToGrid w:val="0"/>
        </w:rPr>
        <w:tab/>
        <w:t>[(d)</w:t>
      </w:r>
      <w:r>
        <w:rPr>
          <w:snapToGrid w:val="0"/>
        </w:rPr>
        <w:noBreakHyphen/>
        <w:t>(r)</w:t>
      </w:r>
      <w:r>
        <w:rPr>
          <w:snapToGrid w:val="0"/>
        </w:rPr>
        <w:tab/>
        <w:t>deleted]</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pPr>
      <w:r>
        <w:tab/>
        <w:t>(iii)</w:t>
      </w:r>
      <w:r>
        <w:tab/>
        <w:t>providing for the recovery from the owner, consignor, consignee, or person in possession or control of any animal, thing or prohibited material, of the expenses incurred by officers of the department in connection with that animal, thing or prohibited material;</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 xml:space="preserve">the keeping, sale or disposal in a part of the State of animals that are declared animals of category A6 in respect of that part of the State, authorising the </w:t>
      </w:r>
      <w:r>
        <w:t xml:space="preserve">Director General to impose, in any permit issued by the Director General under regulations made under this paragraph, any further conditions and restrictions as to such introduction, keeping, sale or disposal that the Director General </w:t>
      </w:r>
      <w:r>
        <w:rPr>
          <w:snapToGrid w:val="0"/>
        </w:rPr>
        <w:t>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Ednotepara"/>
        <w:spacing w:before="80"/>
        <w:rPr>
          <w:snapToGrid w:val="0"/>
        </w:rPr>
      </w:pPr>
      <w:r>
        <w:rPr>
          <w:snapToGrid w:val="0"/>
        </w:rPr>
        <w:tab/>
        <w:t>[(u), (v)</w:t>
      </w:r>
      <w:r>
        <w:rPr>
          <w:snapToGrid w:val="0"/>
        </w:rPr>
        <w:tab/>
        <w:t>deleted]</w:t>
      </w:r>
    </w:p>
    <w:p>
      <w:pPr>
        <w:pStyle w:val="Indenta"/>
        <w:keepLines/>
        <w:rPr>
          <w:snapToGrid w:val="0"/>
        </w:rPr>
      </w:pPr>
      <w:r>
        <w:rPr>
          <w:snapToGrid w:val="0"/>
        </w:rPr>
        <w:tab/>
        <w:t>(w)</w:t>
      </w:r>
      <w:r>
        <w:rPr>
          <w:snapToGrid w:val="0"/>
        </w:rPr>
        <w:tab/>
        <w:t>preventing interference with experiments conducted by or on behalf of the department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w:t>
      </w:r>
      <w:r>
        <w:t>for the destruction of declared animals</w:t>
      </w:r>
      <w:r>
        <w:rPr>
          <w:snapToGrid w:val="0"/>
        </w:rPr>
        <w:t xml:space="preserve"> may be claimed and paid and to the prevention of fraudulent or other improper practices in respect of such bonuses.</w:t>
      </w:r>
    </w:p>
    <w:p>
      <w:pPr>
        <w:pStyle w:val="Footnotesection"/>
      </w:pPr>
      <w:r>
        <w:tab/>
        <w:t>[Section 105 amended by No. 40 of 1978 s. 13; No. 55 of 1979 s. 9; No. 22 of 1980 s. 8; No. 31 of 1983 s. 16; No. 24 of 2007 s. 27</w:t>
      </w:r>
      <w:r>
        <w:rPr>
          <w:i w:val="0"/>
          <w:vertAlign w:val="superscript"/>
        </w:rPr>
        <w:t> 2</w:t>
      </w:r>
      <w:r>
        <w:t xml:space="preserve">; No. 46 of 2010 s. 50.] </w:t>
      </w:r>
    </w:p>
    <w:p>
      <w:pPr>
        <w:pStyle w:val="Ednotesection"/>
      </w:pPr>
      <w:r>
        <w:t>[</w:t>
      </w:r>
      <w:r>
        <w:rPr>
          <w:b/>
        </w:rPr>
        <w:t>106.</w:t>
      </w:r>
      <w:r>
        <w:rPr>
          <w:b/>
        </w:rPr>
        <w:tab/>
      </w:r>
      <w:r>
        <w:t>Deleted by No. 24 of 2007 s. 27</w:t>
      </w:r>
      <w:r>
        <w:rPr>
          <w:i w:val="0"/>
          <w:vertAlign w:val="superscript"/>
        </w:rPr>
        <w:t> 2</w:t>
      </w:r>
      <w:r>
        <w:t>.]</w:t>
      </w:r>
    </w:p>
    <w:p>
      <w:pPr>
        <w:pStyle w:val="Heading5"/>
        <w:rPr>
          <w:snapToGrid w:val="0"/>
        </w:rPr>
      </w:pPr>
      <w:bookmarkStart w:id="121" w:name="_Toc402516107"/>
      <w:bookmarkStart w:id="122" w:name="_Toc412558205"/>
      <w:r>
        <w:rPr>
          <w:rStyle w:val="CharSectno"/>
        </w:rPr>
        <w:t>106A</w:t>
      </w:r>
      <w:r>
        <w:rPr>
          <w:snapToGrid w:val="0"/>
        </w:rPr>
        <w:t xml:space="preserve">. </w:t>
      </w:r>
      <w:r>
        <w:rPr>
          <w:snapToGrid w:val="0"/>
        </w:rPr>
        <w:tab/>
        <w:t>Regulations — storage, use and transport of prescribed chemicals</w:t>
      </w:r>
      <w:bookmarkEnd w:id="121"/>
      <w:bookmarkEnd w:id="122"/>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by No. 55 of 1979 s. 10; amended by No. 22 of 1980 s. 9.] </w:t>
      </w:r>
    </w:p>
    <w:p>
      <w:pPr>
        <w:pStyle w:val="Heading5"/>
        <w:rPr>
          <w:snapToGrid w:val="0"/>
        </w:rPr>
      </w:pPr>
      <w:bookmarkStart w:id="123" w:name="_Toc402516108"/>
      <w:bookmarkStart w:id="124" w:name="_Toc412558206"/>
      <w:r>
        <w:rPr>
          <w:rStyle w:val="CharSectno"/>
        </w:rPr>
        <w:t>107</w:t>
      </w:r>
      <w:r>
        <w:rPr>
          <w:snapToGrid w:val="0"/>
        </w:rPr>
        <w:t>.</w:t>
      </w:r>
      <w:r>
        <w:rPr>
          <w:snapToGrid w:val="0"/>
        </w:rPr>
        <w:tab/>
        <w:t>General provisions as to regulations</w:t>
      </w:r>
      <w:bookmarkEnd w:id="123"/>
      <w:bookmarkEnd w:id="124"/>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pPr>
      <w:bookmarkStart w:id="125" w:name="_Toc402516109"/>
      <w:bookmarkStart w:id="126" w:name="_Toc412558207"/>
      <w:r>
        <w:rPr>
          <w:rStyle w:val="CharSectno"/>
        </w:rPr>
        <w:t>108</w:t>
      </w:r>
      <w:r>
        <w:t>.</w:t>
      </w:r>
      <w:r>
        <w:tab/>
        <w:t>Penalties under regulations</w:t>
      </w:r>
      <w:bookmarkEnd w:id="125"/>
      <w:bookmarkEnd w:id="126"/>
    </w:p>
    <w:p>
      <w:pPr>
        <w:pStyle w:val="Subsection"/>
      </w:pPr>
      <w:r>
        <w:tab/>
      </w:r>
      <w:r>
        <w:tab/>
        <w:t xml:space="preserve">Regulations made under this Act may impose for a breach of a regulation so made a maximum penalty not exceeding $20 000, with or without a fine for each separate and further offence committed under the </w:t>
      </w:r>
      <w:r>
        <w:rPr>
          <w:i/>
          <w:iCs/>
        </w:rPr>
        <w:t>Interpretation Act 1984</w:t>
      </w:r>
      <w:r>
        <w:t xml:space="preserve"> section 71 of not more than $500.</w:t>
      </w:r>
    </w:p>
    <w:p>
      <w:pPr>
        <w:pStyle w:val="Footnotesection"/>
      </w:pPr>
      <w:r>
        <w:tab/>
        <w:t>[Section 108 inserted by No. 46 of 2010 s. 52.]</w:t>
      </w:r>
    </w:p>
    <w:p>
      <w:pPr>
        <w:pStyle w:val="Ednotepart"/>
      </w:pPr>
      <w:r>
        <w:t>[Part IX (s. 109</w:t>
      </w:r>
      <w:r>
        <w:noBreakHyphen/>
        <w:t>112) deleted by No. 24 of 2007 s. 27</w:t>
      </w:r>
      <w:r>
        <w:rPr>
          <w:i w:val="0"/>
          <w:vertAlign w:val="superscript"/>
        </w:rPr>
        <w:t> 2</w:t>
      </w:r>
      <w:r>
        <w:t>.]</w:t>
      </w:r>
    </w:p>
    <w:p>
      <w:pPr>
        <w:pStyle w:val="Ednotepart"/>
      </w:pPr>
      <w:bookmarkStart w:id="127" w:name="endcomma"/>
      <w:bookmarkEnd w:id="127"/>
      <w:r>
        <w:t>[Part X (s. 113</w:t>
      </w:r>
      <w:r>
        <w:noBreakHyphen/>
        <w:t>119) deleted by No. 46 of 2010 s. 53.]</w:t>
      </w:r>
    </w:p>
    <w:p>
      <w:pPr>
        <w:pStyle w:val="Heading2"/>
        <w:keepLines/>
      </w:pPr>
      <w:bookmarkStart w:id="128" w:name="_Toc402516110"/>
      <w:bookmarkStart w:id="129" w:name="_Toc412557994"/>
      <w:bookmarkStart w:id="130" w:name="_Toc412558058"/>
      <w:bookmarkStart w:id="131" w:name="_Toc412558208"/>
      <w:r>
        <w:rPr>
          <w:rStyle w:val="CharPartNo"/>
        </w:rPr>
        <w:t>Part XI</w:t>
      </w:r>
      <w:r>
        <w:rPr>
          <w:b w:val="0"/>
        </w:rPr>
        <w:t> </w:t>
      </w:r>
      <w:r>
        <w:t>—</w:t>
      </w:r>
      <w:r>
        <w:rPr>
          <w:b w:val="0"/>
        </w:rPr>
        <w:t> </w:t>
      </w:r>
      <w:r>
        <w:rPr>
          <w:rStyle w:val="CharPartText"/>
          <w:i/>
          <w:iCs/>
        </w:rPr>
        <w:t>Agriculture and Related Resources Protection Amendment Act 2010</w:t>
      </w:r>
      <w:r>
        <w:rPr>
          <w:rStyle w:val="CharPartText"/>
        </w:rPr>
        <w:t> — Savings and transitional provisions</w:t>
      </w:r>
      <w:bookmarkEnd w:id="128"/>
      <w:bookmarkEnd w:id="129"/>
      <w:bookmarkEnd w:id="130"/>
      <w:bookmarkEnd w:id="131"/>
    </w:p>
    <w:p>
      <w:pPr>
        <w:pStyle w:val="Footnoteheading"/>
      </w:pPr>
      <w:r>
        <w:tab/>
        <w:t>[Heading inserted by No. 46 of 2010 s. 54.]</w:t>
      </w:r>
    </w:p>
    <w:p>
      <w:pPr>
        <w:pStyle w:val="Heading5"/>
      </w:pPr>
      <w:bookmarkStart w:id="132" w:name="_Toc402516111"/>
      <w:bookmarkStart w:id="133" w:name="_Toc412558209"/>
      <w:r>
        <w:rPr>
          <w:rStyle w:val="CharSectno"/>
        </w:rPr>
        <w:t>120</w:t>
      </w:r>
      <w:r>
        <w:t>.</w:t>
      </w:r>
      <w:r>
        <w:tab/>
        <w:t>Terms used</w:t>
      </w:r>
      <w:bookmarkEnd w:id="132"/>
      <w:bookmarkEnd w:id="133"/>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 xml:space="preserve">Agriculture and Related Resources Protection Amendment Act 2010 </w:t>
      </w:r>
      <w:r>
        <w:t>section 7 comes into operation</w:t>
      </w:r>
      <w:r>
        <w:rPr>
          <w:vertAlign w:val="superscript"/>
        </w:rPr>
        <w:t> 1</w:t>
      </w:r>
      <w:r>
        <w:t>;</w:t>
      </w:r>
    </w:p>
    <w:p>
      <w:pPr>
        <w:pStyle w:val="Defstart"/>
        <w:rPr>
          <w:iCs/>
        </w:rPr>
      </w:pPr>
      <w:r>
        <w:tab/>
      </w:r>
      <w:r>
        <w:rPr>
          <w:rStyle w:val="CharDefText"/>
        </w:rPr>
        <w:t>Protection Board</w:t>
      </w:r>
      <w:r>
        <w:t xml:space="preserve"> means the Agriculture Protection Board of Western Australia constituted under the </w:t>
      </w:r>
      <w:r>
        <w:rPr>
          <w:i/>
          <w:iCs/>
        </w:rPr>
        <w:t>Agriculture Protection Board Act 1950</w:t>
      </w:r>
      <w:r>
        <w:rPr>
          <w:iCs/>
          <w:vertAlign w:val="superscript"/>
        </w:rPr>
        <w:t> 5</w:t>
      </w:r>
      <w:r>
        <w:rPr>
          <w:iCs/>
        </w:rPr>
        <w:t>.</w:t>
      </w:r>
    </w:p>
    <w:p>
      <w:pPr>
        <w:pStyle w:val="Footnotesection"/>
        <w:rPr>
          <w:iCs/>
        </w:rPr>
      </w:pPr>
      <w:r>
        <w:tab/>
        <w:t>[Section 120 inserted by No. 46 of 2010 s. 54.]</w:t>
      </w:r>
    </w:p>
    <w:p>
      <w:pPr>
        <w:pStyle w:val="Heading5"/>
      </w:pPr>
      <w:bookmarkStart w:id="134" w:name="_Toc402516112"/>
      <w:bookmarkStart w:id="135" w:name="_Toc412558210"/>
      <w:r>
        <w:rPr>
          <w:rStyle w:val="CharSectno"/>
        </w:rPr>
        <w:t>121</w:t>
      </w:r>
      <w:r>
        <w:t>.</w:t>
      </w:r>
      <w:r>
        <w:tab/>
        <w:t>Approvals and certificates</w:t>
      </w:r>
      <w:bookmarkEnd w:id="134"/>
      <w:bookmarkEnd w:id="135"/>
    </w:p>
    <w:p>
      <w:pPr>
        <w:pStyle w:val="Subsection"/>
      </w:pPr>
      <w:r>
        <w:tab/>
      </w:r>
      <w:r>
        <w:tab/>
        <w:t>An approval or certificate given by the Chief Officer under this Act as in force before the commencement day and of effect on that day has effect on and after that day as if it were an approval or certificate of the Director General.</w:t>
      </w:r>
    </w:p>
    <w:p>
      <w:pPr>
        <w:pStyle w:val="Footnotesection"/>
      </w:pPr>
      <w:r>
        <w:tab/>
        <w:t>[Section 121 inserted by No. 46 of 2010 s. 54.]</w:t>
      </w:r>
    </w:p>
    <w:p>
      <w:pPr>
        <w:pStyle w:val="Heading5"/>
      </w:pPr>
      <w:bookmarkStart w:id="136" w:name="_Toc402516113"/>
      <w:bookmarkStart w:id="137" w:name="_Toc412558211"/>
      <w:r>
        <w:rPr>
          <w:rStyle w:val="CharSectno"/>
        </w:rPr>
        <w:t>122</w:t>
      </w:r>
      <w:r>
        <w:t>.</w:t>
      </w:r>
      <w:r>
        <w:tab/>
        <w:t>Authorised persons</w:t>
      </w:r>
      <w:bookmarkEnd w:id="136"/>
      <w:bookmarkEnd w:id="137"/>
    </w:p>
    <w:p>
      <w:pPr>
        <w:pStyle w:val="Subsection"/>
      </w:pPr>
      <w:r>
        <w:tab/>
      </w:r>
      <w:r>
        <w:tab/>
        <w:t>An authorisation given under section 11 as in force before the commencement day and in effect immediately before that day has effect on and after that day as if it were an authorisation of the Director General.</w:t>
      </w:r>
    </w:p>
    <w:p>
      <w:pPr>
        <w:pStyle w:val="Footnotesection"/>
      </w:pPr>
      <w:r>
        <w:tab/>
        <w:t>[Section 122 inserted by No. 46 of 2010 s. 54.]</w:t>
      </w:r>
    </w:p>
    <w:p>
      <w:pPr>
        <w:pStyle w:val="Heading5"/>
      </w:pPr>
      <w:bookmarkStart w:id="138" w:name="_Toc402516114"/>
      <w:bookmarkStart w:id="139" w:name="_Toc412558212"/>
      <w:r>
        <w:rPr>
          <w:rStyle w:val="CharSectno"/>
        </w:rPr>
        <w:t>123</w:t>
      </w:r>
      <w:r>
        <w:t>.</w:t>
      </w:r>
      <w:r>
        <w:tab/>
        <w:t>Declarations</w:t>
      </w:r>
      <w:bookmarkEnd w:id="138"/>
      <w:bookmarkEnd w:id="139"/>
    </w:p>
    <w:p>
      <w:pPr>
        <w:pStyle w:val="Subsection"/>
      </w:pPr>
      <w:r>
        <w:tab/>
      </w:r>
      <w:r>
        <w:tab/>
        <w:t>A declaration made by the Protection Board under this Act as in force before the commencement day and in effect immediately before that day has effect on and after that day as if it were a declaration of the Minister.</w:t>
      </w:r>
    </w:p>
    <w:p>
      <w:pPr>
        <w:pStyle w:val="Footnotesection"/>
      </w:pPr>
      <w:r>
        <w:tab/>
        <w:t>[Section 123 inserted by No. 46 of 2010 s. 54.]</w:t>
      </w:r>
    </w:p>
    <w:p>
      <w:pPr>
        <w:pStyle w:val="Heading5"/>
      </w:pPr>
      <w:bookmarkStart w:id="140" w:name="_Toc402516115"/>
      <w:bookmarkStart w:id="141" w:name="_Toc412558213"/>
      <w:r>
        <w:rPr>
          <w:rStyle w:val="CharSectno"/>
        </w:rPr>
        <w:t>124</w:t>
      </w:r>
      <w:r>
        <w:t>.</w:t>
      </w:r>
      <w:r>
        <w:tab/>
        <w:t>Rates payable under section 61</w:t>
      </w:r>
      <w:bookmarkEnd w:id="140"/>
      <w:bookmarkEnd w:id="141"/>
    </w:p>
    <w:p>
      <w:pPr>
        <w:pStyle w:val="Subsection"/>
      </w:pPr>
      <w:r>
        <w:tab/>
      </w:r>
      <w:r>
        <w:tab/>
        <w:t xml:space="preserve">Despite the amendments made by the </w:t>
      </w:r>
      <w:r>
        <w:rPr>
          <w:i/>
          <w:iCs/>
        </w:rPr>
        <w:t xml:space="preserve">Agriculture and Related Resources Protection Amendment Act 2010 </w:t>
      </w:r>
      <w:r>
        <w:t xml:space="preserve">sections 28 to 32 (the </w:t>
      </w:r>
      <w:r>
        <w:rPr>
          <w:rStyle w:val="CharDefText"/>
        </w:rPr>
        <w:t>amending sections</w:t>
      </w:r>
      <w:r>
        <w:t>), sections 61 to 65, as in force before the amending sections came into operation</w:t>
      </w:r>
      <w:r>
        <w:rPr>
          <w:vertAlign w:val="superscript"/>
        </w:rPr>
        <w:t> 1</w:t>
      </w:r>
      <w:r>
        <w:t xml:space="preserve">, continue to apply in relation to a rate payable for a financial year commencing on a day before the amending sections came into operation except that — </w:t>
      </w:r>
    </w:p>
    <w:p>
      <w:pPr>
        <w:pStyle w:val="Indenta"/>
      </w:pPr>
      <w:r>
        <w:tab/>
        <w:t>(a)</w:t>
      </w:r>
      <w:r>
        <w:tab/>
        <w:t>any reference in section 63(3a) or (4) to the Protection Board is to be taken to be a reference to the Minister; and</w:t>
      </w:r>
    </w:p>
    <w:p>
      <w:pPr>
        <w:pStyle w:val="Indenta"/>
      </w:pPr>
      <w:r>
        <w:tab/>
        <w:t>(b)</w:t>
      </w:r>
      <w:r>
        <w:tab/>
        <w:t xml:space="preserve">rates recovered under section 61 after the coming into operation of the </w:t>
      </w:r>
      <w:r>
        <w:rPr>
          <w:i/>
          <w:iCs/>
        </w:rPr>
        <w:t xml:space="preserve">Agriculture and Related Resources Protection Amendment Act 2010 </w:t>
      </w:r>
      <w:r>
        <w:t>section 28 are to be credited to the Declared Pest Account.</w:t>
      </w:r>
    </w:p>
    <w:p>
      <w:pPr>
        <w:pStyle w:val="Footnotesection"/>
      </w:pPr>
      <w:r>
        <w:tab/>
        <w:t>[Section 124 inserted by No. 46 of 2010 s. 54.]</w:t>
      </w:r>
    </w:p>
    <w:p>
      <w:pPr>
        <w:pStyle w:val="Heading5"/>
      </w:pPr>
      <w:bookmarkStart w:id="142" w:name="_Toc402516116"/>
      <w:bookmarkStart w:id="143" w:name="_Toc412558214"/>
      <w:r>
        <w:rPr>
          <w:rStyle w:val="CharSectno"/>
        </w:rPr>
        <w:t>125</w:t>
      </w:r>
      <w:r>
        <w:t>.</w:t>
      </w:r>
      <w:r>
        <w:tab/>
        <w:t>Funds in, or payable to, former account</w:t>
      </w:r>
      <w:bookmarkEnd w:id="142"/>
      <w:bookmarkEnd w:id="143"/>
    </w:p>
    <w:p>
      <w:pPr>
        <w:pStyle w:val="Subsection"/>
      </w:pPr>
      <w:r>
        <w:tab/>
        <w:t>(1)</w:t>
      </w:r>
      <w:r>
        <w:tab/>
        <w:t xml:space="preserve">In this section — </w:t>
      </w:r>
    </w:p>
    <w:p>
      <w:pPr>
        <w:pStyle w:val="Defstart"/>
      </w:pPr>
      <w:r>
        <w:tab/>
      </w:r>
      <w:r>
        <w:rPr>
          <w:rStyle w:val="CharDefText"/>
        </w:rPr>
        <w:t>closure day</w:t>
      </w:r>
      <w:r>
        <w:t xml:space="preserve"> means the day on which the </w:t>
      </w:r>
      <w:r>
        <w:rPr>
          <w:i/>
          <w:iCs/>
        </w:rPr>
        <w:t xml:space="preserve">Agriculture and Related Resources Protection Amendment Act 2010 </w:t>
      </w:r>
      <w:r>
        <w:t>section 32 comes into operation</w:t>
      </w:r>
      <w:r>
        <w:rPr>
          <w:vertAlign w:val="superscript"/>
        </w:rPr>
        <w:t> 1</w:t>
      </w:r>
      <w:r>
        <w:t>;</w:t>
      </w:r>
    </w:p>
    <w:p>
      <w:pPr>
        <w:pStyle w:val="Defstart"/>
      </w:pPr>
      <w:r>
        <w:tab/>
      </w:r>
      <w:r>
        <w:rPr>
          <w:rStyle w:val="CharDefText"/>
        </w:rPr>
        <w:t>former account</w:t>
      </w:r>
      <w:r>
        <w:t xml:space="preserve"> means the Declared Plants and Animals Control Fund referred to in section 65 as in force before the closure day.</w:t>
      </w:r>
    </w:p>
    <w:p>
      <w:pPr>
        <w:pStyle w:val="Subsection"/>
      </w:pPr>
      <w:r>
        <w:tab/>
        <w:t>(2)</w:t>
      </w:r>
      <w:r>
        <w:tab/>
        <w:t>On the closure day any moneys standing to the credit of the former account are to be credited to the Declared Pest Account and the former account is then to be closed.</w:t>
      </w:r>
    </w:p>
    <w:p>
      <w:pPr>
        <w:pStyle w:val="Subsection"/>
        <w:keepNext/>
      </w:pPr>
      <w:r>
        <w:tab/>
        <w:t>(3)</w:t>
      </w:r>
      <w:r>
        <w:tab/>
        <w:t xml:space="preserve">Moneys referred to in subsection (2) may be applied — </w:t>
      </w:r>
    </w:p>
    <w:p>
      <w:pPr>
        <w:pStyle w:val="Indenta"/>
      </w:pPr>
      <w:r>
        <w:tab/>
        <w:t>(a)</w:t>
      </w:r>
      <w:r>
        <w:tab/>
        <w:t>in the payment of any liabilities of the former account which arose before the closure day; and</w:t>
      </w:r>
    </w:p>
    <w:p>
      <w:pPr>
        <w:pStyle w:val="Indenta"/>
      </w:pPr>
      <w:r>
        <w:tab/>
        <w:t>(b)</w:t>
      </w:r>
      <w:r>
        <w:tab/>
        <w:t xml:space="preserve">for the purposes set out in the </w:t>
      </w:r>
      <w:r>
        <w:rPr>
          <w:i/>
        </w:rPr>
        <w:t>Biosecurity and Agriculture Management Act 2007</w:t>
      </w:r>
      <w:r>
        <w:t xml:space="preserve"> section 138.</w:t>
      </w:r>
    </w:p>
    <w:p>
      <w:pPr>
        <w:pStyle w:val="Subsection"/>
      </w:pPr>
      <w:r>
        <w:tab/>
        <w:t>(4)</w:t>
      </w:r>
      <w:r>
        <w:tab/>
        <w:t>The Declared Pest Account is to be credited with any money that became payable to the former account before the closure day and that is paid after that day.</w:t>
      </w:r>
    </w:p>
    <w:p>
      <w:pPr>
        <w:pStyle w:val="Subsection"/>
      </w:pPr>
      <w:r>
        <w:tab/>
        <w:t>(5)</w:t>
      </w:r>
      <w:r>
        <w:tab/>
        <w:t>If in an agreement, instrument or other document there is a reference to the former account, that reference is, unless the context otherwise requires, to be read and have effect on and after the closure day as if it were a reference to the Declared Pest Account.</w:t>
      </w:r>
    </w:p>
    <w:p>
      <w:pPr>
        <w:pStyle w:val="Footnotesection"/>
      </w:pPr>
      <w:r>
        <w:tab/>
        <w:t>[Section 125 inserted by No. 46 of 2010 s. 54.]</w:t>
      </w:r>
    </w:p>
    <w:p>
      <w:pPr>
        <w:pStyle w:val="Heading5"/>
      </w:pPr>
      <w:bookmarkStart w:id="144" w:name="_Toc402516117"/>
      <w:bookmarkStart w:id="145" w:name="_Toc412558215"/>
      <w:r>
        <w:rPr>
          <w:rStyle w:val="CharSectno"/>
        </w:rPr>
        <w:t>126</w:t>
      </w:r>
      <w:r>
        <w:t>.</w:t>
      </w:r>
      <w:r>
        <w:tab/>
        <w:t>Management programmes</w:t>
      </w:r>
      <w:bookmarkEnd w:id="144"/>
      <w:bookmarkEnd w:id="145"/>
    </w:p>
    <w:p>
      <w:pPr>
        <w:pStyle w:val="Subsection"/>
      </w:pPr>
      <w:r>
        <w:tab/>
      </w:r>
      <w:r>
        <w:tab/>
        <w:t>A management programme made and published under section 66 as in force before the commencement day and in effect immediately before that day has effect on and after that day as if it were made and published under that section by the Minister.</w:t>
      </w:r>
    </w:p>
    <w:p>
      <w:pPr>
        <w:pStyle w:val="Footnotesection"/>
      </w:pPr>
      <w:r>
        <w:tab/>
        <w:t>[Section 126 inserted by No. 46 of 2010 s. 54.]</w:t>
      </w:r>
    </w:p>
    <w:p>
      <w:pPr>
        <w:pStyle w:val="Heading5"/>
      </w:pPr>
      <w:bookmarkStart w:id="146" w:name="_Toc402516118"/>
      <w:bookmarkStart w:id="147" w:name="_Toc412558216"/>
      <w:r>
        <w:rPr>
          <w:rStyle w:val="CharSectno"/>
        </w:rPr>
        <w:t>127</w:t>
      </w:r>
      <w:r>
        <w:t>.</w:t>
      </w:r>
      <w:r>
        <w:tab/>
        <w:t>Notices</w:t>
      </w:r>
      <w:bookmarkEnd w:id="146"/>
      <w:bookmarkEnd w:id="147"/>
    </w:p>
    <w:p>
      <w:pPr>
        <w:pStyle w:val="Subsection"/>
      </w:pPr>
      <w:r>
        <w:tab/>
      </w:r>
      <w:r>
        <w:tab/>
        <w:t>A notice given to the Protection Board under section 74, 75 or 76 as in force before the commencement day has effect on and after that day as if it were a notice given under that section to the Director General.</w:t>
      </w:r>
    </w:p>
    <w:p>
      <w:pPr>
        <w:pStyle w:val="Footnotesection"/>
      </w:pPr>
      <w:r>
        <w:tab/>
        <w:t>[Section 127 inserted by No. 46 of 2010 s. 54.]</w:t>
      </w:r>
    </w:p>
    <w:p>
      <w:pPr>
        <w:pStyle w:val="Heading5"/>
      </w:pPr>
      <w:bookmarkStart w:id="148" w:name="_Toc402516119"/>
      <w:bookmarkStart w:id="149" w:name="_Toc412558217"/>
      <w:r>
        <w:rPr>
          <w:rStyle w:val="CharSectno"/>
        </w:rPr>
        <w:t>128</w:t>
      </w:r>
      <w:r>
        <w:t>.</w:t>
      </w:r>
      <w:r>
        <w:tab/>
        <w:t>Permissions and authorities</w:t>
      </w:r>
      <w:bookmarkEnd w:id="148"/>
      <w:bookmarkEnd w:id="149"/>
    </w:p>
    <w:p>
      <w:pPr>
        <w:pStyle w:val="Subsection"/>
      </w:pPr>
      <w:r>
        <w:tab/>
        <w:t>(1)</w:t>
      </w:r>
      <w:r>
        <w:tab/>
        <w:t>Permission granted by the Protection Board under section 77 or 80 as in force before the commencement day has effect on and after that day as if it were permission granted under that section by the Director General.</w:t>
      </w:r>
    </w:p>
    <w:p>
      <w:pPr>
        <w:pStyle w:val="Subsection"/>
      </w:pPr>
      <w:r>
        <w:tab/>
        <w:t>(2)</w:t>
      </w:r>
      <w:r>
        <w:tab/>
        <w:t>A written authority given by the Protection Board under section 79(2) as in force before the commencement day has effect on and after that day as if it were given under that section by the Director General.</w:t>
      </w:r>
    </w:p>
    <w:p>
      <w:pPr>
        <w:pStyle w:val="Footnotesection"/>
      </w:pPr>
      <w:r>
        <w:tab/>
        <w:t>[Section 128 inserted by No. 46 of 2010 s. 54.]</w:t>
      </w:r>
    </w:p>
    <w:p>
      <w:pPr>
        <w:pStyle w:val="Heading5"/>
      </w:pPr>
      <w:bookmarkStart w:id="150" w:name="_Toc402516120"/>
      <w:bookmarkStart w:id="151" w:name="_Toc412558218"/>
      <w:r>
        <w:rPr>
          <w:rStyle w:val="CharSectno"/>
        </w:rPr>
        <w:t>129</w:t>
      </w:r>
      <w:r>
        <w:t>.</w:t>
      </w:r>
      <w:r>
        <w:tab/>
        <w:t>Transitional regulations</w:t>
      </w:r>
      <w:bookmarkEnd w:id="150"/>
      <w:bookmarkEnd w:id="151"/>
    </w:p>
    <w:p>
      <w:pPr>
        <w:pStyle w:val="Subsection"/>
      </w:pPr>
      <w:r>
        <w:tab/>
        <w:t>(1)</w:t>
      </w:r>
      <w:r>
        <w:tab/>
        <w:t>If there is no sufficient provision in this Part for dealing with a transitional matter, regulations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Agriculture and Related Resources Protection Amendment Act 2010</w:t>
      </w:r>
      <w:r>
        <w:rPr>
          <w:iCs/>
          <w:vertAlign w:val="superscript"/>
        </w:rPr>
        <w:t> 1</w:t>
      </w:r>
      <w:r>
        <w:t>.</w:t>
      </w:r>
    </w:p>
    <w:p>
      <w:pPr>
        <w:pStyle w:val="Subsection"/>
      </w:pPr>
      <w:r>
        <w:tab/>
        <w:t>(3)</w:t>
      </w:r>
      <w:r>
        <w:tab/>
        <w:t xml:space="preserve">Regulations made under subsection (1) may provide that specified provisions of this Act as in force after the commencement of the </w:t>
      </w:r>
      <w:r>
        <w:rPr>
          <w:i/>
          <w:iCs/>
        </w:rPr>
        <w:t>Agriculture and Related Resources Protection Amendment Act 2010</w:t>
      </w:r>
      <w:r>
        <w:t xml:space="preserve">, or of subsidiary legislation made under this Act, or of an Act amended by the </w:t>
      </w:r>
      <w:r>
        <w:rPr>
          <w:i/>
          <w:iCs/>
        </w:rPr>
        <w:t>Agriculture and Related Resources Protection Amendment Act 2010</w:t>
      </w:r>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Footnotesection"/>
      </w:pPr>
      <w:r>
        <w:tab/>
        <w:t>[Section 129 inserted by No. 46 of 2010 s. 54.]</w:t>
      </w:r>
    </w:p>
    <w:p>
      <w:pPr>
        <w:pStyle w:val="yEdnoteschedule"/>
      </w:pPr>
      <w:r>
        <w:t>[Schedule deleted by No. 6 of 2006 s. 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pPr>
    </w:p>
    <w:p>
      <w:pPr>
        <w:sectPr>
          <w:headerReference w:type="even" r:id="rId24"/>
          <w:headerReference w:type="default" r:id="rId25"/>
          <w:footerReference w:type="default" r:id="rId26"/>
          <w:headerReference w:type="first" r:id="rId27"/>
          <w:pgSz w:w="11907" w:h="16840" w:code="9"/>
          <w:pgMar w:top="2376" w:right="2404" w:bottom="3544" w:left="2404" w:header="709" w:footer="3380" w:gutter="0"/>
          <w:pgNumType w:start="1"/>
          <w:cols w:space="720"/>
          <w:noEndnote/>
          <w:titlePg/>
          <w:docGrid w:linePitch="326"/>
        </w:sectPr>
      </w:pPr>
    </w:p>
    <w:p>
      <w:pPr>
        <w:pStyle w:val="nHeading2"/>
        <w:outlineLvl w:val="0"/>
      </w:pPr>
      <w:bookmarkStart w:id="152" w:name="_Toc402516121"/>
      <w:bookmarkStart w:id="153" w:name="_Toc412558005"/>
      <w:bookmarkStart w:id="154" w:name="_Toc412558069"/>
      <w:bookmarkStart w:id="155" w:name="_Toc412558219"/>
      <w:r>
        <w:t>Notes</w:t>
      </w:r>
      <w:bookmarkEnd w:id="152"/>
      <w:bookmarkEnd w:id="153"/>
      <w:bookmarkEnd w:id="154"/>
      <w:bookmarkEnd w:id="155"/>
    </w:p>
    <w:p>
      <w:pPr>
        <w:pStyle w:val="nSubsection"/>
        <w:rPr>
          <w:snapToGrid w:val="0"/>
        </w:rPr>
      </w:pPr>
      <w:r>
        <w:rPr>
          <w:snapToGrid w:val="0"/>
          <w:vertAlign w:val="superscript"/>
        </w:rPr>
        <w:t>1</w:t>
      </w:r>
      <w:r>
        <w:rPr>
          <w:snapToGrid w:val="0"/>
        </w:rPr>
        <w:tab/>
        <w:t xml:space="preserve">This reprint is a compilation as at 17 October 2014 of the </w:t>
      </w:r>
      <w:r>
        <w:rPr>
          <w:i/>
          <w:noProof/>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 xml:space="preserve">1a </w:t>
      </w:r>
      <w:r>
        <w:rPr>
          <w:snapToGrid w:val="0"/>
        </w:rPr>
        <w:t>.  The table also contains information about any reprint.</w:t>
      </w:r>
    </w:p>
    <w:p>
      <w:pPr>
        <w:pStyle w:val="nHeading3"/>
      </w:pPr>
      <w:bookmarkStart w:id="156" w:name="_Toc402516122"/>
      <w:bookmarkStart w:id="157" w:name="_Toc412558220"/>
      <w:r>
        <w:t>Compilation table</w:t>
      </w:r>
      <w:bookmarkEnd w:id="156"/>
      <w:bookmarkEnd w:id="157"/>
    </w:p>
    <w:tbl>
      <w:tblPr>
        <w:tblW w:w="7087" w:type="dxa"/>
        <w:tblInd w:w="28" w:type="dxa"/>
        <w:tblLayout w:type="fixed"/>
        <w:tblCellMar>
          <w:left w:w="56" w:type="dxa"/>
          <w:right w:w="56" w:type="dxa"/>
        </w:tblCellMar>
        <w:tblLook w:val="0000" w:firstRow="0" w:lastRow="0" w:firstColumn="0" w:lastColumn="0" w:noHBand="0" w:noVBand="0"/>
      </w:tblPr>
      <w:tblGrid>
        <w:gridCol w:w="2266"/>
        <w:gridCol w:w="1134"/>
        <w:gridCol w:w="1135"/>
        <w:gridCol w:w="2552"/>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ind w:right="113"/>
            </w:pPr>
            <w:r>
              <w:rPr>
                <w:i/>
              </w:rPr>
              <w:t>Agriculture and Related Resources Protection Act 1976</w:t>
            </w:r>
          </w:p>
        </w:tc>
        <w:tc>
          <w:tcPr>
            <w:tcW w:w="1134" w:type="dxa"/>
          </w:tcPr>
          <w:p>
            <w:pPr>
              <w:pStyle w:val="nTable"/>
              <w:spacing w:after="40"/>
            </w:pPr>
            <w:r>
              <w:t>42 of 1976</w:t>
            </w:r>
          </w:p>
        </w:tc>
        <w:tc>
          <w:tcPr>
            <w:tcW w:w="1135" w:type="dxa"/>
          </w:tcPr>
          <w:p>
            <w:pPr>
              <w:pStyle w:val="nTable"/>
              <w:spacing w:after="40"/>
            </w:pPr>
            <w:r>
              <w:t>9 Jun 1976</w:t>
            </w:r>
          </w:p>
        </w:tc>
        <w:tc>
          <w:tcPr>
            <w:tcW w:w="2551" w:type="dxa"/>
          </w:tcPr>
          <w:p>
            <w:pPr>
              <w:pStyle w:val="nTable"/>
              <w:spacing w:after="40"/>
            </w:pPr>
            <w:r>
              <w:t>Long title, s. 1</w:t>
            </w:r>
            <w:r>
              <w:noBreakHyphen/>
              <w:t>5, 7 and Pt. V Div. 6: 18 Jun 1976</w:t>
            </w:r>
            <w:r>
              <w:br/>
              <w:t xml:space="preserve">(see s. 2 and </w:t>
            </w:r>
            <w:r>
              <w:rPr>
                <w:i/>
              </w:rPr>
              <w:t>Gazette</w:t>
            </w:r>
            <w:r>
              <w:t xml:space="preserve"> 18 Jun 1976 p. 2048); </w:t>
            </w:r>
            <w:r>
              <w:br/>
              <w:t>Act other than Long title, s. 1</w:t>
            </w:r>
            <w:r>
              <w:noBreakHyphen/>
              <w:t xml:space="preserve">5, 7 and Pt. V Div. 6: 1 Jul 1976 (see s. 2 and </w:t>
            </w:r>
            <w:r>
              <w:rPr>
                <w:i/>
              </w:rPr>
              <w:t>Gazette</w:t>
            </w:r>
            <w:r>
              <w:t xml:space="preserve"> 18 Jun 1976 p. 2048)</w:t>
            </w:r>
          </w:p>
        </w:tc>
      </w:tr>
      <w:tr>
        <w:trPr>
          <w:cantSplit/>
        </w:trPr>
        <w:tc>
          <w:tcPr>
            <w:tcW w:w="2266" w:type="dxa"/>
          </w:tcPr>
          <w:p>
            <w:pPr>
              <w:pStyle w:val="nTable"/>
              <w:spacing w:after="40"/>
              <w:ind w:right="113"/>
            </w:pPr>
            <w:r>
              <w:rPr>
                <w:i/>
              </w:rPr>
              <w:t>Agriculture and Related Resources Protection Act Amendment Act 1978</w:t>
            </w:r>
          </w:p>
        </w:tc>
        <w:tc>
          <w:tcPr>
            <w:tcW w:w="1134" w:type="dxa"/>
          </w:tcPr>
          <w:p>
            <w:pPr>
              <w:pStyle w:val="nTable"/>
              <w:spacing w:after="40"/>
            </w:pPr>
            <w:r>
              <w:t>40 of 1978</w:t>
            </w:r>
          </w:p>
        </w:tc>
        <w:tc>
          <w:tcPr>
            <w:tcW w:w="1135" w:type="dxa"/>
          </w:tcPr>
          <w:p>
            <w:pPr>
              <w:pStyle w:val="nTable"/>
              <w:spacing w:after="40"/>
            </w:pPr>
            <w:r>
              <w:t>29 Aug 1978</w:t>
            </w:r>
          </w:p>
        </w:tc>
        <w:tc>
          <w:tcPr>
            <w:tcW w:w="2551" w:type="dxa"/>
          </w:tcPr>
          <w:p>
            <w:pPr>
              <w:pStyle w:val="nTable"/>
              <w:spacing w:after="40"/>
            </w:pPr>
            <w:r>
              <w:t>29 Aug 1978</w:t>
            </w:r>
          </w:p>
        </w:tc>
      </w:tr>
      <w:tr>
        <w:trPr>
          <w:cantSplit/>
        </w:trPr>
        <w:tc>
          <w:tcPr>
            <w:tcW w:w="2266" w:type="dxa"/>
          </w:tcPr>
          <w:p>
            <w:pPr>
              <w:pStyle w:val="nTable"/>
              <w:spacing w:after="40"/>
              <w:ind w:right="113"/>
            </w:pPr>
            <w:r>
              <w:rPr>
                <w:i/>
              </w:rPr>
              <w:t>Agriculture and Related Resources Protection Act Amendment Act 1979</w:t>
            </w:r>
          </w:p>
        </w:tc>
        <w:tc>
          <w:tcPr>
            <w:tcW w:w="1134" w:type="dxa"/>
          </w:tcPr>
          <w:p>
            <w:pPr>
              <w:pStyle w:val="nTable"/>
              <w:spacing w:after="40"/>
            </w:pPr>
            <w:r>
              <w:t>55 of 1979</w:t>
            </w:r>
          </w:p>
        </w:tc>
        <w:tc>
          <w:tcPr>
            <w:tcW w:w="1135" w:type="dxa"/>
          </w:tcPr>
          <w:p>
            <w:pPr>
              <w:pStyle w:val="nTable"/>
              <w:spacing w:after="40"/>
            </w:pPr>
            <w:r>
              <w:t>12 Nov 1979</w:t>
            </w:r>
          </w:p>
        </w:tc>
        <w:tc>
          <w:tcPr>
            <w:tcW w:w="2551" w:type="dxa"/>
          </w:tcPr>
          <w:p>
            <w:pPr>
              <w:pStyle w:val="nTable"/>
              <w:spacing w:after="40"/>
            </w:pPr>
            <w:r>
              <w:t xml:space="preserve">s. 3, 4(b), 7, 10 and 11: 1 Jul 1976 (see s. 2(1)); </w:t>
            </w:r>
            <w:r>
              <w:br/>
              <w:t xml:space="preserve">Act other than s. 3, 4(b), 7, 10 and 11: 12 Nov 1979 (see s. 2(2)) </w:t>
            </w:r>
          </w:p>
        </w:tc>
      </w:tr>
      <w:tr>
        <w:trPr>
          <w:cantSplit/>
        </w:trPr>
        <w:tc>
          <w:tcPr>
            <w:tcW w:w="2266" w:type="dxa"/>
          </w:tcPr>
          <w:p>
            <w:pPr>
              <w:pStyle w:val="nTable"/>
              <w:spacing w:after="40"/>
              <w:ind w:right="113"/>
            </w:pPr>
            <w:r>
              <w:rPr>
                <w:i/>
              </w:rPr>
              <w:t>Agriculture and Related Resources Protection Amendment Act 1980</w:t>
            </w:r>
          </w:p>
        </w:tc>
        <w:tc>
          <w:tcPr>
            <w:tcW w:w="1134" w:type="dxa"/>
          </w:tcPr>
          <w:p>
            <w:pPr>
              <w:pStyle w:val="nTable"/>
              <w:spacing w:after="40"/>
            </w:pPr>
            <w:r>
              <w:t>22 of 1980</w:t>
            </w:r>
          </w:p>
        </w:tc>
        <w:tc>
          <w:tcPr>
            <w:tcW w:w="1135" w:type="dxa"/>
          </w:tcPr>
          <w:p>
            <w:pPr>
              <w:pStyle w:val="nTable"/>
              <w:spacing w:after="40"/>
            </w:pPr>
            <w:r>
              <w:t>15 Oct 1980</w:t>
            </w:r>
          </w:p>
        </w:tc>
        <w:tc>
          <w:tcPr>
            <w:tcW w:w="2551" w:type="dxa"/>
          </w:tcPr>
          <w:p>
            <w:pPr>
              <w:pStyle w:val="nTable"/>
              <w:spacing w:after="40"/>
            </w:pPr>
            <w:r>
              <w:t>s. 5: 1 Jul 1980 (see s. 2(2)); Act other than s. 5: 15 Oct 1980 (see s. 2(1))</w:t>
            </w:r>
          </w:p>
        </w:tc>
      </w:tr>
      <w:tr>
        <w:trPr>
          <w:cantSplit/>
        </w:trPr>
        <w:tc>
          <w:tcPr>
            <w:tcW w:w="7087" w:type="dxa"/>
            <w:gridSpan w:val="4"/>
          </w:tcPr>
          <w:p>
            <w:pPr>
              <w:pStyle w:val="nTable"/>
              <w:spacing w:after="40"/>
            </w:pPr>
            <w:r>
              <w:rPr>
                <w:b/>
                <w:bCs/>
              </w:rPr>
              <w:t xml:space="preserve">Reprint of the </w:t>
            </w:r>
            <w:r>
              <w:rPr>
                <w:b/>
                <w:bCs/>
                <w:i/>
              </w:rPr>
              <w:t>Agriculture and Related Resources Protection Act 1976</w:t>
            </w:r>
            <w:r>
              <w:rPr>
                <w:b/>
                <w:bCs/>
              </w:rPr>
              <w:t xml:space="preserve"> approved 10 Feb 1981</w:t>
            </w:r>
            <w:r>
              <w:t xml:space="preserve"> (includes amendments listed above)</w:t>
            </w:r>
          </w:p>
        </w:tc>
      </w:tr>
      <w:tr>
        <w:trPr>
          <w:cantSplit/>
        </w:trPr>
        <w:tc>
          <w:tcPr>
            <w:tcW w:w="2266" w:type="dxa"/>
          </w:tcPr>
          <w:p>
            <w:pPr>
              <w:pStyle w:val="nTable"/>
              <w:spacing w:after="40"/>
              <w:ind w:right="113"/>
            </w:pPr>
            <w:r>
              <w:rPr>
                <w:i/>
              </w:rPr>
              <w:t>Agriculture and Related Resources Protection Amendment Act 1981</w:t>
            </w:r>
          </w:p>
        </w:tc>
        <w:tc>
          <w:tcPr>
            <w:tcW w:w="1134" w:type="dxa"/>
          </w:tcPr>
          <w:p>
            <w:pPr>
              <w:pStyle w:val="nTable"/>
              <w:spacing w:after="40"/>
            </w:pPr>
            <w:r>
              <w:t>76 of 1981</w:t>
            </w:r>
          </w:p>
        </w:tc>
        <w:tc>
          <w:tcPr>
            <w:tcW w:w="1135" w:type="dxa"/>
          </w:tcPr>
          <w:p>
            <w:pPr>
              <w:pStyle w:val="nTable"/>
              <w:spacing w:after="40"/>
            </w:pPr>
            <w:r>
              <w:t>9 Nov 1981</w:t>
            </w:r>
          </w:p>
        </w:tc>
        <w:tc>
          <w:tcPr>
            <w:tcW w:w="2551" w:type="dxa"/>
          </w:tcPr>
          <w:p>
            <w:pPr>
              <w:pStyle w:val="nTable"/>
              <w:spacing w:after="40"/>
            </w:pPr>
            <w:r>
              <w:t>Act other than s. 3(d): 1 Jul 1976 (see s. 2(1));</w:t>
            </w:r>
            <w:r>
              <w:br/>
              <w:t>s. 3(d): 9 Nov 1981 (see s. 2(3))</w:t>
            </w:r>
          </w:p>
        </w:tc>
      </w:tr>
      <w:tr>
        <w:trPr>
          <w:cantSplit/>
        </w:trPr>
        <w:tc>
          <w:tcPr>
            <w:tcW w:w="2266" w:type="dxa"/>
          </w:tcPr>
          <w:p>
            <w:pPr>
              <w:pStyle w:val="nTable"/>
              <w:spacing w:after="40"/>
              <w:ind w:right="113"/>
            </w:pPr>
            <w:r>
              <w:rPr>
                <w:i/>
              </w:rPr>
              <w:t>Agriculture and Related Resources Protection Amendment Act 1983</w:t>
            </w:r>
          </w:p>
        </w:tc>
        <w:tc>
          <w:tcPr>
            <w:tcW w:w="1134" w:type="dxa"/>
          </w:tcPr>
          <w:p>
            <w:pPr>
              <w:pStyle w:val="nTable"/>
              <w:spacing w:after="40"/>
            </w:pPr>
            <w:r>
              <w:t>31 of 1983</w:t>
            </w:r>
          </w:p>
        </w:tc>
        <w:tc>
          <w:tcPr>
            <w:tcW w:w="1135" w:type="dxa"/>
          </w:tcPr>
          <w:p>
            <w:pPr>
              <w:pStyle w:val="nTable"/>
              <w:spacing w:after="40"/>
            </w:pPr>
            <w:r>
              <w:t>1 Dec 1983</w:t>
            </w:r>
          </w:p>
        </w:tc>
        <w:tc>
          <w:tcPr>
            <w:tcW w:w="2551" w:type="dxa"/>
          </w:tcPr>
          <w:p>
            <w:pPr>
              <w:pStyle w:val="nTable"/>
              <w:spacing w:after="40"/>
            </w:pPr>
            <w:r>
              <w:t>29 Dec 1983 (see s. 2)</w:t>
            </w:r>
          </w:p>
        </w:tc>
      </w:tr>
      <w:tr>
        <w:trPr>
          <w:cantSplit/>
        </w:trPr>
        <w:tc>
          <w:tcPr>
            <w:tcW w:w="2266" w:type="dxa"/>
          </w:tcPr>
          <w:p>
            <w:pPr>
              <w:pStyle w:val="nTable"/>
              <w:spacing w:after="40"/>
              <w:ind w:right="113"/>
              <w:rPr>
                <w:i/>
              </w:rPr>
            </w:pPr>
            <w:r>
              <w:rPr>
                <w:i/>
              </w:rPr>
              <w:t xml:space="preserve">Acts Amendment (Conservation and Land Management) Act 1984 </w:t>
            </w:r>
            <w:r>
              <w:t>Pt. V</w:t>
            </w:r>
          </w:p>
        </w:tc>
        <w:tc>
          <w:tcPr>
            <w:tcW w:w="1134" w:type="dxa"/>
          </w:tcPr>
          <w:p>
            <w:pPr>
              <w:pStyle w:val="nTable"/>
              <w:spacing w:after="40"/>
            </w:pPr>
            <w:r>
              <w:t>112 of 1984</w:t>
            </w:r>
          </w:p>
        </w:tc>
        <w:tc>
          <w:tcPr>
            <w:tcW w:w="1135" w:type="dxa"/>
          </w:tcPr>
          <w:p>
            <w:pPr>
              <w:pStyle w:val="nTable"/>
              <w:spacing w:after="40"/>
            </w:pPr>
            <w:r>
              <w:t>19 Dec 1984</w:t>
            </w:r>
          </w:p>
        </w:tc>
        <w:tc>
          <w:tcPr>
            <w:tcW w:w="2551" w:type="dxa"/>
          </w:tcPr>
          <w:p>
            <w:pPr>
              <w:pStyle w:val="nTable"/>
              <w:spacing w:after="40"/>
            </w:pPr>
            <w:r>
              <w:t xml:space="preserve">22 Mar 1985 (see s. 2 and </w:t>
            </w:r>
            <w:r>
              <w:rPr>
                <w:i/>
              </w:rPr>
              <w:t>Gazette</w:t>
            </w:r>
            <w:r>
              <w:t xml:space="preserve"> 15 Mar 1985 p. 931)</w:t>
            </w:r>
          </w:p>
        </w:tc>
      </w:tr>
      <w:tr>
        <w:trPr>
          <w:cantSplit/>
        </w:trPr>
        <w:tc>
          <w:tcPr>
            <w:tcW w:w="2266" w:type="dxa"/>
          </w:tcPr>
          <w:p>
            <w:pPr>
              <w:pStyle w:val="nTable"/>
              <w:spacing w:after="40"/>
              <w:ind w:right="113"/>
              <w:rPr>
                <w:iCs/>
              </w:rPr>
            </w:pPr>
            <w:r>
              <w:rPr>
                <w:i/>
              </w:rPr>
              <w:t>Agriculture and Related Resources Protection Amendment Act 1986</w:t>
            </w:r>
            <w:r>
              <w:rPr>
                <w:iCs/>
              </w:rPr>
              <w:t> </w:t>
            </w:r>
            <w:r>
              <w:rPr>
                <w:iCs/>
                <w:vertAlign w:val="superscript"/>
              </w:rPr>
              <w:t>6</w:t>
            </w:r>
          </w:p>
        </w:tc>
        <w:tc>
          <w:tcPr>
            <w:tcW w:w="1134" w:type="dxa"/>
          </w:tcPr>
          <w:p>
            <w:pPr>
              <w:pStyle w:val="nTable"/>
              <w:spacing w:after="40"/>
            </w:pPr>
            <w:r>
              <w:t>59 of 1986</w:t>
            </w:r>
          </w:p>
        </w:tc>
        <w:tc>
          <w:tcPr>
            <w:tcW w:w="1135" w:type="dxa"/>
          </w:tcPr>
          <w:p>
            <w:pPr>
              <w:pStyle w:val="nTable"/>
              <w:spacing w:after="40"/>
            </w:pPr>
            <w:r>
              <w:t>26 Nov 1986</w:t>
            </w:r>
          </w:p>
        </w:tc>
        <w:tc>
          <w:tcPr>
            <w:tcW w:w="2551" w:type="dxa"/>
          </w:tcPr>
          <w:p>
            <w:pPr>
              <w:pStyle w:val="nTable"/>
              <w:spacing w:after="40"/>
            </w:pPr>
            <w:r>
              <w:t>s. 1 and 2: 26 Nov 1986;</w:t>
            </w:r>
            <w:r>
              <w:br/>
              <w:t xml:space="preserve">Act other than s. 1 and 2: 5 Jan 1987 (see s. 2 and </w:t>
            </w:r>
            <w:r>
              <w:rPr>
                <w:i/>
              </w:rPr>
              <w:t>Gazette</w:t>
            </w:r>
            <w:r>
              <w:t xml:space="preserve"> 19 Dec 1986 p. 4860)</w:t>
            </w:r>
          </w:p>
        </w:tc>
      </w:tr>
      <w:tr>
        <w:trPr>
          <w:cantSplit/>
        </w:trPr>
        <w:tc>
          <w:tcPr>
            <w:tcW w:w="2266" w:type="dxa"/>
          </w:tcPr>
          <w:p>
            <w:pPr>
              <w:pStyle w:val="nTable"/>
              <w:spacing w:after="40"/>
              <w:ind w:right="113"/>
            </w:pPr>
            <w:r>
              <w:rPr>
                <w:i/>
              </w:rPr>
              <w:t xml:space="preserve">Agricultural Legislation (Penalties) Amendment Act 1989 </w:t>
            </w:r>
            <w:r>
              <w:t>s. 3</w:t>
            </w:r>
          </w:p>
        </w:tc>
        <w:tc>
          <w:tcPr>
            <w:tcW w:w="1134" w:type="dxa"/>
          </w:tcPr>
          <w:p>
            <w:pPr>
              <w:pStyle w:val="nTable"/>
              <w:keepNext/>
              <w:keepLines/>
              <w:spacing w:after="40"/>
            </w:pPr>
            <w:r>
              <w:t>20 of 1989</w:t>
            </w:r>
          </w:p>
        </w:tc>
        <w:tc>
          <w:tcPr>
            <w:tcW w:w="1135" w:type="dxa"/>
          </w:tcPr>
          <w:p>
            <w:pPr>
              <w:pStyle w:val="nTable"/>
              <w:keepNext/>
              <w:keepLines/>
              <w:spacing w:after="40"/>
            </w:pPr>
            <w:r>
              <w:t>1 Dec 1989</w:t>
            </w:r>
          </w:p>
        </w:tc>
        <w:tc>
          <w:tcPr>
            <w:tcW w:w="2551" w:type="dxa"/>
          </w:tcPr>
          <w:p>
            <w:pPr>
              <w:pStyle w:val="nTable"/>
              <w:keepNext/>
              <w:keepLines/>
              <w:spacing w:after="40"/>
            </w:pPr>
            <w:r>
              <w:t xml:space="preserve">15 Dec 1989 (see s. 2 and </w:t>
            </w:r>
            <w:r>
              <w:rPr>
                <w:i/>
              </w:rPr>
              <w:t>Gazette</w:t>
            </w:r>
            <w:r>
              <w:t xml:space="preserve"> 15 Dec 1989 p. 4513)</w:t>
            </w:r>
          </w:p>
        </w:tc>
      </w:tr>
      <w:tr>
        <w:trPr>
          <w:cantSplit/>
        </w:trPr>
        <w:tc>
          <w:tcPr>
            <w:tcW w:w="2266"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5" w:type="dxa"/>
          </w:tcPr>
          <w:p>
            <w:pPr>
              <w:pStyle w:val="nTable"/>
              <w:spacing w:after="40"/>
            </w:pPr>
            <w:r>
              <w:t>27 Aug 1993</w:t>
            </w:r>
          </w:p>
        </w:tc>
        <w:tc>
          <w:tcPr>
            <w:tcW w:w="2551" w:type="dxa"/>
          </w:tcPr>
          <w:p>
            <w:pPr>
              <w:pStyle w:val="nTable"/>
              <w:spacing w:after="40"/>
            </w:pPr>
            <w:r>
              <w:t>1 Jul 1993 (see s. 2(1))</w:t>
            </w:r>
          </w:p>
        </w:tc>
      </w:tr>
      <w:tr>
        <w:trPr>
          <w:cantSplit/>
        </w:trPr>
        <w:tc>
          <w:tcPr>
            <w:tcW w:w="2266" w:type="dxa"/>
          </w:tcPr>
          <w:p>
            <w:pPr>
              <w:pStyle w:val="nTable"/>
              <w:spacing w:after="40"/>
              <w:ind w:right="113"/>
            </w:pPr>
            <w:r>
              <w:rPr>
                <w:i/>
              </w:rPr>
              <w:t xml:space="preserve">Acts Amendment (Public Sector Management) Act 1994 </w:t>
            </w:r>
            <w:r>
              <w:t>s. 3(1)</w:t>
            </w:r>
          </w:p>
        </w:tc>
        <w:tc>
          <w:tcPr>
            <w:tcW w:w="1134"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6" w:type="dxa"/>
          </w:tcPr>
          <w:p>
            <w:pPr>
              <w:pStyle w:val="nTable"/>
              <w:spacing w:after="40"/>
              <w:ind w:right="113"/>
            </w:pPr>
            <w:r>
              <w:rPr>
                <w:i/>
              </w:rPr>
              <w:t xml:space="preserve">Industrial Legislation Amendment Act 1995 </w:t>
            </w:r>
            <w:r>
              <w:t>s. 35</w:t>
            </w:r>
          </w:p>
        </w:tc>
        <w:tc>
          <w:tcPr>
            <w:tcW w:w="1134" w:type="dxa"/>
          </w:tcPr>
          <w:p>
            <w:pPr>
              <w:pStyle w:val="nTable"/>
              <w:spacing w:after="40"/>
            </w:pPr>
            <w:r>
              <w:t>1 of 1995</w:t>
            </w:r>
          </w:p>
        </w:tc>
        <w:tc>
          <w:tcPr>
            <w:tcW w:w="1135" w:type="dxa"/>
          </w:tcPr>
          <w:p>
            <w:pPr>
              <w:pStyle w:val="nTable"/>
              <w:spacing w:after="40"/>
            </w:pPr>
            <w:r>
              <w:t>9 May 1995</w:t>
            </w:r>
          </w:p>
        </w:tc>
        <w:tc>
          <w:tcPr>
            <w:tcW w:w="2551" w:type="dxa"/>
          </w:tcPr>
          <w:p>
            <w:pPr>
              <w:pStyle w:val="nTable"/>
              <w:spacing w:after="40"/>
            </w:pPr>
            <w:r>
              <w:t xml:space="preserve">1 Jan 1996 (see s. 2(2) and </w:t>
            </w:r>
            <w:r>
              <w:rPr>
                <w:i/>
              </w:rPr>
              <w:t>Gazette</w:t>
            </w:r>
            <w:r>
              <w:t xml:space="preserve"> 24 Nov 1995 p. 5389)</w:t>
            </w:r>
          </w:p>
        </w:tc>
      </w:tr>
      <w:tr>
        <w:trPr>
          <w:cantSplit/>
        </w:trPr>
        <w:tc>
          <w:tcPr>
            <w:tcW w:w="2266"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5" w:type="dxa"/>
          </w:tcPr>
          <w:p>
            <w:pPr>
              <w:pStyle w:val="nTable"/>
              <w:spacing w:after="40"/>
            </w:pPr>
            <w:r>
              <w:t>28 Jun 1996</w:t>
            </w:r>
          </w:p>
        </w:tc>
        <w:tc>
          <w:tcPr>
            <w:tcW w:w="2551" w:type="dxa"/>
          </w:tcPr>
          <w:p>
            <w:pPr>
              <w:pStyle w:val="nTable"/>
              <w:spacing w:after="40"/>
            </w:pPr>
            <w:r>
              <w:t>1 Jul 1996 (see s. 2)</w:t>
            </w:r>
          </w:p>
        </w:tc>
      </w:tr>
      <w:tr>
        <w:trPr>
          <w:cantSplit/>
        </w:trPr>
        <w:tc>
          <w:tcPr>
            <w:tcW w:w="2266"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5" w:type="dxa"/>
          </w:tcPr>
          <w:p>
            <w:pPr>
              <w:pStyle w:val="nTable"/>
              <w:spacing w:after="40"/>
            </w:pPr>
            <w:r>
              <w:t>25 Oct 1996</w:t>
            </w:r>
          </w:p>
        </w:tc>
        <w:tc>
          <w:tcPr>
            <w:tcW w:w="2551" w:type="dxa"/>
          </w:tcPr>
          <w:p>
            <w:pPr>
              <w:pStyle w:val="nTable"/>
              <w:spacing w:after="40"/>
            </w:pPr>
            <w:r>
              <w:t>25 Oct 1996 (see s. 2(1))</w:t>
            </w:r>
          </w:p>
        </w:tc>
      </w:tr>
      <w:tr>
        <w:trPr>
          <w:cantSplit/>
        </w:trPr>
        <w:tc>
          <w:tcPr>
            <w:tcW w:w="2266" w:type="dxa"/>
          </w:tcPr>
          <w:p>
            <w:pPr>
              <w:pStyle w:val="nTable"/>
              <w:spacing w:after="40"/>
              <w:ind w:right="113"/>
            </w:pPr>
            <w:r>
              <w:rPr>
                <w:i/>
              </w:rPr>
              <w:t xml:space="preserve">Transfer of Land Amendment Act 1996 </w:t>
            </w:r>
            <w:r>
              <w:t>s. 153(1) and (2)</w:t>
            </w:r>
          </w:p>
        </w:tc>
        <w:tc>
          <w:tcPr>
            <w:tcW w:w="1134" w:type="dxa"/>
          </w:tcPr>
          <w:p>
            <w:pPr>
              <w:pStyle w:val="nTable"/>
              <w:spacing w:after="40"/>
            </w:pPr>
            <w:r>
              <w:t>81 of 1996</w:t>
            </w:r>
          </w:p>
        </w:tc>
        <w:tc>
          <w:tcPr>
            <w:tcW w:w="1135" w:type="dxa"/>
          </w:tcPr>
          <w:p>
            <w:pPr>
              <w:pStyle w:val="nTable"/>
              <w:spacing w:after="40"/>
            </w:pPr>
            <w:r>
              <w:t>14 Nov 1996</w:t>
            </w:r>
          </w:p>
        </w:tc>
        <w:tc>
          <w:tcPr>
            <w:tcW w:w="2551" w:type="dxa"/>
          </w:tcPr>
          <w:p>
            <w:pPr>
              <w:pStyle w:val="nTable"/>
              <w:spacing w:after="40"/>
            </w:pPr>
            <w:r>
              <w:t>14 Nov 1996 (see s. 2(1))</w:t>
            </w:r>
          </w:p>
        </w:tc>
      </w:tr>
      <w:tr>
        <w:trPr>
          <w:cantSplit/>
        </w:trPr>
        <w:tc>
          <w:tcPr>
            <w:tcW w:w="2266" w:type="dxa"/>
          </w:tcPr>
          <w:p>
            <w:pPr>
              <w:pStyle w:val="nTable"/>
              <w:spacing w:after="40"/>
              <w:ind w:right="113"/>
            </w:pPr>
            <w:r>
              <w:rPr>
                <w:i/>
              </w:rPr>
              <w:t xml:space="preserve">Acts Amendment (Land Administration) Act 1997 </w:t>
            </w:r>
            <w:r>
              <w:t>Pt. 5 and s. 141</w:t>
            </w:r>
          </w:p>
        </w:tc>
        <w:tc>
          <w:tcPr>
            <w:tcW w:w="1134" w:type="dxa"/>
          </w:tcPr>
          <w:p>
            <w:pPr>
              <w:pStyle w:val="nTable"/>
              <w:spacing w:after="40"/>
            </w:pPr>
            <w:r>
              <w:t>31 of 1997</w:t>
            </w:r>
          </w:p>
        </w:tc>
        <w:tc>
          <w:tcPr>
            <w:tcW w:w="1135"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6" w:type="dxa"/>
          </w:tcPr>
          <w:p>
            <w:pPr>
              <w:pStyle w:val="nTable"/>
              <w:spacing w:after="40"/>
              <w:ind w:right="113"/>
            </w:pPr>
            <w:r>
              <w:rPr>
                <w:i/>
              </w:rPr>
              <w:t xml:space="preserve">Agricultural Legislation Amendment and Repeal Act 1998 </w:t>
            </w:r>
            <w:r>
              <w:t>Pt. 2</w:t>
            </w:r>
          </w:p>
        </w:tc>
        <w:tc>
          <w:tcPr>
            <w:tcW w:w="1134" w:type="dxa"/>
          </w:tcPr>
          <w:p>
            <w:pPr>
              <w:pStyle w:val="nTable"/>
              <w:spacing w:after="40"/>
            </w:pPr>
            <w:r>
              <w:t>9 of 1998</w:t>
            </w:r>
          </w:p>
        </w:tc>
        <w:tc>
          <w:tcPr>
            <w:tcW w:w="1135" w:type="dxa"/>
          </w:tcPr>
          <w:p>
            <w:pPr>
              <w:pStyle w:val="nTable"/>
              <w:spacing w:after="40"/>
            </w:pPr>
            <w:r>
              <w:t>30 Apr 1998</w:t>
            </w:r>
          </w:p>
        </w:tc>
        <w:tc>
          <w:tcPr>
            <w:tcW w:w="2551" w:type="dxa"/>
          </w:tcPr>
          <w:p>
            <w:pPr>
              <w:pStyle w:val="nTable"/>
              <w:spacing w:after="40"/>
            </w:pPr>
            <w:r>
              <w:t xml:space="preserve">4 Jul 1998 (see s. 2 and </w:t>
            </w:r>
            <w:r>
              <w:rPr>
                <w:i/>
              </w:rPr>
              <w:t>Gazette</w:t>
            </w:r>
            <w:r>
              <w:t xml:space="preserve"> 3 Jul 1998 p. 3581)</w:t>
            </w:r>
          </w:p>
        </w:tc>
      </w:tr>
      <w:tr>
        <w:trPr>
          <w:cantSplit/>
        </w:trPr>
        <w:tc>
          <w:tcPr>
            <w:tcW w:w="7087" w:type="dxa"/>
            <w:gridSpan w:val="4"/>
          </w:tcPr>
          <w:p>
            <w:pPr>
              <w:pStyle w:val="nTable"/>
              <w:spacing w:after="40"/>
            </w:pPr>
            <w:r>
              <w:rPr>
                <w:b/>
                <w:bCs/>
              </w:rPr>
              <w:t xml:space="preserve">Reprint of the </w:t>
            </w:r>
            <w:r>
              <w:rPr>
                <w:b/>
                <w:bCs/>
                <w:i/>
              </w:rPr>
              <w:t>Agriculture and Related Resources Protection Act 1976</w:t>
            </w:r>
            <w:r>
              <w:rPr>
                <w:b/>
                <w:bCs/>
              </w:rPr>
              <w:t xml:space="preserve"> as at 15 Oct 1999</w:t>
            </w:r>
            <w:r>
              <w:t xml:space="preserve"> (includes amendments listed above)</w:t>
            </w:r>
          </w:p>
        </w:tc>
      </w:tr>
      <w:tr>
        <w:trPr>
          <w:cantSplit/>
        </w:trPr>
        <w:tc>
          <w:tcPr>
            <w:tcW w:w="2266" w:type="dxa"/>
          </w:tcPr>
          <w:p>
            <w:pPr>
              <w:pStyle w:val="nTable"/>
              <w:spacing w:after="40"/>
              <w:ind w:right="113"/>
            </w:pPr>
            <w:r>
              <w:rPr>
                <w:i/>
              </w:rPr>
              <w:t>Taxation Administration (Consequential Provisions) Act 2002</w:t>
            </w:r>
            <w:r>
              <w:t xml:space="preserve"> s. 7</w:t>
            </w:r>
            <w:r>
              <w:rPr>
                <w:vertAlign w:val="superscript"/>
              </w:rPr>
              <w:t> 7</w:t>
            </w:r>
          </w:p>
        </w:tc>
        <w:tc>
          <w:tcPr>
            <w:tcW w:w="1134" w:type="dxa"/>
          </w:tcPr>
          <w:p>
            <w:pPr>
              <w:pStyle w:val="nTable"/>
              <w:spacing w:after="40"/>
            </w:pPr>
            <w:r>
              <w:t>45 of 2002</w:t>
            </w:r>
          </w:p>
        </w:tc>
        <w:tc>
          <w:tcPr>
            <w:tcW w:w="1135" w:type="dxa"/>
          </w:tcPr>
          <w:p>
            <w:pPr>
              <w:pStyle w:val="nTable"/>
              <w:spacing w:after="40"/>
            </w:pPr>
            <w:r>
              <w:t>20 Mar 2003</w:t>
            </w:r>
          </w:p>
        </w:tc>
        <w:tc>
          <w:tcPr>
            <w:tcW w:w="2551" w:type="dxa"/>
          </w:tcPr>
          <w:p>
            <w:pPr>
              <w:pStyle w:val="nTable"/>
              <w:spacing w:after="40"/>
            </w:pPr>
            <w:r>
              <w:t xml:space="preserve">1 Jul 2003 (see s. 2(1) and </w:t>
            </w:r>
            <w:r>
              <w:rPr>
                <w:i/>
              </w:rPr>
              <w:t>Gazette</w:t>
            </w:r>
            <w:r>
              <w:t xml:space="preserve"> 27 Jun 2003 p. 2383)</w:t>
            </w:r>
          </w:p>
        </w:tc>
      </w:tr>
      <w:tr>
        <w:trPr>
          <w:cantSplit/>
        </w:trPr>
        <w:tc>
          <w:tcPr>
            <w:tcW w:w="2266" w:type="dxa"/>
          </w:tcPr>
          <w:p>
            <w:pPr>
              <w:pStyle w:val="nTable"/>
              <w:spacing w:after="40"/>
              <w:ind w:right="113"/>
            </w:pPr>
            <w:r>
              <w:rPr>
                <w:i/>
              </w:rPr>
              <w:t>Statutes (Repeals and Minor Amendments) Act 2003</w:t>
            </w:r>
            <w:r>
              <w:t xml:space="preserve"> s. 26</w:t>
            </w:r>
          </w:p>
        </w:tc>
        <w:tc>
          <w:tcPr>
            <w:tcW w:w="1134"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t>15 Dec 2003 (see s. 2)</w:t>
            </w:r>
          </w:p>
        </w:tc>
      </w:tr>
      <w:tr>
        <w:trPr>
          <w:cantSplit/>
        </w:trPr>
        <w:tc>
          <w:tcPr>
            <w:tcW w:w="2266" w:type="dxa"/>
          </w:tcPr>
          <w:p>
            <w:pPr>
              <w:pStyle w:val="nTable"/>
              <w:spacing w:after="40"/>
              <w:ind w:right="113"/>
              <w:rPr>
                <w:i/>
                <w:vertAlign w:val="superscript"/>
              </w:rPr>
            </w:pPr>
            <w:r>
              <w:rPr>
                <w:i/>
                <w:iCs/>
                <w:snapToGrid w:val="0"/>
              </w:rPr>
              <w:t>Courts Legislation Amendment and Repeal Act 2004</w:t>
            </w:r>
            <w:r>
              <w:rPr>
                <w:snapToGrid w:val="0"/>
              </w:rPr>
              <w:t xml:space="preserve"> s. 141 </w:t>
            </w:r>
            <w:r>
              <w:rPr>
                <w:snapToGrid w:val="0"/>
                <w:vertAlign w:val="superscript"/>
              </w:rPr>
              <w:t>8</w:t>
            </w:r>
          </w:p>
        </w:tc>
        <w:tc>
          <w:tcPr>
            <w:tcW w:w="1134" w:type="dxa"/>
          </w:tcPr>
          <w:p>
            <w:pPr>
              <w:pStyle w:val="nTable"/>
              <w:spacing w:after="40"/>
            </w:pPr>
            <w:r>
              <w:rPr>
                <w:snapToGrid w:val="0"/>
              </w:rPr>
              <w:t>59 of 2004 (as amended by No. 2 of 2008 s. 77(13))</w:t>
            </w:r>
          </w:p>
        </w:tc>
        <w:tc>
          <w:tcPr>
            <w:tcW w:w="1135"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6" w:type="dxa"/>
          </w:tcPr>
          <w:p>
            <w:pPr>
              <w:pStyle w:val="nTable"/>
              <w:spacing w:after="40"/>
              <w:ind w:right="113"/>
            </w:pPr>
            <w:r>
              <w:rPr>
                <w:i/>
              </w:rPr>
              <w:t>State Administrative Tribunal (Conferral of Jurisdiction) Amendment and Repeal Act 2004</w:t>
            </w:r>
            <w:r>
              <w:t xml:space="preserve"> Pt. 2 Div. 6</w:t>
            </w:r>
            <w:r>
              <w:rPr>
                <w:vertAlign w:val="superscript"/>
              </w:rPr>
              <w:t> 9</w:t>
            </w:r>
          </w:p>
        </w:tc>
        <w:tc>
          <w:tcPr>
            <w:tcW w:w="1134"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6" w:type="dxa"/>
          </w:tcPr>
          <w:p>
            <w:pPr>
              <w:pStyle w:val="nTable"/>
              <w:spacing w:after="40"/>
              <w:ind w:right="113"/>
              <w:rPr>
                <w:i/>
              </w:rPr>
            </w:pPr>
            <w:r>
              <w:rPr>
                <w:i/>
                <w:iCs/>
                <w:snapToGrid w:val="0"/>
              </w:rPr>
              <w:t>Criminal Procedure and Appeals (Consequential and Other Provisions) Act 2004</w:t>
            </w:r>
            <w:r>
              <w:rPr>
                <w:snapToGrid w:val="0"/>
              </w:rPr>
              <w:t xml:space="preserve"> s. 78, 80 and 82</w:t>
            </w:r>
          </w:p>
        </w:tc>
        <w:tc>
          <w:tcPr>
            <w:tcW w:w="1134" w:type="dxa"/>
          </w:tcPr>
          <w:p>
            <w:pPr>
              <w:pStyle w:val="nTable"/>
              <w:spacing w:after="40"/>
            </w:pPr>
            <w:r>
              <w:rPr>
                <w:snapToGrid w:val="0"/>
              </w:rPr>
              <w:t>84 of 2004</w:t>
            </w:r>
          </w:p>
        </w:tc>
        <w:tc>
          <w:tcPr>
            <w:tcW w:w="1135"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6" w:type="dxa"/>
          </w:tcPr>
          <w:p>
            <w:pPr>
              <w:pStyle w:val="nTable"/>
              <w:spacing w:after="40"/>
              <w:ind w:right="113"/>
              <w:rPr>
                <w:i/>
                <w:iCs/>
                <w:snapToGrid w:val="0"/>
              </w:rPr>
            </w:pPr>
            <w:r>
              <w:rPr>
                <w:i/>
                <w:iCs/>
                <w:snapToGrid w:val="0"/>
              </w:rPr>
              <w:t>Limitation Legislation Amendment and Repeal Act 2005</w:t>
            </w:r>
            <w:r>
              <w:rPr>
                <w:snapToGrid w:val="0"/>
              </w:rPr>
              <w:t xml:space="preserve"> Pt. 10</w:t>
            </w:r>
          </w:p>
        </w:tc>
        <w:tc>
          <w:tcPr>
            <w:tcW w:w="1134" w:type="dxa"/>
          </w:tcPr>
          <w:p>
            <w:pPr>
              <w:pStyle w:val="nTable"/>
              <w:spacing w:after="40"/>
              <w:rPr>
                <w:snapToGrid w:val="0"/>
              </w:rPr>
            </w:pPr>
            <w:r>
              <w:rPr>
                <w:snapToGrid w:val="0"/>
              </w:rPr>
              <w:t>20 of 2005</w:t>
            </w:r>
          </w:p>
        </w:tc>
        <w:tc>
          <w:tcPr>
            <w:tcW w:w="1135" w:type="dxa"/>
          </w:tcPr>
          <w:p>
            <w:pPr>
              <w:pStyle w:val="nTable"/>
              <w:spacing w:after="40"/>
            </w:pPr>
            <w:r>
              <w:t>15 Nov 2005</w:t>
            </w:r>
          </w:p>
        </w:tc>
        <w:tc>
          <w:tcPr>
            <w:tcW w:w="2551" w:type="dxa"/>
          </w:tcPr>
          <w:p>
            <w:pPr>
              <w:pStyle w:val="nTable"/>
              <w:spacing w:after="40"/>
              <w:rPr>
                <w:snapToGrid w:val="0"/>
              </w:rPr>
            </w:pPr>
            <w:r>
              <w:rPr>
                <w:snapToGrid w:val="0"/>
              </w:rPr>
              <w:t>15 Nov 2005 (see s. 2)</w:t>
            </w:r>
          </w:p>
        </w:tc>
      </w:tr>
      <w:tr>
        <w:trPr>
          <w:cantSplit/>
        </w:trPr>
        <w:tc>
          <w:tcPr>
            <w:tcW w:w="2266" w:type="dxa"/>
          </w:tcPr>
          <w:p>
            <w:pPr>
              <w:pStyle w:val="nTable"/>
              <w:spacing w:after="40"/>
              <w:ind w:right="113"/>
              <w:rPr>
                <w:i/>
                <w:iCs/>
                <w:snapToGrid w:val="0"/>
              </w:rPr>
            </w:pPr>
            <w:r>
              <w:rPr>
                <w:i/>
                <w:iCs/>
                <w:snapToGrid w:val="0"/>
              </w:rPr>
              <w:t>Agriculture and Related Resources Protection Amendment Act 2006</w:t>
            </w:r>
          </w:p>
        </w:tc>
        <w:tc>
          <w:tcPr>
            <w:tcW w:w="1134" w:type="dxa"/>
          </w:tcPr>
          <w:p>
            <w:pPr>
              <w:pStyle w:val="nTable"/>
              <w:spacing w:after="40"/>
              <w:rPr>
                <w:snapToGrid w:val="0"/>
              </w:rPr>
            </w:pPr>
            <w:r>
              <w:rPr>
                <w:snapToGrid w:val="0"/>
              </w:rPr>
              <w:t>6 of 2006</w:t>
            </w:r>
          </w:p>
        </w:tc>
        <w:tc>
          <w:tcPr>
            <w:tcW w:w="1135" w:type="dxa"/>
          </w:tcPr>
          <w:p>
            <w:pPr>
              <w:pStyle w:val="nTable"/>
              <w:spacing w:after="40"/>
            </w:pPr>
            <w:r>
              <w:t>12 Apr 2006</w:t>
            </w:r>
          </w:p>
        </w:tc>
        <w:tc>
          <w:tcPr>
            <w:tcW w:w="2551" w:type="dxa"/>
          </w:tcPr>
          <w:p>
            <w:pPr>
              <w:pStyle w:val="nTable"/>
              <w:spacing w:after="40"/>
              <w:rPr>
                <w:snapToGrid w:val="0"/>
              </w:rPr>
            </w:pPr>
            <w:r>
              <w:rPr>
                <w:snapToGrid w:val="0"/>
              </w:rPr>
              <w:t>12 Apr 2006 (see s. 2)</w:t>
            </w:r>
          </w:p>
        </w:tc>
      </w:tr>
      <w:tr>
        <w:trPr>
          <w:cantSplit/>
        </w:trPr>
        <w:tc>
          <w:tcPr>
            <w:tcW w:w="7087" w:type="dxa"/>
            <w:gridSpan w:val="4"/>
          </w:tcPr>
          <w:p>
            <w:pPr>
              <w:pStyle w:val="nTable"/>
              <w:spacing w:after="40"/>
              <w:rPr>
                <w:snapToGrid w:val="0"/>
              </w:rPr>
            </w:pPr>
            <w:r>
              <w:rPr>
                <w:b/>
                <w:bCs/>
              </w:rPr>
              <w:t xml:space="preserve">Reprint 3: The </w:t>
            </w:r>
            <w:r>
              <w:rPr>
                <w:b/>
                <w:bCs/>
                <w:i/>
              </w:rPr>
              <w:t>Agriculture and Related Resources Protection Act 1976</w:t>
            </w:r>
            <w:r>
              <w:rPr>
                <w:b/>
                <w:bCs/>
              </w:rPr>
              <w:t xml:space="preserve"> as at 16 Jun 2006</w:t>
            </w:r>
            <w:r>
              <w:t xml:space="preserve"> (includes amendments listed above)</w:t>
            </w:r>
          </w:p>
        </w:tc>
      </w:tr>
      <w:tr>
        <w:trPr>
          <w:cantSplit/>
        </w:trPr>
        <w:tc>
          <w:tcPr>
            <w:tcW w:w="2266" w:type="dxa"/>
          </w:tcPr>
          <w:p>
            <w:pPr>
              <w:pStyle w:val="nTable"/>
              <w:spacing w:after="40"/>
              <w:ind w:right="113"/>
              <w:rPr>
                <w:i/>
                <w:iCs/>
                <w:snapToGrid w:val="0"/>
              </w:rPr>
            </w:pPr>
            <w:r>
              <w:rPr>
                <w:i/>
                <w:iCs/>
                <w:snapToGrid w:val="0"/>
              </w:rPr>
              <w:t xml:space="preserve">Machinery of Government (Miscellaneous Amendments) Act 2006 </w:t>
            </w:r>
            <w:r>
              <w:rPr>
                <w:snapToGrid w:val="0"/>
              </w:rPr>
              <w:t>Pt. 2 Div. 2</w:t>
            </w:r>
            <w:r>
              <w:rPr>
                <w:snapToGrid w:val="0"/>
                <w:vertAlign w:val="superscript"/>
              </w:rPr>
              <w:t> 10</w:t>
            </w:r>
          </w:p>
        </w:tc>
        <w:tc>
          <w:tcPr>
            <w:tcW w:w="1134" w:type="dxa"/>
          </w:tcPr>
          <w:p>
            <w:pPr>
              <w:pStyle w:val="nTable"/>
              <w:spacing w:after="40"/>
              <w:rPr>
                <w:snapToGrid w:val="0"/>
              </w:rPr>
            </w:pPr>
            <w:r>
              <w:rPr>
                <w:snapToGrid w:val="0"/>
              </w:rPr>
              <w:t>28 of 2006</w:t>
            </w:r>
          </w:p>
        </w:tc>
        <w:tc>
          <w:tcPr>
            <w:tcW w:w="1135"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2266" w:type="dxa"/>
          </w:tcPr>
          <w:p>
            <w:pPr>
              <w:pStyle w:val="nTable"/>
              <w:spacing w:after="40"/>
              <w:ind w:right="113"/>
              <w:rPr>
                <w:i/>
                <w:iCs/>
                <w:snapToGrid w:val="0"/>
              </w:rPr>
            </w:pPr>
            <w:r>
              <w:rPr>
                <w:i/>
                <w:snapToGrid w:val="0"/>
              </w:rPr>
              <w:t>Land Information Authority Act 2006</w:t>
            </w:r>
            <w:r>
              <w:rPr>
                <w:iCs/>
                <w:snapToGrid w:val="0"/>
              </w:rPr>
              <w:t xml:space="preserve"> s. 121</w:t>
            </w:r>
          </w:p>
        </w:tc>
        <w:tc>
          <w:tcPr>
            <w:tcW w:w="1134" w:type="dxa"/>
          </w:tcPr>
          <w:p>
            <w:pPr>
              <w:pStyle w:val="nTable"/>
              <w:spacing w:after="40"/>
              <w:rPr>
                <w:snapToGrid w:val="0"/>
              </w:rPr>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cantSplit/>
        </w:trPr>
        <w:tc>
          <w:tcPr>
            <w:tcW w:w="2266" w:type="dxa"/>
          </w:tcPr>
          <w:p>
            <w:pPr>
              <w:pStyle w:val="nTable"/>
              <w:spacing w:after="40"/>
              <w:ind w:right="113"/>
              <w:rPr>
                <w:i/>
                <w:snapToGrid w:val="0"/>
              </w:rPr>
            </w:pPr>
            <w:r>
              <w:rPr>
                <w:i/>
                <w:snapToGrid w:val="0"/>
              </w:rPr>
              <w:t>Financial Legislation Amendment and Repeal Act 2006</w:t>
            </w:r>
            <w:r>
              <w:rPr>
                <w:iCs/>
                <w:snapToGrid w:val="0"/>
              </w:rPr>
              <w:t xml:space="preserve"> s. 4 and Sch. 1 cl. 6</w:t>
            </w:r>
          </w:p>
        </w:tc>
        <w:tc>
          <w:tcPr>
            <w:tcW w:w="1134" w:type="dxa"/>
          </w:tcPr>
          <w:p>
            <w:pPr>
              <w:pStyle w:val="nTable"/>
              <w:spacing w:after="40"/>
              <w:rPr>
                <w:snapToGrid w:val="0"/>
              </w:rPr>
            </w:pPr>
            <w:r>
              <w:rPr>
                <w:snapToGrid w:val="0"/>
              </w:rPr>
              <w:t>77 of 2006</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6" w:type="dxa"/>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27</w:t>
            </w:r>
            <w:r>
              <w:rPr>
                <w:iCs/>
                <w:snapToGrid w:val="0"/>
                <w:vertAlign w:val="superscript"/>
              </w:rPr>
              <w:t> 2, 11</w:t>
            </w:r>
          </w:p>
        </w:tc>
        <w:tc>
          <w:tcPr>
            <w:tcW w:w="1134" w:type="dxa"/>
          </w:tcPr>
          <w:p>
            <w:pPr>
              <w:pStyle w:val="nTable"/>
              <w:spacing w:after="40"/>
              <w:rPr>
                <w:snapToGrid w:val="0"/>
              </w:rPr>
            </w:pPr>
            <w:r>
              <w:rPr>
                <w:snapToGrid w:val="0"/>
              </w:rPr>
              <w:t>24 of 2007</w:t>
            </w:r>
          </w:p>
        </w:tc>
        <w:tc>
          <w:tcPr>
            <w:tcW w:w="1135" w:type="dxa"/>
          </w:tcPr>
          <w:p>
            <w:pPr>
              <w:pStyle w:val="nTable"/>
              <w:spacing w:after="40"/>
              <w:rPr>
                <w:snapToGrid w:val="0"/>
              </w:rPr>
            </w:pPr>
            <w:r>
              <w:rPr>
                <w:snapToGrid w:val="0"/>
              </w:rPr>
              <w:t>12 Oct 2007</w:t>
            </w:r>
          </w:p>
        </w:tc>
        <w:tc>
          <w:tcPr>
            <w:tcW w:w="2551" w:type="dxa"/>
          </w:tcPr>
          <w:p>
            <w:pPr>
              <w:pStyle w:val="nTable"/>
              <w:spacing w:after="40"/>
              <w:rPr>
                <w:snapToGrid w:val="0"/>
              </w:rPr>
            </w:pPr>
            <w:r>
              <w:rPr>
                <w:snapToGrid w:val="0"/>
              </w:rPr>
              <w:t xml:space="preserve">23 Nov 2011 (see s. 2(2) and </w:t>
            </w:r>
            <w:r>
              <w:rPr>
                <w:i/>
                <w:snapToGrid w:val="0"/>
              </w:rPr>
              <w:t>Gazette</w:t>
            </w:r>
            <w:r>
              <w:rPr>
                <w:snapToGrid w:val="0"/>
              </w:rPr>
              <w:t xml:space="preserve"> 22 Nov 2011 p. 4843); 1 May 2013 (see s. 27 and proclamation published in </w:t>
            </w:r>
            <w:r>
              <w:rPr>
                <w:i/>
                <w:snapToGrid w:val="0"/>
              </w:rPr>
              <w:t>Gazette</w:t>
            </w:r>
            <w:r>
              <w:rPr>
                <w:snapToGrid w:val="0"/>
              </w:rPr>
              <w:t xml:space="preserve"> 5 Feb 2013 p. 824);</w:t>
            </w:r>
            <w:r>
              <w:rPr>
                <w:snapToGrid w:val="0"/>
              </w:rPr>
              <w:br/>
              <w:t xml:space="preserve">5 Jul 2014 (see s. 27 and proclamation published in </w:t>
            </w:r>
            <w:r>
              <w:rPr>
                <w:i/>
                <w:snapToGrid w:val="0"/>
              </w:rPr>
              <w:t>Gazette</w:t>
            </w:r>
            <w:r>
              <w:rPr>
                <w:snapToGrid w:val="0"/>
              </w:rPr>
              <w:t xml:space="preserve"> 4 Jul 2014 p. 2359)</w:t>
            </w:r>
          </w:p>
        </w:tc>
      </w:tr>
      <w:tr>
        <w:trPr>
          <w:cantSplit/>
        </w:trPr>
        <w:tc>
          <w:tcPr>
            <w:tcW w:w="2266" w:type="dxa"/>
          </w:tcPr>
          <w:p>
            <w:pPr>
              <w:pStyle w:val="nTable"/>
              <w:spacing w:after="40"/>
              <w:ind w:right="113"/>
              <w:rPr>
                <w:i/>
                <w:snapToGrid w:val="0"/>
              </w:rPr>
            </w:pPr>
            <w:r>
              <w:rPr>
                <w:i/>
                <w:snapToGrid w:val="0"/>
              </w:rPr>
              <w:t xml:space="preserve">Agriculture and Related Resources Protection Amendment Act 2010 </w:t>
            </w:r>
            <w:r>
              <w:rPr>
                <w:iCs/>
                <w:snapToGrid w:val="0"/>
              </w:rPr>
              <w:t>Pt. 2</w:t>
            </w:r>
          </w:p>
        </w:tc>
        <w:tc>
          <w:tcPr>
            <w:tcW w:w="1134" w:type="dxa"/>
          </w:tcPr>
          <w:p>
            <w:pPr>
              <w:pStyle w:val="nTable"/>
              <w:spacing w:after="40"/>
              <w:rPr>
                <w:snapToGrid w:val="0"/>
              </w:rPr>
            </w:pPr>
            <w:r>
              <w:rPr>
                <w:snapToGrid w:val="0"/>
              </w:rPr>
              <w:t>46 of 2010</w:t>
            </w:r>
          </w:p>
        </w:tc>
        <w:tc>
          <w:tcPr>
            <w:tcW w:w="1135"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 xml:space="preserve">18 Dec 2010 (see s. 2(b) and </w:t>
            </w:r>
            <w:r>
              <w:rPr>
                <w:i/>
                <w:iCs/>
                <w:snapToGrid w:val="0"/>
              </w:rPr>
              <w:t>Gazette</w:t>
            </w:r>
            <w:r>
              <w:rPr>
                <w:snapToGrid w:val="0"/>
              </w:rPr>
              <w:t xml:space="preserve"> 17 Dec 2010 p. 6349)</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bCs/>
              </w:rPr>
              <w:t xml:space="preserve">Reprint 4: The </w:t>
            </w:r>
            <w:r>
              <w:rPr>
                <w:b/>
                <w:bCs/>
                <w:i/>
              </w:rPr>
              <w:t>Agriculture and Related Resources Protection Act 1976</w:t>
            </w:r>
            <w:r>
              <w:rPr>
                <w:b/>
                <w:bCs/>
              </w:rPr>
              <w:t xml:space="preserve"> as at 17 Oct 2014</w:t>
            </w:r>
            <w:r>
              <w:t xml:space="preserve"> (includes amendments listed above)</w:t>
            </w:r>
          </w:p>
        </w:tc>
      </w:tr>
    </w:tbl>
    <w:p>
      <w:pPr>
        <w:pStyle w:val="nSubsection"/>
        <w:spacing w:before="360"/>
        <w:ind w:left="482" w:hanging="482"/>
      </w:pPr>
      <w:r>
        <w:rPr>
          <w:vertAlign w:val="superscript"/>
        </w:rPr>
        <w:t>1a</w:t>
      </w:r>
      <w:r>
        <w:tab/>
        <w:t>On the date as at which thi</w:t>
      </w:r>
      <w:bookmarkStart w:id="158" w:name="_Hlt507390729"/>
      <w:bookmarkEnd w:id="158"/>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159" w:name="_Toc402516123"/>
      <w:bookmarkStart w:id="160" w:name="_Toc412558221"/>
      <w:r>
        <w:t>Provisions that have not come into operation</w:t>
      </w:r>
      <w:bookmarkEnd w:id="159"/>
      <w:bookmarkEnd w:id="1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snapToGrid w:val="0"/>
              </w:rPr>
              <w:t xml:space="preserve">State Superannuation (Transitional and Consequential Provisions) Act 2000 </w:t>
            </w:r>
            <w:r>
              <w:rPr>
                <w:snapToGrid w:val="0"/>
              </w:rPr>
              <w:t>s. 27 </w:t>
            </w:r>
            <w:r>
              <w:rPr>
                <w:snapToGrid w:val="0"/>
                <w:vertAlign w:val="superscript"/>
              </w:rPr>
              <w:t>12</w:t>
            </w:r>
          </w:p>
        </w:tc>
        <w:tc>
          <w:tcPr>
            <w:tcW w:w="1134" w:type="dxa"/>
            <w:tcBorders>
              <w:top w:val="single" w:sz="8" w:space="0" w:color="auto"/>
            </w:tcBorders>
          </w:tcPr>
          <w:p>
            <w:pPr>
              <w:pStyle w:val="nTable"/>
              <w:keepNext/>
              <w:spacing w:after="40"/>
            </w:pPr>
            <w:r>
              <w:t>43 of 2000</w:t>
            </w:r>
          </w:p>
        </w:tc>
        <w:tc>
          <w:tcPr>
            <w:tcW w:w="1134" w:type="dxa"/>
            <w:tcBorders>
              <w:top w:val="single" w:sz="8" w:space="0" w:color="auto"/>
            </w:tcBorders>
          </w:tcPr>
          <w:p>
            <w:pPr>
              <w:pStyle w:val="nTable"/>
              <w:keepNext/>
              <w:spacing w:after="40"/>
            </w:pPr>
            <w:r>
              <w:t>2 Nov 2000</w:t>
            </w:r>
          </w:p>
        </w:tc>
        <w:tc>
          <w:tcPr>
            <w:tcW w:w="2551" w:type="dxa"/>
            <w:tcBorders>
              <w:top w:val="single" w:sz="8" w:space="0" w:color="auto"/>
            </w:tcBorders>
          </w:tcPr>
          <w:p>
            <w:pPr>
              <w:pStyle w:val="nTable"/>
              <w:keepNext/>
              <w:spacing w:after="40"/>
            </w:pPr>
            <w:r>
              <w:t>To be proclaimed (see s. 2(2))</w:t>
            </w:r>
          </w:p>
        </w:tc>
      </w:tr>
      <w:tr>
        <w:trPr>
          <w:cantSplit/>
        </w:trPr>
        <w:tc>
          <w:tcPr>
            <w:tcW w:w="2268" w:type="dxa"/>
          </w:tcPr>
          <w:p>
            <w:pPr>
              <w:pStyle w:val="nTable"/>
              <w:spacing w:after="40"/>
              <w:ind w:right="113"/>
              <w:rPr>
                <w:vertAlign w:val="superscript"/>
              </w:rPr>
            </w:pPr>
            <w:r>
              <w:rPr>
                <w:i/>
                <w:snapToGrid w:val="0"/>
              </w:rPr>
              <w:t xml:space="preserve">Road Traffic Legislation Amendment Act 2012 </w:t>
            </w:r>
            <w:r>
              <w:rPr>
                <w:snapToGrid w:val="0"/>
              </w:rPr>
              <w:t>Pt. 4 Div. 1</w:t>
            </w:r>
            <w:r>
              <w:rPr>
                <w:vertAlign w:val="superscript"/>
              </w:rPr>
              <w:t> 13</w:t>
            </w:r>
          </w:p>
        </w:tc>
        <w:tc>
          <w:tcPr>
            <w:tcW w:w="1134" w:type="dxa"/>
          </w:tcPr>
          <w:p>
            <w:pPr>
              <w:pStyle w:val="nTable"/>
              <w:keepNext/>
              <w:spacing w:after="40"/>
              <w:rPr>
                <w:snapToGrid w:val="0"/>
              </w:rPr>
            </w:pPr>
            <w:r>
              <w:rPr>
                <w:snapToGrid w:val="0"/>
              </w:rPr>
              <w:t>8 of 2012</w:t>
            </w:r>
          </w:p>
        </w:tc>
        <w:tc>
          <w:tcPr>
            <w:tcW w:w="1134" w:type="dxa"/>
          </w:tcPr>
          <w:p>
            <w:pPr>
              <w:pStyle w:val="nTable"/>
              <w:keepNext/>
              <w:spacing w:after="40"/>
              <w:rPr>
                <w:snapToGrid w:val="0"/>
              </w:rPr>
            </w:pPr>
            <w:r>
              <w:rPr>
                <w:snapToGrid w:val="0"/>
              </w:rPr>
              <w:t>21 May 2012</w:t>
            </w:r>
          </w:p>
        </w:tc>
        <w:tc>
          <w:tcPr>
            <w:tcW w:w="2551" w:type="dxa"/>
          </w:tcPr>
          <w:p>
            <w:pPr>
              <w:pStyle w:val="nTable"/>
              <w:keepNext/>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rPr>
          <w:cantSplit/>
        </w:trPr>
        <w:tc>
          <w:tcPr>
            <w:tcW w:w="2268" w:type="dxa"/>
            <w:tcBorders>
              <w:bottom w:val="single" w:sz="8" w:space="0" w:color="auto"/>
            </w:tcBorders>
            <w:shd w:val="clear" w:color="auto" w:fill="auto"/>
          </w:tcPr>
          <w:p>
            <w:pPr>
              <w:pStyle w:val="nTable"/>
              <w:spacing w:after="40"/>
              <w:ind w:right="113"/>
              <w:rPr>
                <w:snapToGrid w:val="0"/>
              </w:rPr>
            </w:pPr>
            <w:r>
              <w:rPr>
                <w:i/>
                <w:snapToGrid w:val="0"/>
              </w:rPr>
              <w:t>Commercial Arbitration Act 2012</w:t>
            </w:r>
            <w:r>
              <w:rPr>
                <w:snapToGrid w:val="0"/>
              </w:rPr>
              <w:t xml:space="preserve"> s. 45 it. 1</w:t>
            </w:r>
            <w:r>
              <w:rPr>
                <w:snapToGrid w:val="0"/>
                <w:vertAlign w:val="superscript"/>
              </w:rPr>
              <w:t> 14</w:t>
            </w:r>
          </w:p>
        </w:tc>
        <w:tc>
          <w:tcPr>
            <w:tcW w:w="1134" w:type="dxa"/>
            <w:tcBorders>
              <w:bottom w:val="single" w:sz="8" w:space="0" w:color="auto"/>
            </w:tcBorders>
            <w:shd w:val="clear" w:color="auto" w:fill="auto"/>
          </w:tcPr>
          <w:p>
            <w:pPr>
              <w:pStyle w:val="nTable"/>
              <w:keepNext/>
              <w:spacing w:after="40"/>
              <w:rPr>
                <w:snapToGrid w:val="0"/>
              </w:rPr>
            </w:pPr>
            <w:r>
              <w:rPr>
                <w:snapToGrid w:val="0"/>
              </w:rPr>
              <w:t>23 of 2012</w:t>
            </w:r>
          </w:p>
        </w:tc>
        <w:tc>
          <w:tcPr>
            <w:tcW w:w="1134" w:type="dxa"/>
            <w:tcBorders>
              <w:bottom w:val="single" w:sz="8" w:space="0" w:color="auto"/>
            </w:tcBorders>
            <w:shd w:val="clear" w:color="auto" w:fill="auto"/>
          </w:tcPr>
          <w:p>
            <w:pPr>
              <w:pStyle w:val="nTable"/>
              <w:keepNext/>
              <w:spacing w:after="40"/>
              <w:rPr>
                <w:snapToGrid w:val="0"/>
              </w:rPr>
            </w:pPr>
            <w:r>
              <w:rPr>
                <w:snapToGrid w:val="0"/>
              </w:rPr>
              <w:t>29 Aug 2012</w:t>
            </w:r>
          </w:p>
        </w:tc>
        <w:tc>
          <w:tcPr>
            <w:tcW w:w="2551" w:type="dxa"/>
            <w:tcBorders>
              <w:bottom w:val="single" w:sz="8" w:space="0" w:color="auto"/>
            </w:tcBorders>
            <w:shd w:val="clear" w:color="auto" w:fill="auto"/>
          </w:tcPr>
          <w:p>
            <w:pPr>
              <w:pStyle w:val="nTable"/>
              <w:keepNext/>
              <w:spacing w:after="40"/>
              <w:rPr>
                <w:snapToGrid w:val="0"/>
              </w:rPr>
            </w:pPr>
            <w:r>
              <w:rPr>
                <w:snapToGrid w:val="0"/>
              </w:rPr>
              <w:t>To be proclaimed (see s. 1B(b))</w:t>
            </w:r>
          </w:p>
        </w:tc>
      </w:tr>
    </w:tbl>
    <w:p>
      <w:pPr>
        <w:pStyle w:val="nSubsection"/>
        <w:spacing w:before="160"/>
        <w:rPr>
          <w:i/>
          <w:snapToGrid w:val="0"/>
        </w:rPr>
      </w:pPr>
      <w:r>
        <w:rPr>
          <w:snapToGrid w:val="0"/>
          <w:vertAlign w:val="superscript"/>
        </w:rPr>
        <w:t>2</w:t>
      </w:r>
      <w:r>
        <w:rPr>
          <w:snapToGrid w:val="0"/>
        </w:rPr>
        <w:tab/>
      </w:r>
      <w:r>
        <w:t xml:space="preserve">On the date as at which this reprint was prepared, </w:t>
      </w:r>
      <w:r>
        <w:rPr>
          <w:snapToGrid w:val="0"/>
        </w:rPr>
        <w:t xml:space="preserve">the </w:t>
      </w:r>
      <w:r>
        <w:rPr>
          <w:i/>
          <w:snapToGrid w:val="0"/>
        </w:rPr>
        <w:t>Biosecurity and Agriculture Management (Repeal and Consequential Provisions) Act 2007</w:t>
      </w:r>
      <w:r>
        <w:rPr>
          <w:iCs/>
          <w:snapToGrid w:val="0"/>
        </w:rPr>
        <w:t xml:space="preserve"> s. 27 was in force. It reads as follows:</w:t>
      </w:r>
    </w:p>
    <w:p>
      <w:pPr>
        <w:pStyle w:val="BlankOpen"/>
      </w:pPr>
    </w:p>
    <w:p>
      <w:pPr>
        <w:pStyle w:val="nzHeading5"/>
      </w:pPr>
      <w:r>
        <w:rPr>
          <w:rStyle w:val="CharSectno"/>
        </w:rPr>
        <w:t>27</w:t>
      </w:r>
      <w:r>
        <w:t>.</w:t>
      </w:r>
      <w:r>
        <w:tab/>
        <w:t>Repeal</w:t>
      </w:r>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BlankClose"/>
        <w:rPr>
          <w:sz w:val="18"/>
          <w:szCs w:val="18"/>
        </w:rPr>
      </w:pPr>
    </w:p>
    <w:p>
      <w:pPr>
        <w:pStyle w:val="nSubsection"/>
      </w:pPr>
      <w:r>
        <w:tab/>
        <w:t>For proclamations repealing provisions of this Act s</w:t>
      </w:r>
      <w:r>
        <w:rPr>
          <w:iCs/>
          <w:snapToGrid w:val="0"/>
        </w:rPr>
        <w:t xml:space="preserve">ee </w:t>
      </w:r>
      <w:r>
        <w:rPr>
          <w:i/>
          <w:iCs/>
          <w:snapToGrid w:val="0"/>
        </w:rPr>
        <w:t xml:space="preserve">Gazettes </w:t>
      </w:r>
      <w:r>
        <w:rPr>
          <w:snapToGrid w:val="0"/>
          <w:sz w:val="19"/>
          <w:szCs w:val="19"/>
        </w:rPr>
        <w:t>5 Feb 2013 p. 824 and 4 Jul 2014 p. 2359.</w:t>
      </w:r>
    </w:p>
    <w:p>
      <w:pPr>
        <w:pStyle w:val="nSubsection"/>
        <w:spacing w:before="160"/>
        <w:rPr>
          <w:snapToGrid w:val="0"/>
        </w:rPr>
      </w:pPr>
      <w:r>
        <w:rPr>
          <w:snapToGrid w:val="0"/>
          <w:vertAlign w:val="superscript"/>
        </w:rPr>
        <w:t>3</w:t>
      </w:r>
      <w:r>
        <w:rPr>
          <w:snapToGrid w:val="0"/>
        </w:rPr>
        <w:tab/>
        <w:t xml:space="preserve">Repealed by the </w:t>
      </w:r>
      <w:r>
        <w:rPr>
          <w:i/>
          <w:snapToGrid w:val="0"/>
        </w:rPr>
        <w:t>Mining Act 1978</w:t>
      </w:r>
      <w:r>
        <w:rPr>
          <w:snapToGrid w:val="0"/>
        </w:rPr>
        <w:t>.</w:t>
      </w:r>
    </w:p>
    <w:p>
      <w:pPr>
        <w:pStyle w:val="nSubsection"/>
      </w:pPr>
      <w:r>
        <w:rPr>
          <w:vertAlign w:val="superscript"/>
        </w:rPr>
        <w:t>4</w:t>
      </w:r>
      <w:r>
        <w:tab/>
        <w:t xml:space="preserve">Repealed by the </w:t>
      </w:r>
      <w:r>
        <w:rPr>
          <w:i/>
        </w:rPr>
        <w:t>Interpretation Act 1984</w:t>
      </w:r>
      <w:r>
        <w:t>.</w:t>
      </w:r>
    </w:p>
    <w:p>
      <w:pPr>
        <w:pStyle w:val="nSubsection"/>
      </w:pPr>
      <w:r>
        <w:rPr>
          <w:vertAlign w:val="superscript"/>
        </w:rPr>
        <w:t>5</w:t>
      </w:r>
      <w:r>
        <w:tab/>
      </w:r>
      <w:r>
        <w:rPr>
          <w:snapToGrid w:val="0"/>
        </w:rPr>
        <w:t xml:space="preserve">Repealed by the </w:t>
      </w:r>
      <w:r>
        <w:rPr>
          <w:i/>
          <w:snapToGrid w:val="0"/>
        </w:rPr>
        <w:t>Biosecurity and Agriculture Management (Repeal and Consequential Provisions) Act 2007.</w:t>
      </w:r>
    </w:p>
    <w:p>
      <w:pPr>
        <w:pStyle w:val="nSubsection"/>
      </w:pPr>
      <w:r>
        <w:rPr>
          <w:vertAlign w:val="superscript"/>
        </w:rPr>
        <w:t>6</w:t>
      </w:r>
      <w:r>
        <w:tab/>
        <w:t xml:space="preserve">The </w:t>
      </w:r>
      <w:r>
        <w:rPr>
          <w:i/>
        </w:rPr>
        <w:t>Agricultural and Related Resources Protection Amendment Act 1986</w:t>
      </w:r>
      <w:r>
        <w:t xml:space="preserve"> s. 8 is a transitional provision that is of no further effect.</w:t>
      </w:r>
    </w:p>
    <w:p>
      <w:pPr>
        <w:pStyle w:val="nSubsection"/>
      </w:pPr>
      <w:r>
        <w:rPr>
          <w:vertAlign w:val="superscript"/>
        </w:rPr>
        <w:t>7</w:t>
      </w:r>
      <w:r>
        <w:tab/>
        <w:t xml:space="preserve">The </w:t>
      </w:r>
      <w:r>
        <w:rPr>
          <w:i/>
        </w:rPr>
        <w:t>Taxation Administration (Consequential Provisions) Act 2002</w:t>
      </w:r>
      <w:r>
        <w:t xml:space="preserve"> s. 3, 4 and Pt. 4 are transitional provisions that are of no further effect.</w:t>
      </w:r>
    </w:p>
    <w:p>
      <w:pPr>
        <w:pStyle w:val="nSubsection"/>
        <w:rPr>
          <w:snapToGrid w:val="0"/>
        </w:rPr>
      </w:pPr>
      <w:r>
        <w:rPr>
          <w:vertAlign w:val="superscript"/>
        </w:rPr>
        <w:t>8</w:t>
      </w:r>
      <w:r>
        <w:tab/>
      </w:r>
      <w:r>
        <w:rPr>
          <w:snapToGrid w:val="0"/>
        </w:rPr>
        <w:t xml:space="preserve">The </w:t>
      </w:r>
      <w:r>
        <w:rPr>
          <w:i/>
          <w:iCs/>
          <w:snapToGrid w:val="0"/>
        </w:rPr>
        <w:t>Courts Legislation Amendment and Repeal Act 2004</w:t>
      </w:r>
      <w:r>
        <w:rPr>
          <w:snapToGrid w:val="0"/>
        </w:rPr>
        <w:t xml:space="preserve"> Sch. 2 cl. 4 was deleted by the </w:t>
      </w:r>
      <w:r>
        <w:rPr>
          <w:i/>
          <w:iCs/>
          <w:snapToGrid w:val="0"/>
        </w:rPr>
        <w:t>Criminal Law and Evidence Amendment Act 2008</w:t>
      </w:r>
      <w:r>
        <w:rPr>
          <w:snapToGrid w:val="0"/>
        </w:rPr>
        <w:t xml:space="preserve"> s. 77(13).</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10</w:t>
      </w:r>
      <w:r>
        <w:tab/>
        <w:t xml:space="preserve">The </w:t>
      </w:r>
      <w:r>
        <w:rPr>
          <w:i/>
          <w:iCs/>
        </w:rPr>
        <w:t>Machinery of Government (Miscellaneous Amendments) Act 2006</w:t>
      </w:r>
      <w:r>
        <w:t xml:space="preserve"> Pt. 4 Div. 23 has transitional provisions some of which may be relevant to this Act.</w:t>
      </w:r>
    </w:p>
    <w:p>
      <w:pPr>
        <w:pStyle w:val="nSubsection"/>
        <w:rPr>
          <w:snapToGrid w:val="0"/>
        </w:rPr>
      </w:pPr>
      <w:r>
        <w:rPr>
          <w:snapToGrid w:val="0"/>
          <w:vertAlign w:val="superscript"/>
        </w:rPr>
        <w:t>11</w:t>
      </w:r>
      <w:r>
        <w:rPr>
          <w:snapToGrid w:val="0"/>
        </w:rPr>
        <w:tab/>
        <w:t xml:space="preserve">The </w:t>
      </w:r>
      <w:r>
        <w:rPr>
          <w:i/>
          <w:snapToGrid w:val="0"/>
        </w:rPr>
        <w:t>Biosecurity and Agriculture Management (Repeal and Consequential Provisions) Act 2007</w:t>
      </w:r>
      <w:r>
        <w:rPr>
          <w:iCs/>
          <w:snapToGrid w:val="0"/>
        </w:rPr>
        <w:t xml:space="preserve"> Pt. 2 Div. 6 Subdiv. 2 (as amended by the </w:t>
      </w:r>
      <w:r>
        <w:rPr>
          <w:i/>
          <w:snapToGrid w:val="0"/>
        </w:rPr>
        <w:t>Agriculture and Related Resources Protection Amendment Act 2010</w:t>
      </w:r>
      <w:r>
        <w:rPr>
          <w:iCs/>
          <w:snapToGrid w:val="0"/>
        </w:rPr>
        <w:t xml:space="preserve"> s. 60) </w:t>
      </w:r>
      <w:r>
        <w:rPr>
          <w:snapToGrid w:val="0"/>
        </w:rPr>
        <w:t>reads as follows:</w:t>
      </w:r>
    </w:p>
    <w:p>
      <w:pPr>
        <w:pStyle w:val="BlankOpen"/>
        <w:rPr>
          <w:sz w:val="20"/>
          <w:szCs w:val="20"/>
        </w:rPr>
      </w:pPr>
    </w:p>
    <w:p>
      <w:pPr>
        <w:pStyle w:val="nzHeading4"/>
      </w:pPr>
      <w:r>
        <w:t>Subdivision 2 — Transitional and savings provisions</w:t>
      </w:r>
    </w:p>
    <w:p>
      <w:pPr>
        <w:pStyle w:val="nzHeading5"/>
      </w:pPr>
      <w:r>
        <w:rPr>
          <w:rStyle w:val="CharSectno"/>
        </w:rPr>
        <w:t>30</w:t>
      </w:r>
      <w:r>
        <w:t>.</w:t>
      </w:r>
      <w:r>
        <w:tab/>
        <w:t>Meaning of terms used in this Subdivision</w:t>
      </w:r>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 V Division 6 is repealed;</w:t>
      </w:r>
    </w:p>
    <w:p>
      <w:pPr>
        <w:pStyle w:val="nzDefstart"/>
      </w:pPr>
      <w:r>
        <w:rPr>
          <w:b/>
        </w:rPr>
        <w:tab/>
      </w:r>
      <w:r>
        <w:rPr>
          <w:rStyle w:val="CharDefText"/>
        </w:rPr>
        <w:t>repealed Act</w:t>
      </w:r>
      <w:r>
        <w:t xml:space="preserve"> means the </w:t>
      </w:r>
      <w:r>
        <w:rPr>
          <w:i/>
          <w:iCs/>
        </w:rPr>
        <w:t>Agriculture and Related Resources Protection Act 1976</w:t>
      </w:r>
      <w:r>
        <w:t>.</w:t>
      </w:r>
    </w:p>
    <w:p>
      <w:pPr>
        <w:pStyle w:val="nzMiscellaneousBody"/>
        <w:tabs>
          <w:tab w:val="left" w:pos="1440"/>
        </w:tabs>
        <w:rPr>
          <w:i/>
          <w:iCs/>
        </w:rPr>
      </w:pPr>
      <w:r>
        <w:rPr>
          <w:i/>
          <w:iCs/>
        </w:rPr>
        <w:tab/>
        <w:t>[Section 30 amended by No. 46 of 2010 s. 60.]</w:t>
      </w:r>
    </w:p>
    <w:p>
      <w:pPr>
        <w:pStyle w:val="nzHeading5"/>
      </w:pPr>
      <w:r>
        <w:rPr>
          <w:rStyle w:val="CharSectno"/>
        </w:rPr>
        <w:t>31</w:t>
      </w:r>
      <w:r>
        <w:t>.</w:t>
      </w:r>
      <w:r>
        <w:tab/>
        <w:t>Rates on pastoral leases</w:t>
      </w:r>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BlankClose"/>
      </w:pPr>
    </w:p>
    <w:p>
      <w:pPr>
        <w:pStyle w:val="nSubsection"/>
        <w:pageBreakBefore/>
        <w:spacing w:before="0"/>
      </w:pPr>
      <w:r>
        <w:rPr>
          <w:snapToGrid w:val="0"/>
          <w:vertAlign w:val="superscript"/>
        </w:rPr>
        <w:t>12</w:t>
      </w:r>
      <w:r>
        <w:rPr>
          <w:snapToGrid w:val="0"/>
        </w:rPr>
        <w:tab/>
        <w:t xml:space="preserve">On the date as at which this reprint was prepared, the </w:t>
      </w:r>
      <w:r>
        <w:rPr>
          <w:i/>
          <w:snapToGrid w:val="0"/>
        </w:rPr>
        <w:t xml:space="preserve">State Superannuation (Transitional and Consequential Provisions) Act 2000 </w:t>
      </w:r>
      <w:r>
        <w:rPr>
          <w:snapToGrid w:val="0"/>
        </w:rPr>
        <w:t>s. 27 had not come into operation.  It reads as follows:</w:t>
      </w:r>
    </w:p>
    <w:p>
      <w:pPr>
        <w:pStyle w:val="BlankOpen"/>
        <w:rPr>
          <w:snapToGrid w:val="0"/>
        </w:rPr>
      </w:pPr>
    </w:p>
    <w:p>
      <w:pPr>
        <w:pStyle w:val="nzHeading5"/>
      </w:pPr>
      <w:r>
        <w:rPr>
          <w:rStyle w:val="CharSectno"/>
        </w:rPr>
        <w:t>27</w:t>
      </w:r>
      <w:r>
        <w:t>.</w:t>
      </w:r>
      <w:r>
        <w:tab/>
      </w:r>
      <w:r>
        <w:rPr>
          <w:i/>
        </w:rPr>
        <w:t>Agriculture and Related Resources Protection Act 1976</w:t>
      </w:r>
      <w:r>
        <w:t xml:space="preserve"> amended</w:t>
      </w:r>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BlankClose"/>
      </w:pPr>
    </w:p>
    <w:p>
      <w:pPr>
        <w:pStyle w:val="nSubsection"/>
        <w:spacing w:before="0"/>
        <w:rPr>
          <w:snapToGrid w:val="0"/>
        </w:rPr>
      </w:pPr>
      <w:r>
        <w:rPr>
          <w:snapToGrid w:val="0"/>
        </w:rPr>
        <w:tab/>
        <w:t>The section that it seeks to amend has been deleted.</w:t>
      </w:r>
    </w:p>
    <w:p>
      <w:pPr>
        <w:pStyle w:val="nSubsection"/>
        <w:keepNext/>
        <w:keepLines/>
        <w:rPr>
          <w:snapToGrid w:val="0"/>
        </w:rPr>
      </w:pPr>
      <w:r>
        <w:rPr>
          <w:snapToGrid w:val="0"/>
          <w:vertAlign w:val="superscript"/>
        </w:rPr>
        <w:t>13</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1 had not come into operation.  It reads as follows:</w:t>
      </w:r>
    </w:p>
    <w:p>
      <w:pPr>
        <w:pStyle w:val="BlankOpen"/>
        <w:rPr>
          <w:snapToGrid w:val="0"/>
        </w:rPr>
      </w:pPr>
    </w:p>
    <w:p>
      <w:pPr>
        <w:pStyle w:val="nzHeading3"/>
      </w:pPr>
      <w:r>
        <w:rPr>
          <w:rStyle w:val="CharDivNo"/>
        </w:rPr>
        <w:t>Division 1</w:t>
      </w:r>
      <w:r>
        <w:t> — </w:t>
      </w:r>
      <w:r>
        <w:rPr>
          <w:rStyle w:val="CharDivText"/>
          <w:i/>
          <w:iCs/>
        </w:rPr>
        <w:t>Agriculture and Related Resources Protection Act 1976</w:t>
      </w:r>
      <w:r>
        <w:rPr>
          <w:rStyle w:val="CharDivText"/>
        </w:rPr>
        <w:t xml:space="preserve"> amended</w:t>
      </w:r>
    </w:p>
    <w:p>
      <w:pPr>
        <w:pStyle w:val="nzHeading5"/>
        <w:rPr>
          <w:snapToGrid w:val="0"/>
        </w:rPr>
      </w:pPr>
      <w:r>
        <w:rPr>
          <w:rStyle w:val="CharSectno"/>
        </w:rPr>
        <w:t>39</w:t>
      </w:r>
      <w:r>
        <w:rPr>
          <w:snapToGrid w:val="0"/>
        </w:rPr>
        <w:t>.</w:t>
      </w:r>
      <w:r>
        <w:rPr>
          <w:snapToGrid w:val="0"/>
        </w:rPr>
        <w:tab/>
        <w:t>Act amended</w:t>
      </w:r>
    </w:p>
    <w:p>
      <w:pPr>
        <w:pStyle w:val="nzSubsection"/>
      </w:pPr>
      <w:r>
        <w:tab/>
      </w:r>
      <w:r>
        <w:tab/>
        <w:t xml:space="preserve">This Division amends the </w:t>
      </w:r>
      <w:r>
        <w:rPr>
          <w:i/>
        </w:rPr>
        <w:t>Agriculture and Related Resources Protection Act 1976</w:t>
      </w:r>
      <w:r>
        <w:t>.</w:t>
      </w:r>
    </w:p>
    <w:p>
      <w:pPr>
        <w:pStyle w:val="nzHeading5"/>
      </w:pPr>
      <w:r>
        <w:rPr>
          <w:rStyle w:val="CharSectno"/>
        </w:rPr>
        <w:t>40</w:t>
      </w:r>
      <w:r>
        <w:t>.</w:t>
      </w:r>
      <w:r>
        <w:tab/>
        <w:t>Section 7 amended</w:t>
      </w:r>
    </w:p>
    <w:p>
      <w:pPr>
        <w:pStyle w:val="nzSubsection"/>
      </w:pPr>
      <w:r>
        <w:tab/>
      </w:r>
      <w:r>
        <w:tab/>
        <w:t xml:space="preserve">In section 7(1) in the definition of </w:t>
      </w:r>
      <w:r>
        <w:rPr>
          <w:b/>
          <w:bCs/>
          <w:i/>
          <w:iCs/>
        </w:rPr>
        <w:t>vehicle</w:t>
      </w:r>
      <w:r>
        <w:t xml:space="preserve"> delete “ascribed to that term in and for the purposes of the </w:t>
      </w:r>
      <w:r>
        <w:rPr>
          <w:i/>
        </w:rPr>
        <w:t>Road Traffic Act 1974</w:t>
      </w:r>
      <w:r>
        <w:rPr>
          <w:iCs/>
        </w:rPr>
        <w:t>;</w:t>
      </w:r>
      <w:r>
        <w:t>” and insert:</w:t>
      </w:r>
    </w:p>
    <w:p>
      <w:pPr>
        <w:pStyle w:val="BlankOpen"/>
      </w:pPr>
    </w:p>
    <w:p>
      <w:pPr>
        <w:pStyle w:val="nzDefstart"/>
      </w:pPr>
      <w:r>
        <w:tab/>
        <w:t xml:space="preserve">given in the </w:t>
      </w:r>
      <w:r>
        <w:rPr>
          <w:i/>
          <w:iCs/>
        </w:rPr>
        <w:t>Road Traffic (Administration) Act 2008</w:t>
      </w:r>
      <w:r>
        <w:t xml:space="preserve"> section 4;</w:t>
      </w:r>
    </w:p>
    <w:p>
      <w:pPr>
        <w:pStyle w:val="BlankClose"/>
      </w:pPr>
    </w:p>
    <w:p>
      <w:pPr>
        <w:pStyle w:val="nSubsection"/>
        <w:keepLines/>
        <w:rPr>
          <w:snapToGrid w:val="0"/>
        </w:rPr>
      </w:pPr>
      <w:r>
        <w:rPr>
          <w:snapToGrid w:val="0"/>
          <w:vertAlign w:val="superscript"/>
        </w:rPr>
        <w:t>14</w:t>
      </w:r>
      <w:r>
        <w:rPr>
          <w:snapToGrid w:val="0"/>
        </w:rPr>
        <w:tab/>
      </w:r>
      <w:r>
        <w:t xml:space="preserve">On the date as at which this reprint was prepared, </w:t>
      </w:r>
      <w:r>
        <w:rPr>
          <w:snapToGrid w:val="0"/>
        </w:rPr>
        <w:t xml:space="preserve">the </w:t>
      </w:r>
      <w:r>
        <w:rPr>
          <w:i/>
          <w:snapToGrid w:val="0"/>
        </w:rPr>
        <w:t xml:space="preserve">Commercial Arbitration Act 2012 </w:t>
      </w:r>
      <w:r>
        <w:rPr>
          <w:snapToGrid w:val="0"/>
        </w:rPr>
        <w:t>s. 45 Table it. 1 had not come into operation.  It reads as follows:</w:t>
      </w:r>
    </w:p>
    <w:p>
      <w:pPr>
        <w:pStyle w:val="BlankOpen"/>
        <w:rPr>
          <w:snapToGrid w:val="0"/>
        </w:rPr>
      </w:pPr>
    </w:p>
    <w:p>
      <w:pPr>
        <w:pStyle w:val="nzHeading5"/>
      </w:pPr>
      <w:r>
        <w:rPr>
          <w:rStyle w:val="CharSectno"/>
        </w:rPr>
        <w:t>45</w:t>
      </w:r>
      <w:r>
        <w:t>.</w:t>
      </w:r>
      <w:r>
        <w:tab/>
        <w:t>Acts amended</w:t>
      </w:r>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Cs w:val="24"/>
        </w:rPr>
      </w:pPr>
      <w:r>
        <w:rPr>
          <w:szCs w:val="24"/>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1.</w:t>
            </w:r>
            <w:r>
              <w:rPr>
                <w:b/>
                <w:bCs/>
                <w:sz w:val="20"/>
              </w:rPr>
              <w:tab/>
            </w:r>
            <w:r>
              <w:rPr>
                <w:b/>
                <w:bCs/>
                <w:i/>
                <w:sz w:val="20"/>
              </w:rPr>
              <w:t>Agriculture and Related Resources Protection Act 1976</w:t>
            </w:r>
          </w:p>
        </w:tc>
      </w:tr>
      <w:tr>
        <w:trPr>
          <w:cantSplit/>
          <w:jc w:val="center"/>
        </w:trPr>
        <w:tc>
          <w:tcPr>
            <w:tcW w:w="2267" w:type="dxa"/>
          </w:tcPr>
          <w:p>
            <w:pPr>
              <w:pStyle w:val="TableAm"/>
              <w:rPr>
                <w:sz w:val="20"/>
              </w:rPr>
            </w:pPr>
            <w:r>
              <w:rPr>
                <w:sz w:val="20"/>
              </w:rPr>
              <w:t>s. 106(1)(g)</w:t>
            </w:r>
          </w:p>
        </w:tc>
        <w:tc>
          <w:tcPr>
            <w:tcW w:w="2268" w:type="dxa"/>
          </w:tcPr>
          <w:p>
            <w:pPr>
              <w:pStyle w:val="TableAm"/>
              <w:rPr>
                <w:sz w:val="20"/>
              </w:rPr>
            </w:pPr>
            <w:r>
              <w:rPr>
                <w:i/>
                <w:iCs/>
                <w:sz w:val="20"/>
              </w:rPr>
              <w:t>Arbitration Act 1895</w:t>
            </w:r>
          </w:p>
        </w:tc>
        <w:tc>
          <w:tcPr>
            <w:tcW w:w="2268" w:type="dxa"/>
          </w:tcPr>
          <w:p>
            <w:pPr>
              <w:pStyle w:val="TableAm"/>
              <w:rPr>
                <w:sz w:val="20"/>
              </w:rPr>
            </w:pPr>
            <w:r>
              <w:rPr>
                <w:i/>
                <w:iCs/>
                <w:sz w:val="20"/>
              </w:rPr>
              <w:t>Commercial Arbitration Act 2012</w:t>
            </w:r>
          </w:p>
        </w:tc>
      </w:tr>
    </w:tbl>
    <w:p>
      <w:pPr>
        <w:pStyle w:val="BlankClose"/>
      </w:pPr>
    </w:p>
    <w:p>
      <w:pPr>
        <w:pStyle w:val="nSubsection"/>
        <w:spacing w:before="0"/>
        <w:rPr>
          <w:snapToGrid w:val="0"/>
        </w:rPr>
      </w:pPr>
      <w:r>
        <w:rPr>
          <w:snapToGrid w:val="0"/>
        </w:rPr>
        <w:tab/>
        <w:t>The section that it seeks to amend has been deleted.</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162" w:name="_Toc412558072"/>
      <w:bookmarkStart w:id="163" w:name="_Toc412558222"/>
      <w:r>
        <w:rPr>
          <w:sz w:val="28"/>
        </w:rPr>
        <w:t>Defined terms</w:t>
      </w:r>
      <w:bookmarkEnd w:id="162"/>
      <w:bookmarkEnd w:id="1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amending sections</w:t>
      </w:r>
      <w:r>
        <w:tab/>
        <w:t>124</w:t>
      </w:r>
    </w:p>
    <w:p>
      <w:pPr>
        <w:pStyle w:val="DefinedTerms"/>
      </w:pPr>
      <w:r>
        <w:t>animal</w:t>
      </w:r>
      <w:r>
        <w:tab/>
        <w:t>7(1)</w:t>
      </w:r>
    </w:p>
    <w:p>
      <w:pPr>
        <w:pStyle w:val="DefinedTerms"/>
      </w:pPr>
      <w:r>
        <w:t>area</w:t>
      </w:r>
      <w:r>
        <w:tab/>
        <w:t>36(5)</w:t>
      </w:r>
    </w:p>
    <w:p>
      <w:pPr>
        <w:pStyle w:val="DefinedTerms"/>
      </w:pPr>
      <w:r>
        <w:t>authorised person</w:t>
      </w:r>
      <w:r>
        <w:tab/>
        <w:t>7(1)</w:t>
      </w:r>
    </w:p>
    <w:p>
      <w:pPr>
        <w:pStyle w:val="DefinedTerms"/>
      </w:pPr>
      <w:r>
        <w:t>category</w:t>
      </w:r>
      <w:r>
        <w:tab/>
        <w:t>7(1)</w:t>
      </w:r>
    </w:p>
    <w:p>
      <w:pPr>
        <w:pStyle w:val="DefinedTerms"/>
      </w:pPr>
      <w:r>
        <w:t>class</w:t>
      </w:r>
      <w:r>
        <w:tab/>
        <w:t>7(1)</w:t>
      </w:r>
    </w:p>
    <w:p>
      <w:pPr>
        <w:pStyle w:val="DefinedTerms"/>
      </w:pPr>
      <w:r>
        <w:t>closure day</w:t>
      </w:r>
      <w:r>
        <w:tab/>
        <w:t>125(1)</w:t>
      </w:r>
    </w:p>
    <w:p>
      <w:pPr>
        <w:pStyle w:val="DefinedTerms"/>
      </w:pPr>
      <w:r>
        <w:t>commencement day</w:t>
      </w:r>
      <w:r>
        <w:tab/>
        <w:t>120</w:t>
      </w:r>
    </w:p>
    <w:p>
      <w:pPr>
        <w:pStyle w:val="DefinedTerms"/>
      </w:pPr>
      <w:r>
        <w:t>Commissioner</w:t>
      </w:r>
      <w:r>
        <w:tab/>
        <w:t>7(1)</w:t>
      </w:r>
    </w:p>
    <w:p>
      <w:pPr>
        <w:pStyle w:val="DefinedTerms"/>
      </w:pPr>
      <w:r>
        <w:t xml:space="preserve">control </w:t>
      </w:r>
      <w:r>
        <w:tab/>
        <w:t>7(1)</w:t>
      </w:r>
    </w:p>
    <w:p>
      <w:pPr>
        <w:pStyle w:val="DefinedTerms"/>
      </w:pPr>
      <w:r>
        <w:t>declaration</w:t>
      </w:r>
      <w:r>
        <w:tab/>
        <w:t>7(1)</w:t>
      </w:r>
    </w:p>
    <w:p>
      <w:pPr>
        <w:pStyle w:val="DefinedTerms"/>
      </w:pPr>
      <w:r>
        <w:t>declared animal</w:t>
      </w:r>
      <w:r>
        <w:tab/>
        <w:t>7(1)</w:t>
      </w:r>
    </w:p>
    <w:p>
      <w:pPr>
        <w:pStyle w:val="DefinedTerms"/>
      </w:pPr>
      <w:r>
        <w:t>Declared Pest Account</w:t>
      </w:r>
      <w:r>
        <w:tab/>
        <w:t>7(1)</w:t>
      </w:r>
    </w:p>
    <w:p>
      <w:pPr>
        <w:pStyle w:val="DefinedTerms"/>
      </w:pPr>
      <w:r>
        <w:t>declared plant</w:t>
      </w:r>
      <w:r>
        <w:tab/>
        <w:t>7(1)</w:t>
      </w:r>
    </w:p>
    <w:p>
      <w:pPr>
        <w:pStyle w:val="DefinedTerms"/>
      </w:pPr>
      <w:r>
        <w:t>department</w:t>
      </w:r>
      <w:r>
        <w:tab/>
        <w:t>7(1)</w:t>
      </w:r>
    </w:p>
    <w:p>
      <w:pPr>
        <w:pStyle w:val="DefinedTerms"/>
      </w:pPr>
      <w:r>
        <w:t>Director General</w:t>
      </w:r>
      <w:r>
        <w:tab/>
        <w:t>7(1)</w:t>
      </w:r>
    </w:p>
    <w:p>
      <w:pPr>
        <w:pStyle w:val="DefinedTerms"/>
      </w:pPr>
      <w:r>
        <w:t>document</w:t>
      </w:r>
      <w:r>
        <w:tab/>
        <w:t>93(1)</w:t>
      </w:r>
    </w:p>
    <w:p>
      <w:pPr>
        <w:pStyle w:val="DefinedTerms"/>
      </w:pPr>
      <w:r>
        <w:t>dwelling</w:t>
      </w:r>
      <w:r>
        <w:tab/>
        <w:t>58(1)</w:t>
      </w:r>
    </w:p>
    <w:p>
      <w:pPr>
        <w:pStyle w:val="DefinedTerms"/>
      </w:pPr>
      <w:r>
        <w:t>former account</w:t>
      </w:r>
      <w:r>
        <w:tab/>
        <w:t>125(1)</w:t>
      </w:r>
    </w:p>
    <w:p>
      <w:pPr>
        <w:pStyle w:val="DefinedTerms"/>
      </w:pPr>
      <w:r>
        <w:t>inspector</w:t>
      </w:r>
      <w:r>
        <w:tab/>
        <w:t>7(1)</w:t>
      </w:r>
    </w:p>
    <w:p>
      <w:pPr>
        <w:pStyle w:val="DefinedTerms"/>
      </w:pPr>
      <w:r>
        <w:t>occupier</w:t>
      </w:r>
      <w:r>
        <w:tab/>
        <w:t>7(1)</w:t>
      </w:r>
    </w:p>
    <w:p>
      <w:pPr>
        <w:pStyle w:val="DefinedTerms"/>
      </w:pPr>
      <w:r>
        <w:t>occupy</w:t>
      </w:r>
      <w:r>
        <w:tab/>
        <w:t>7(1)</w:t>
      </w:r>
    </w:p>
    <w:p>
      <w:pPr>
        <w:pStyle w:val="DefinedTerms"/>
      </w:pPr>
      <w:r>
        <w:t>operational work</w:t>
      </w:r>
      <w:r>
        <w:tab/>
        <w:t>57</w:t>
      </w:r>
    </w:p>
    <w:p>
      <w:pPr>
        <w:pStyle w:val="DefinedTerms"/>
      </w:pPr>
      <w:r>
        <w:t>own</w:t>
      </w:r>
      <w:r>
        <w:tab/>
        <w:t>7(1)</w:t>
      </w:r>
    </w:p>
    <w:p>
      <w:pPr>
        <w:pStyle w:val="DefinedTerms"/>
      </w:pPr>
      <w:r>
        <w:t>owner</w:t>
      </w:r>
      <w:r>
        <w:tab/>
        <w:t>7(1)</w:t>
      </w:r>
    </w:p>
    <w:p>
      <w:pPr>
        <w:pStyle w:val="DefinedTerms"/>
      </w:pPr>
      <w:r>
        <w:t>pastoral lease</w:t>
      </w:r>
      <w:r>
        <w:tab/>
        <w:t>7(1)</w:t>
      </w:r>
    </w:p>
    <w:p>
      <w:pPr>
        <w:pStyle w:val="DefinedTerms"/>
      </w:pPr>
      <w:r>
        <w:t>plant</w:t>
      </w:r>
      <w:r>
        <w:tab/>
        <w:t>7(1)</w:t>
      </w:r>
    </w:p>
    <w:p>
      <w:pPr>
        <w:pStyle w:val="DefinedTerms"/>
      </w:pPr>
      <w:r>
        <w:t>prohibited material</w:t>
      </w:r>
      <w:r>
        <w:tab/>
        <w:t>7(1)</w:t>
      </w:r>
    </w:p>
    <w:p>
      <w:pPr>
        <w:pStyle w:val="DefinedTerms"/>
      </w:pPr>
      <w:r>
        <w:t>Protection Board</w:t>
      </w:r>
      <w:r>
        <w:tab/>
        <w:t>120</w:t>
      </w:r>
    </w:p>
    <w:p>
      <w:pPr>
        <w:pStyle w:val="DefinedTerms"/>
      </w:pPr>
      <w:r>
        <w:t>serve</w:t>
      </w:r>
      <w:r>
        <w:tab/>
        <w:t>93(1)</w:t>
      </w:r>
    </w:p>
    <w:p>
      <w:pPr>
        <w:pStyle w:val="DefinedTerms"/>
      </w:pPr>
      <w:r>
        <w:t>specified</w:t>
      </w:r>
      <w:r>
        <w:tab/>
        <w:t>107(2), 129(5)</w:t>
      </w:r>
    </w:p>
    <w:p>
      <w:pPr>
        <w:pStyle w:val="DefinedTerms"/>
      </w:pPr>
      <w:r>
        <w:t>to declare</w:t>
      </w:r>
      <w:r>
        <w:tab/>
        <w:t>7(1)</w:t>
      </w:r>
    </w:p>
    <w:p>
      <w:pPr>
        <w:pStyle w:val="DefinedTerms"/>
      </w:pPr>
      <w:r>
        <w:t>train</w:t>
      </w:r>
      <w:r>
        <w:tab/>
        <w:t>7(1)</w:t>
      </w:r>
    </w:p>
    <w:p>
      <w:pPr>
        <w:pStyle w:val="DefinedTerms"/>
      </w:pPr>
      <w:r>
        <w:t>transitional matter</w:t>
      </w:r>
      <w:r>
        <w:tab/>
        <w:t>129(2)</w:t>
      </w:r>
    </w:p>
    <w:p>
      <w:pPr>
        <w:pStyle w:val="DefinedTerms"/>
      </w:pPr>
      <w:r>
        <w:t>vehicle</w:t>
      </w:r>
      <w:r>
        <w:tab/>
        <w:t>7(1)</w:t>
      </w:r>
    </w:p>
    <w:p>
      <w:pPr>
        <w:pStyle w:val="DefinedTerms"/>
      </w:pPr>
      <w:r>
        <w:t>watercourse</w:t>
      </w:r>
      <w:r>
        <w:tab/>
        <w:t>7(1)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Oct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Oct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47</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Act 1976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Act 1976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1" w:name="Compilation"/>
    <w:bookmarkEnd w:id="1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Act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Act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4" w:name="DefinedTerms"/>
    <w:bookmarkEnd w:id="1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5" w:name="Coversheet"/>
    <w:bookmarkEnd w:id="1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Act 1976</w:t>
          </w:r>
          <w:r>
            <w:rPr>
              <w:b/>
              <w:i/>
            </w:rPr>
            <w:fldChar w:fldCharType="end"/>
          </w:r>
        </w:p>
      </w:tc>
    </w:tr>
    <w:tr>
      <w:tc>
        <w:tcPr>
          <w:tcW w:w="1632" w:type="dxa"/>
        </w:tcPr>
        <w:p>
          <w:pPr>
            <w:pStyle w:val="Header"/>
            <w:spacing w:before="40"/>
          </w:pPr>
          <w:r>
            <w:rPr>
              <w:b/>
            </w:rPr>
            <w:fldChar w:fldCharType="begin"/>
          </w:r>
          <w:r>
            <w:rPr>
              <w:b/>
            </w:rPr>
            <w:instrText>styleref CharPartNo</w:instrText>
          </w:r>
          <w:r>
            <w:rPr>
              <w:b/>
            </w:rPr>
            <w:fldChar w:fldCharType="end"/>
          </w:r>
        </w:p>
      </w:tc>
      <w:tc>
        <w:tcPr>
          <w:tcW w:w="5631" w:type="dxa"/>
          <w:vAlign w:val="bottom"/>
        </w:tcPr>
        <w:p>
          <w:pPr>
            <w:pStyle w:val="Header"/>
            <w:spacing w:before="40"/>
          </w:pPr>
          <w:r>
            <w:fldChar w:fldCharType="begin"/>
          </w:r>
          <w:r>
            <w:instrText>styleref CharPartText</w:instrText>
          </w:r>
          <w:r>
            <w:fldChar w:fldCharType="end"/>
          </w:r>
        </w:p>
      </w:tc>
    </w:tr>
    <w:tr>
      <w:tc>
        <w:tcPr>
          <w:tcW w:w="1632" w:type="dxa"/>
        </w:tcPr>
        <w:p>
          <w:pPr>
            <w:pStyle w:val="Header"/>
            <w:spacing w:before="40"/>
          </w:pPr>
          <w:r>
            <w:rPr>
              <w:b/>
            </w:rPr>
            <w:fldChar w:fldCharType="begin"/>
          </w:r>
          <w:r>
            <w:rPr>
              <w:b/>
            </w:rPr>
            <w:instrText xml:space="preserve"> styleref CharDivNo </w:instrText>
          </w:r>
          <w:r>
            <w:rPr>
              <w:b/>
            </w:rPr>
            <w:fldChar w:fldCharType="end"/>
          </w:r>
        </w:p>
      </w:tc>
      <w:tc>
        <w:tcPr>
          <w:tcW w:w="563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Act 1976</w:t>
          </w:r>
          <w:r>
            <w:rPr>
              <w:b/>
              <w:i/>
            </w:rPr>
            <w:fldChar w:fldCharType="end"/>
          </w:r>
        </w:p>
      </w:tc>
    </w:tr>
    <w:tr>
      <w:tc>
        <w:tcPr>
          <w:tcW w:w="5459" w:type="dxa"/>
          <w:vAlign w:val="bottom"/>
        </w:tcPr>
        <w:p>
          <w:pPr>
            <w:pStyle w:val="Header"/>
            <w:spacing w:before="40"/>
            <w:jc w:val="right"/>
          </w:pPr>
          <w:r>
            <w:fldChar w:fldCharType="begin"/>
          </w:r>
          <w:r>
            <w:instrText>styleref CharPartText</w:instrText>
          </w:r>
          <w:r>
            <w:fldChar w:fldCharType="end"/>
          </w:r>
        </w:p>
      </w:tc>
      <w:tc>
        <w:tcPr>
          <w:tcW w:w="1804" w:type="dxa"/>
        </w:tcPr>
        <w:p>
          <w:pPr>
            <w:pStyle w:val="Header"/>
            <w:spacing w:before="40"/>
            <w:ind w:right="17"/>
            <w:jc w:val="right"/>
          </w:pPr>
          <w:r>
            <w:rPr>
              <w:b/>
            </w:rPr>
            <w:fldChar w:fldCharType="begin"/>
          </w:r>
          <w:r>
            <w:rPr>
              <w:b/>
            </w:rPr>
            <w:instrText>styleref CharPartNo</w:instrText>
          </w:r>
          <w:r>
            <w:rPr>
              <w:b/>
            </w:rPr>
            <w:fldChar w:fldCharType="end"/>
          </w:r>
        </w:p>
      </w:tc>
    </w:tr>
    <w:tr>
      <w:tc>
        <w:tcPr>
          <w:tcW w:w="5459" w:type="dxa"/>
          <w:vAlign w:val="bottom"/>
        </w:tcPr>
        <w:p>
          <w:pPr>
            <w:pStyle w:val="Header"/>
            <w:spacing w:before="40"/>
            <w:jc w:val="right"/>
          </w:pPr>
          <w:r>
            <w:fldChar w:fldCharType="begin"/>
          </w:r>
          <w:r>
            <w:instrText xml:space="preserve"> styleref CharDivText </w:instrText>
          </w:r>
          <w:r>
            <w:fldChar w:fldCharType="end"/>
          </w:r>
        </w:p>
      </w:tc>
      <w:tc>
        <w:tcPr>
          <w:tcW w:w="1804"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8"/>
  </w:num>
  <w:num w:numId="13">
    <w:abstractNumId w:val="24"/>
  </w:num>
  <w:num w:numId="14">
    <w:abstractNumId w:val="34"/>
  </w:num>
  <w:num w:numId="15">
    <w:abstractNumId w:val="30"/>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4161556"/>
    <w:docVar w:name="WAFER_20131217103912" w:val="RemoveTocBookmarks,RemoveUnusedBookmarks,RemoveLanguageTags,UsedStyles,ResetPageSize,UpdateArrangement"/>
    <w:docVar w:name="WAFER_20131217103912_GUID" w:val="26517943-3069-40cd-a08f-921865a4c2bc"/>
    <w:docVar w:name="WAFER_20140801144922" w:val="RemoveTocBookmarks,RemoveUnusedBookmarks,RemoveLanguageTags,UsedStyles,ResetPageSize,RemoveCustomizations,UpdateArrangement"/>
    <w:docVar w:name="WAFER_20140801144922_GUID" w:val="36c9bd99-cf62-40c2-af70-431018e3f67f"/>
    <w:docVar w:name="WAFER_20141031104932" w:val="RemoveTocBookmarks,RemoveLanguageTags,RemoveTrackChanges,RunningHeaders"/>
    <w:docVar w:name="WAFER_20141031104932_GUID" w:val="38d80d20-1613-42d8-9855-96c4b579ecc6"/>
    <w:docVar w:name="WAFER_20150224161556" w:val="ResetPageSize,UpdateArrangement,UpdateNTable"/>
    <w:docVar w:name="WAFER_20150224161556_GUID" w:val="7d7fea06-27a6-4a12-88f0-ca1c9cc935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Heading5Char">
    <w:name w:val="Heading 5 Char"/>
    <w:basedOn w:val="DefaultParagraphFont"/>
    <w:link w:val="Heading5"/>
    <w:rPr>
      <w:b/>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Heading5Char">
    <w:name w:val="Heading 5 Char"/>
    <w:basedOn w:val="DefaultParagraphFont"/>
    <w:link w:val="Heading5"/>
    <w:rPr>
      <w:b/>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39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82EB8-D398-4F11-B0A2-9F212A20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12024</Words>
  <Characters>55676</Characters>
  <Application>Microsoft Office Word</Application>
  <DocSecurity>0</DocSecurity>
  <Lines>1687</Lines>
  <Paragraphs>914</Paragraphs>
  <ScaleCrop>false</ScaleCrop>
  <HeadingPairs>
    <vt:vector size="2" baseType="variant">
      <vt:variant>
        <vt:lpstr>Title</vt:lpstr>
      </vt:variant>
      <vt:variant>
        <vt:i4>1</vt:i4>
      </vt:variant>
    </vt:vector>
  </HeadingPairs>
  <TitlesOfParts>
    <vt:vector size="1" baseType="lpstr">
      <vt:lpstr>Agriculture and Related Resources Protection Act 1976</vt:lpstr>
    </vt:vector>
  </TitlesOfParts>
  <Manager/>
  <Company/>
  <LinksUpToDate>false</LinksUpToDate>
  <CharactersWithSpaces>66786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1976 - 04-a0-01</dc:title>
  <dc:subject/>
  <dc:creator/>
  <cp:keywords/>
  <dc:description/>
  <cp:lastModifiedBy>svcMRProcess</cp:lastModifiedBy>
  <cp:revision>4</cp:revision>
  <cp:lastPrinted>2014-10-27T07:30:00Z</cp:lastPrinted>
  <dcterms:created xsi:type="dcterms:W3CDTF">2020-02-13T18:07:00Z</dcterms:created>
  <dcterms:modified xsi:type="dcterms:W3CDTF">2020-02-13T18:07:00Z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20141017</vt:lpwstr>
  </property>
  <property fmtid="{D5CDD505-2E9C-101B-9397-08002B2CF9AE}" pid="4" name="DocumentType">
    <vt:lpwstr>Act</vt:lpwstr>
  </property>
  <property fmtid="{D5CDD505-2E9C-101B-9397-08002B2CF9AE}" pid="5" name="OwlsUID">
    <vt:i4>17</vt:i4>
  </property>
  <property fmtid="{D5CDD505-2E9C-101B-9397-08002B2CF9AE}" pid="6" name="ReprintNo">
    <vt:lpwstr>4</vt:lpwstr>
  </property>
  <property fmtid="{D5CDD505-2E9C-101B-9397-08002B2CF9AE}" pid="7" name="ReprintedAsAt">
    <vt:filetime>2014-10-16T16:00:00Z</vt:filetime>
  </property>
  <property fmtid="{D5CDD505-2E9C-101B-9397-08002B2CF9AE}" pid="8" name="AsAtDate">
    <vt:lpwstr>17 Oct 2014</vt:lpwstr>
  </property>
  <property fmtid="{D5CDD505-2E9C-101B-9397-08002B2CF9AE}" pid="9" name="Suffix">
    <vt:lpwstr>04-a0-01</vt:lpwstr>
  </property>
</Properties>
</file>