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Protective Custody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Protective Custody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_Toc424292080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_Toc424292081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_Toc424292082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_Toc424292083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Seizing intoxicants from children</w:t>
      </w:r>
    </w:p>
    <w:p>
      <w:pPr>
        <w:pStyle w:val="TOC8"/>
        <w:rPr>
          <w:rFonts w:asciiTheme="minorHAnsi" w:eastAsiaTheme="minorEastAsia" w:hAnsiTheme="minorHAnsi" w:cstheme="minorBidi"/>
          <w:szCs w:val="22"/>
        </w:rPr>
      </w:pPr>
      <w:r>
        <w:t>5.</w:t>
      </w:r>
      <w:r>
        <w:tab/>
        <w:t>Intoxicants may be seized from children using them</w:t>
      </w:r>
      <w:r>
        <w:tab/>
      </w:r>
      <w:r>
        <w:fldChar w:fldCharType="begin"/>
      </w:r>
      <w:r>
        <w:instrText xml:space="preserve"> PAGEREF _Toc424292085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Apprehending and detaining intoxicated people</w:t>
      </w:r>
    </w:p>
    <w:p>
      <w:pPr>
        <w:pStyle w:val="TOC8"/>
        <w:rPr>
          <w:rFonts w:asciiTheme="minorHAnsi" w:eastAsiaTheme="minorEastAsia" w:hAnsiTheme="minorHAnsi" w:cstheme="minorBidi"/>
          <w:szCs w:val="22"/>
        </w:rPr>
      </w:pPr>
      <w:r>
        <w:t>6.</w:t>
      </w:r>
      <w:r>
        <w:tab/>
        <w:t>Intoxicated people may be apprehended</w:t>
      </w:r>
      <w:r>
        <w:tab/>
      </w:r>
      <w:r>
        <w:fldChar w:fldCharType="begin"/>
      </w:r>
      <w:r>
        <w:instrText xml:space="preserve"> PAGEREF _Toc424292087 \h </w:instrText>
      </w:r>
      <w:r>
        <w:fldChar w:fldCharType="separate"/>
      </w:r>
      <w:r>
        <w:t>5</w:t>
      </w:r>
      <w:r>
        <w:fldChar w:fldCharType="end"/>
      </w:r>
    </w:p>
    <w:p>
      <w:pPr>
        <w:pStyle w:val="TOC8"/>
        <w:rPr>
          <w:rFonts w:asciiTheme="minorHAnsi" w:eastAsiaTheme="minorEastAsia" w:hAnsiTheme="minorHAnsi" w:cstheme="minorBidi"/>
          <w:szCs w:val="22"/>
        </w:rPr>
      </w:pPr>
      <w:r>
        <w:t>7.</w:t>
      </w:r>
      <w:r>
        <w:tab/>
        <w:t>Apprehended person may be detained, but for no longer than necessary</w:t>
      </w:r>
      <w:r>
        <w:tab/>
      </w:r>
      <w:r>
        <w:fldChar w:fldCharType="begin"/>
      </w:r>
      <w:r>
        <w:instrText xml:space="preserve"> PAGEREF _Toc424292088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Dealing with apprehended people</w:t>
      </w:r>
    </w:p>
    <w:p>
      <w:pPr>
        <w:pStyle w:val="TOC8"/>
        <w:rPr>
          <w:rFonts w:asciiTheme="minorHAnsi" w:eastAsiaTheme="minorEastAsia" w:hAnsiTheme="minorHAnsi" w:cstheme="minorBidi"/>
          <w:szCs w:val="22"/>
        </w:rPr>
      </w:pPr>
      <w:r>
        <w:t>8.</w:t>
      </w:r>
      <w:r>
        <w:tab/>
        <w:t>Apprehended person may be searched</w:t>
      </w:r>
      <w:r>
        <w:tab/>
      </w:r>
      <w:r>
        <w:fldChar w:fldCharType="begin"/>
      </w:r>
      <w:r>
        <w:instrText xml:space="preserve"> PAGEREF _Toc424292090 \h </w:instrText>
      </w:r>
      <w:r>
        <w:fldChar w:fldCharType="separate"/>
      </w:r>
      <w:r>
        <w:t>7</w:t>
      </w:r>
      <w:r>
        <w:fldChar w:fldCharType="end"/>
      </w:r>
    </w:p>
    <w:p>
      <w:pPr>
        <w:pStyle w:val="TOC8"/>
        <w:rPr>
          <w:rFonts w:asciiTheme="minorHAnsi" w:eastAsiaTheme="minorEastAsia" w:hAnsiTheme="minorHAnsi" w:cstheme="minorBidi"/>
          <w:szCs w:val="22"/>
        </w:rPr>
      </w:pPr>
      <w:r>
        <w:t>9.</w:t>
      </w:r>
      <w:r>
        <w:tab/>
        <w:t>Intoxicants and dangerous articles may be seized</w:t>
      </w:r>
      <w:r>
        <w:tab/>
      </w:r>
      <w:r>
        <w:fldChar w:fldCharType="begin"/>
      </w:r>
      <w:r>
        <w:instrText xml:space="preserve"> PAGEREF _Toc424292091 \h </w:instrText>
      </w:r>
      <w:r>
        <w:fldChar w:fldCharType="separate"/>
      </w:r>
      <w:r>
        <w:t>7</w:t>
      </w:r>
      <w:r>
        <w:fldChar w:fldCharType="end"/>
      </w:r>
    </w:p>
    <w:p>
      <w:pPr>
        <w:pStyle w:val="TOC8"/>
        <w:rPr>
          <w:rFonts w:asciiTheme="minorHAnsi" w:eastAsiaTheme="minorEastAsia" w:hAnsiTheme="minorHAnsi" w:cstheme="minorBidi"/>
          <w:szCs w:val="22"/>
        </w:rPr>
      </w:pPr>
      <w:r>
        <w:t>10.</w:t>
      </w:r>
      <w:r>
        <w:tab/>
        <w:t>Apprehended person may be taken for medical examination</w:t>
      </w:r>
      <w:r>
        <w:tab/>
      </w:r>
      <w:r>
        <w:fldChar w:fldCharType="begin"/>
      </w:r>
      <w:r>
        <w:instrText xml:space="preserve"> PAGEREF _Toc424292092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Releasing apprehended people</w:t>
      </w:r>
    </w:p>
    <w:p>
      <w:pPr>
        <w:pStyle w:val="TOC8"/>
        <w:rPr>
          <w:rFonts w:asciiTheme="minorHAnsi" w:eastAsiaTheme="minorEastAsia" w:hAnsiTheme="minorHAnsi" w:cstheme="minorBidi"/>
          <w:szCs w:val="22"/>
        </w:rPr>
      </w:pPr>
      <w:r>
        <w:t>11.</w:t>
      </w:r>
      <w:r>
        <w:tab/>
        <w:t>Releasing apprehended children</w:t>
      </w:r>
      <w:r>
        <w:tab/>
      </w:r>
      <w:r>
        <w:fldChar w:fldCharType="begin"/>
      </w:r>
      <w:r>
        <w:instrText xml:space="preserve"> PAGEREF _Toc424292094 \h </w:instrText>
      </w:r>
      <w:r>
        <w:fldChar w:fldCharType="separate"/>
      </w:r>
      <w:r>
        <w:t>9</w:t>
      </w:r>
      <w:r>
        <w:fldChar w:fldCharType="end"/>
      </w:r>
    </w:p>
    <w:p>
      <w:pPr>
        <w:pStyle w:val="TOC8"/>
        <w:rPr>
          <w:rFonts w:asciiTheme="minorHAnsi" w:eastAsiaTheme="minorEastAsia" w:hAnsiTheme="minorHAnsi" w:cstheme="minorBidi"/>
          <w:szCs w:val="22"/>
        </w:rPr>
      </w:pPr>
      <w:r>
        <w:lastRenderedPageBreak/>
        <w:t>12.</w:t>
      </w:r>
      <w:r>
        <w:tab/>
        <w:t>Releasing apprehended adults</w:t>
      </w:r>
      <w:r>
        <w:tab/>
      </w:r>
      <w:r>
        <w:fldChar w:fldCharType="begin"/>
      </w:r>
      <w:r>
        <w:instrText xml:space="preserve"> PAGEREF _Toc424292095 \h </w:instrText>
      </w:r>
      <w:r>
        <w:fldChar w:fldCharType="separate"/>
      </w:r>
      <w:r>
        <w:t>10</w:t>
      </w:r>
      <w:r>
        <w:fldChar w:fldCharType="end"/>
      </w:r>
    </w:p>
    <w:p>
      <w:pPr>
        <w:pStyle w:val="TOC8"/>
        <w:rPr>
          <w:rFonts w:asciiTheme="minorHAnsi" w:eastAsiaTheme="minorEastAsia" w:hAnsiTheme="minorHAnsi" w:cstheme="minorBidi"/>
          <w:szCs w:val="22"/>
        </w:rPr>
      </w:pPr>
      <w:r>
        <w:t>13.</w:t>
      </w:r>
      <w:r>
        <w:tab/>
        <w:t>Release of adult into care of another person</w:t>
      </w:r>
      <w:r>
        <w:tab/>
      </w:r>
      <w:r>
        <w:fldChar w:fldCharType="begin"/>
      </w:r>
      <w:r>
        <w:instrText xml:space="preserve"> PAGEREF _Toc424292096 \h </w:instrText>
      </w:r>
      <w:r>
        <w:fldChar w:fldCharType="separate"/>
      </w:r>
      <w:r>
        <w:t>10</w:t>
      </w:r>
      <w:r>
        <w:fldChar w:fldCharType="end"/>
      </w:r>
    </w:p>
    <w:p>
      <w:pPr>
        <w:pStyle w:val="TOC8"/>
        <w:rPr>
          <w:rFonts w:asciiTheme="minorHAnsi" w:eastAsiaTheme="minorEastAsia" w:hAnsiTheme="minorHAnsi" w:cstheme="minorBidi"/>
          <w:szCs w:val="22"/>
        </w:rPr>
      </w:pPr>
      <w:r>
        <w:t>14.</w:t>
      </w:r>
      <w:r>
        <w:tab/>
        <w:t>Seized things to be returned</w:t>
      </w:r>
      <w:r>
        <w:tab/>
      </w:r>
      <w:r>
        <w:fldChar w:fldCharType="begin"/>
      </w:r>
      <w:r>
        <w:instrText xml:space="preserve"> PAGEREF _Toc424292097 \h </w:instrText>
      </w:r>
      <w:r>
        <w:fldChar w:fldCharType="separate"/>
      </w:r>
      <w:r>
        <w:t>11</w:t>
      </w:r>
      <w:r>
        <w:fldChar w:fldCharType="end"/>
      </w:r>
    </w:p>
    <w:p>
      <w:pPr>
        <w:pStyle w:val="TOC8"/>
        <w:rPr>
          <w:rFonts w:asciiTheme="minorHAnsi" w:eastAsiaTheme="minorEastAsia" w:hAnsiTheme="minorHAnsi" w:cstheme="minorBidi"/>
          <w:szCs w:val="22"/>
        </w:rPr>
      </w:pPr>
      <w:r>
        <w:t>15.</w:t>
      </w:r>
      <w:r>
        <w:tab/>
        <w:t>Release procedure</w:t>
      </w:r>
      <w:r>
        <w:tab/>
      </w:r>
      <w:r>
        <w:fldChar w:fldCharType="begin"/>
      </w:r>
      <w:r>
        <w:instrText xml:space="preserve"> PAGEREF _Toc424292098 \h </w:instrText>
      </w:r>
      <w:r>
        <w:fldChar w:fldCharType="separate"/>
      </w:r>
      <w:r>
        <w:t>12</w:t>
      </w:r>
      <w:r>
        <w:fldChar w:fldCharType="end"/>
      </w:r>
    </w:p>
    <w:p>
      <w:pPr>
        <w:pStyle w:val="TOC8"/>
        <w:rPr>
          <w:rFonts w:asciiTheme="minorHAnsi" w:eastAsiaTheme="minorEastAsia" w:hAnsiTheme="minorHAnsi" w:cstheme="minorBidi"/>
          <w:szCs w:val="22"/>
        </w:rPr>
      </w:pPr>
      <w:r>
        <w:t>16.</w:t>
      </w:r>
      <w:r>
        <w:tab/>
        <w:t>Release to be unconditional</w:t>
      </w:r>
      <w:r>
        <w:tab/>
      </w:r>
      <w:r>
        <w:fldChar w:fldCharType="begin"/>
      </w:r>
      <w:r>
        <w:instrText xml:space="preserve"> PAGEREF _Toc424292099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Judicial review</w:t>
      </w:r>
    </w:p>
    <w:p>
      <w:pPr>
        <w:pStyle w:val="TOC8"/>
        <w:rPr>
          <w:rFonts w:asciiTheme="minorHAnsi" w:eastAsiaTheme="minorEastAsia" w:hAnsiTheme="minorHAnsi" w:cstheme="minorBidi"/>
          <w:szCs w:val="22"/>
        </w:rPr>
      </w:pPr>
      <w:r>
        <w:t>17.</w:t>
      </w:r>
      <w:r>
        <w:tab/>
        <w:t>Apprehended person may request review by JP</w:t>
      </w:r>
      <w:r>
        <w:tab/>
      </w:r>
      <w:r>
        <w:fldChar w:fldCharType="begin"/>
      </w:r>
      <w:r>
        <w:instrText xml:space="preserve"> PAGEREF _Toc424292101 \h </w:instrText>
      </w:r>
      <w:r>
        <w:fldChar w:fldCharType="separate"/>
      </w:r>
      <w:r>
        <w:t>14</w:t>
      </w:r>
      <w:r>
        <w:fldChar w:fldCharType="end"/>
      </w:r>
    </w:p>
    <w:p>
      <w:pPr>
        <w:pStyle w:val="TOC8"/>
        <w:rPr>
          <w:rFonts w:asciiTheme="minorHAnsi" w:eastAsiaTheme="minorEastAsia" w:hAnsiTheme="minorHAnsi" w:cstheme="minorBidi"/>
          <w:szCs w:val="22"/>
        </w:rPr>
      </w:pPr>
      <w:r>
        <w:t>18.</w:t>
      </w:r>
      <w:r>
        <w:tab/>
        <w:t>Review of detention after 8 hours</w:t>
      </w:r>
      <w:r>
        <w:tab/>
      </w:r>
      <w:r>
        <w:fldChar w:fldCharType="begin"/>
      </w:r>
      <w:r>
        <w:instrText xml:space="preserve"> PAGEREF _Toc424292102 \h </w:instrText>
      </w:r>
      <w:r>
        <w:fldChar w:fldCharType="separate"/>
      </w:r>
      <w:r>
        <w:t>14</w:t>
      </w:r>
      <w:r>
        <w:fldChar w:fldCharType="end"/>
      </w:r>
    </w:p>
    <w:p>
      <w:pPr>
        <w:pStyle w:val="TOC8"/>
        <w:rPr>
          <w:rFonts w:asciiTheme="minorHAnsi" w:eastAsiaTheme="minorEastAsia" w:hAnsiTheme="minorHAnsi" w:cstheme="minorBidi"/>
          <w:szCs w:val="22"/>
        </w:rPr>
      </w:pPr>
      <w:r>
        <w:t>19.</w:t>
      </w:r>
      <w:r>
        <w:tab/>
        <w:t>JP to review detention</w:t>
      </w:r>
      <w:r>
        <w:tab/>
      </w:r>
      <w:r>
        <w:fldChar w:fldCharType="begin"/>
      </w:r>
      <w:r>
        <w:instrText xml:space="preserve"> PAGEREF _Toc424292103 \h </w:instrText>
      </w:r>
      <w:r>
        <w:fldChar w:fldCharType="separate"/>
      </w:r>
      <w:r>
        <w:t>14</w:t>
      </w:r>
      <w:r>
        <w:fldChar w:fldCharType="end"/>
      </w:r>
    </w:p>
    <w:p>
      <w:pPr>
        <w:pStyle w:val="TOC8"/>
        <w:rPr>
          <w:rFonts w:asciiTheme="minorHAnsi" w:eastAsiaTheme="minorEastAsia" w:hAnsiTheme="minorHAnsi" w:cstheme="minorBidi"/>
          <w:szCs w:val="22"/>
        </w:rPr>
      </w:pPr>
      <w:r>
        <w:t>20.</w:t>
      </w:r>
      <w:r>
        <w:tab/>
        <w:t>Declaration by court as to state of intoxication</w:t>
      </w:r>
      <w:r>
        <w:tab/>
      </w:r>
      <w:r>
        <w:fldChar w:fldCharType="begin"/>
      </w:r>
      <w:r>
        <w:instrText xml:space="preserve"> PAGEREF _Toc424292104 \h </w:instrText>
      </w:r>
      <w:r>
        <w:fldChar w:fldCharType="separate"/>
      </w:r>
      <w:r>
        <w:t>15</w:t>
      </w:r>
      <w:r>
        <w:fldChar w:fldCharType="end"/>
      </w:r>
    </w:p>
    <w:p>
      <w:pPr>
        <w:pStyle w:val="TOC8"/>
        <w:rPr>
          <w:rFonts w:asciiTheme="minorHAnsi" w:eastAsiaTheme="minorEastAsia" w:hAnsiTheme="minorHAnsi" w:cstheme="minorBidi"/>
          <w:szCs w:val="22"/>
        </w:rPr>
      </w:pPr>
      <w:r>
        <w:t>21.</w:t>
      </w:r>
      <w:r>
        <w:tab/>
        <w:t>Apprehended person to be taken before a JP promptly</w:t>
      </w:r>
      <w:r>
        <w:tab/>
      </w:r>
      <w:r>
        <w:fldChar w:fldCharType="begin"/>
      </w:r>
      <w:r>
        <w:instrText xml:space="preserve"> PAGEREF _Toc424292105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22.</w:t>
      </w:r>
      <w:r>
        <w:tab/>
        <w:t>Powers may be exercised without a warrant</w:t>
      </w:r>
      <w:r>
        <w:tab/>
      </w:r>
      <w:r>
        <w:fldChar w:fldCharType="begin"/>
      </w:r>
      <w:r>
        <w:instrText xml:space="preserve"> PAGEREF _Toc424292107 \h </w:instrText>
      </w:r>
      <w:r>
        <w:fldChar w:fldCharType="separate"/>
      </w:r>
      <w:r>
        <w:t>17</w:t>
      </w:r>
      <w:r>
        <w:fldChar w:fldCharType="end"/>
      </w:r>
    </w:p>
    <w:p>
      <w:pPr>
        <w:pStyle w:val="TOC8"/>
        <w:rPr>
          <w:rFonts w:asciiTheme="minorHAnsi" w:eastAsiaTheme="minorEastAsia" w:hAnsiTheme="minorHAnsi" w:cstheme="minorBidi"/>
          <w:szCs w:val="22"/>
        </w:rPr>
      </w:pPr>
      <w:r>
        <w:t>23.</w:t>
      </w:r>
      <w:r>
        <w:tab/>
        <w:t>Certain functions may be performed by people providing custodial services</w:t>
      </w:r>
      <w:r>
        <w:tab/>
      </w:r>
      <w:r>
        <w:fldChar w:fldCharType="begin"/>
      </w:r>
      <w:r>
        <w:instrText xml:space="preserve"> PAGEREF _Toc424292108 \h </w:instrText>
      </w:r>
      <w:r>
        <w:fldChar w:fldCharType="separate"/>
      </w:r>
      <w:r>
        <w:t>17</w:t>
      </w:r>
      <w:r>
        <w:fldChar w:fldCharType="end"/>
      </w:r>
    </w:p>
    <w:p>
      <w:pPr>
        <w:pStyle w:val="TOC8"/>
        <w:rPr>
          <w:rFonts w:asciiTheme="minorHAnsi" w:eastAsiaTheme="minorEastAsia" w:hAnsiTheme="minorHAnsi" w:cstheme="minorBidi"/>
          <w:szCs w:val="22"/>
        </w:rPr>
      </w:pPr>
      <w:r>
        <w:t>24.</w:t>
      </w:r>
      <w:r>
        <w:tab/>
        <w:t>Apprehended person not to be charged etc.</w:t>
      </w:r>
      <w:r>
        <w:tab/>
      </w:r>
      <w:r>
        <w:fldChar w:fldCharType="begin"/>
      </w:r>
      <w:r>
        <w:instrText xml:space="preserve"> PAGEREF _Toc424292109 \h </w:instrText>
      </w:r>
      <w:r>
        <w:fldChar w:fldCharType="separate"/>
      </w:r>
      <w:r>
        <w:t>17</w:t>
      </w:r>
      <w:r>
        <w:fldChar w:fldCharType="end"/>
      </w:r>
    </w:p>
    <w:p>
      <w:pPr>
        <w:pStyle w:val="TOC8"/>
        <w:rPr>
          <w:rFonts w:asciiTheme="minorHAnsi" w:eastAsiaTheme="minorEastAsia" w:hAnsiTheme="minorHAnsi" w:cstheme="minorBidi"/>
          <w:szCs w:val="22"/>
        </w:rPr>
      </w:pPr>
      <w:r>
        <w:t>25.</w:t>
      </w:r>
      <w:r>
        <w:tab/>
        <w:t>Escape of an apprehended person</w:t>
      </w:r>
      <w:r>
        <w:tab/>
      </w:r>
      <w:r>
        <w:fldChar w:fldCharType="begin"/>
      </w:r>
      <w:r>
        <w:instrText xml:space="preserve"> PAGEREF _Toc424292110 \h </w:instrText>
      </w:r>
      <w:r>
        <w:fldChar w:fldCharType="separate"/>
      </w:r>
      <w:r>
        <w:t>18</w:t>
      </w:r>
      <w:r>
        <w:fldChar w:fldCharType="end"/>
      </w:r>
    </w:p>
    <w:p>
      <w:pPr>
        <w:pStyle w:val="TOC8"/>
        <w:rPr>
          <w:rFonts w:asciiTheme="minorHAnsi" w:eastAsiaTheme="minorEastAsia" w:hAnsiTheme="minorHAnsi" w:cstheme="minorBidi"/>
          <w:szCs w:val="22"/>
        </w:rPr>
      </w:pPr>
      <w:r>
        <w:t>26.</w:t>
      </w:r>
      <w:r>
        <w:tab/>
        <w:t>Approved places</w:t>
      </w:r>
      <w:r>
        <w:tab/>
      </w:r>
      <w:r>
        <w:fldChar w:fldCharType="begin"/>
      </w:r>
      <w:r>
        <w:instrText xml:space="preserve"> PAGEREF _Toc424292111 \h </w:instrText>
      </w:r>
      <w:r>
        <w:fldChar w:fldCharType="separate"/>
      </w:r>
      <w:r>
        <w:t>18</w:t>
      </w:r>
      <w:r>
        <w:fldChar w:fldCharType="end"/>
      </w:r>
    </w:p>
    <w:p>
      <w:pPr>
        <w:pStyle w:val="TOC8"/>
        <w:rPr>
          <w:rFonts w:asciiTheme="minorHAnsi" w:eastAsiaTheme="minorEastAsia" w:hAnsiTheme="minorHAnsi" w:cstheme="minorBidi"/>
          <w:szCs w:val="22"/>
        </w:rPr>
      </w:pPr>
      <w:r>
        <w:t>27.</w:t>
      </w:r>
      <w:r>
        <w:tab/>
        <w:t>Community officers</w:t>
      </w:r>
      <w:r>
        <w:tab/>
      </w:r>
      <w:r>
        <w:fldChar w:fldCharType="begin"/>
      </w:r>
      <w:r>
        <w:instrText xml:space="preserve"> PAGEREF _Toc424292112 \h </w:instrText>
      </w:r>
      <w:r>
        <w:fldChar w:fldCharType="separate"/>
      </w:r>
      <w:r>
        <w:t>18</w:t>
      </w:r>
      <w:r>
        <w:fldChar w:fldCharType="end"/>
      </w:r>
    </w:p>
    <w:p>
      <w:pPr>
        <w:pStyle w:val="TOC8"/>
        <w:rPr>
          <w:rFonts w:asciiTheme="minorHAnsi" w:eastAsiaTheme="minorEastAsia" w:hAnsiTheme="minorHAnsi" w:cstheme="minorBidi"/>
          <w:szCs w:val="22"/>
        </w:rPr>
      </w:pPr>
      <w:r>
        <w:t>28.</w:t>
      </w:r>
      <w:r>
        <w:tab/>
        <w:t>Protection from personal liability</w:t>
      </w:r>
      <w:r>
        <w:tab/>
      </w:r>
      <w:r>
        <w:fldChar w:fldCharType="begin"/>
      </w:r>
      <w:r>
        <w:instrText xml:space="preserve"> PAGEREF _Toc424292113 \h </w:instrText>
      </w:r>
      <w:r>
        <w:fldChar w:fldCharType="separate"/>
      </w:r>
      <w:r>
        <w:t>19</w:t>
      </w:r>
      <w:r>
        <w:fldChar w:fldCharType="end"/>
      </w:r>
    </w:p>
    <w:p>
      <w:pPr>
        <w:pStyle w:val="TOC8"/>
        <w:rPr>
          <w:rFonts w:asciiTheme="minorHAnsi" w:eastAsiaTheme="minorEastAsia" w:hAnsiTheme="minorHAnsi" w:cstheme="minorBidi"/>
          <w:szCs w:val="22"/>
        </w:rPr>
      </w:pPr>
      <w:r>
        <w:t>29.</w:t>
      </w:r>
      <w:r>
        <w:tab/>
        <w:t>Regulations</w:t>
      </w:r>
      <w:r>
        <w:tab/>
      </w:r>
      <w:r>
        <w:fldChar w:fldCharType="begin"/>
      </w:r>
      <w:r>
        <w:instrText xml:space="preserve"> PAGEREF _Toc424292114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_Toc424292116 \h </w:instrText>
      </w:r>
      <w:r>
        <w:fldChar w:fldCharType="separate"/>
      </w:r>
      <w:r>
        <w:t>21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_Toc424292117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An Act to allow intoxicated people to be taken into protective custody and for related purposes.</w:t>
      </w:r>
    </w:p>
    <w:p>
      <w:pPr>
        <w:pStyle w:val="Heading2"/>
      </w:pPr>
      <w:bookmarkStart w:id="3" w:name="_Toc402970005"/>
      <w:bookmarkStart w:id="4" w:name="_Toc42429207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02970006"/>
      <w:bookmarkStart w:id="6" w:name="_Toc42429208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pPr>
        <w:pStyle w:val="Heading5"/>
        <w:rPr>
          <w:snapToGrid w:val="0"/>
        </w:rPr>
      </w:pPr>
      <w:bookmarkStart w:id="7" w:name="_Toc402970007"/>
      <w:bookmarkStart w:id="8" w:name="_Toc424292081"/>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r>
        <w:rPr>
          <w:vertAlign w:val="superscript"/>
        </w:rPr>
        <w:t> 1</w:t>
      </w:r>
      <w:r>
        <w:t>.</w:t>
      </w:r>
    </w:p>
    <w:p>
      <w:pPr>
        <w:pStyle w:val="Heading5"/>
      </w:pPr>
      <w:bookmarkStart w:id="9" w:name="_Toc402970008"/>
      <w:bookmarkStart w:id="10" w:name="_Toc424292082"/>
      <w:r>
        <w:rPr>
          <w:rStyle w:val="CharSectno"/>
        </w:rPr>
        <w:t>3</w:t>
      </w:r>
      <w:r>
        <w:t>.</w:t>
      </w:r>
      <w:r>
        <w:tab/>
        <w:t>Interpretation</w:t>
      </w:r>
      <w:bookmarkEnd w:id="9"/>
      <w:bookmarkEnd w:id="10"/>
    </w:p>
    <w:p>
      <w:pPr>
        <w:pStyle w:val="Subsection"/>
      </w:pPr>
      <w:r>
        <w:tab/>
      </w:r>
      <w:r>
        <w:tab/>
        <w:t>In this Act, unless the contrary intention appears —</w:t>
      </w:r>
    </w:p>
    <w:p>
      <w:pPr>
        <w:pStyle w:val="Defstart"/>
      </w:pPr>
      <w:r>
        <w:tab/>
      </w:r>
      <w:r>
        <w:rPr>
          <w:rStyle w:val="CharDefText"/>
        </w:rPr>
        <w:t>adult</w:t>
      </w:r>
      <w:r>
        <w:t xml:space="preserve"> means a person who has reached 18 years of age;</w:t>
      </w:r>
    </w:p>
    <w:p>
      <w:pPr>
        <w:pStyle w:val="Defstart"/>
      </w:pPr>
      <w:r>
        <w:tab/>
      </w:r>
      <w:r>
        <w:rPr>
          <w:rStyle w:val="CharDefText"/>
        </w:rPr>
        <w:t>apprehended</w:t>
      </w:r>
      <w:r>
        <w:t xml:space="preserve"> means apprehended under section 6(1);</w:t>
      </w:r>
    </w:p>
    <w:p>
      <w:pPr>
        <w:pStyle w:val="Defstart"/>
      </w:pPr>
      <w:r>
        <w:tab/>
      </w:r>
      <w:r>
        <w:rPr>
          <w:rStyle w:val="CharDefText"/>
        </w:rPr>
        <w:t>appropriate facility</w:t>
      </w:r>
      <w:r>
        <w:t>, in relation to an apprehended person, means an approved place to which the person may be taken in accordance with a notice published under section 26(1);</w:t>
      </w:r>
    </w:p>
    <w:p>
      <w:pPr>
        <w:pStyle w:val="Defstart"/>
      </w:pPr>
      <w:r>
        <w:tab/>
      </w:r>
      <w:r>
        <w:rPr>
          <w:rStyle w:val="CharDefText"/>
        </w:rPr>
        <w:t>approved place</w:t>
      </w:r>
      <w:r>
        <w:t xml:space="preserve"> means a place approved under section 26(1);</w:t>
      </w:r>
    </w:p>
    <w:p>
      <w:pPr>
        <w:pStyle w:val="Defstart"/>
      </w:pPr>
      <w:r>
        <w:tab/>
      </w:r>
      <w:r>
        <w:rPr>
          <w:rStyle w:val="CharDefText"/>
        </w:rPr>
        <w:t>authorised officer</w:t>
      </w:r>
      <w:r>
        <w:t xml:space="preserve"> means a community officer, a police officer, or a security officer as defined in the </w:t>
      </w:r>
      <w:r>
        <w:rPr>
          <w:i/>
        </w:rPr>
        <w:t>Public Transport Authority Act 2003</w:t>
      </w:r>
      <w:r>
        <w:t xml:space="preserve"> section 3;</w:t>
      </w:r>
    </w:p>
    <w:p>
      <w:pPr>
        <w:pStyle w:val="Defstart"/>
      </w:pPr>
      <w:r>
        <w:tab/>
      </w:r>
      <w:r>
        <w:rPr>
          <w:rStyle w:val="CharDefText"/>
        </w:rPr>
        <w:t>child</w:t>
      </w:r>
      <w:r>
        <w:t xml:space="preserve"> means a person who is under 18 years of age;</w:t>
      </w:r>
    </w:p>
    <w:p>
      <w:pPr>
        <w:pStyle w:val="Defstart"/>
      </w:pPr>
      <w:r>
        <w:tab/>
      </w:r>
      <w:r>
        <w:rPr>
          <w:rStyle w:val="CharDefText"/>
        </w:rPr>
        <w:t>community officer</w:t>
      </w:r>
      <w:r>
        <w:t xml:space="preserve"> means a person appointed under section 27;</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rStyle w:val="CharDefText"/>
        </w:rPr>
        <w:t>intoxicated</w:t>
      </w:r>
      <w:r>
        <w:t xml:space="preserve"> means affected by, or apparently by, an intoxicant to such an extent that there is a significant impairment of judgment or behaviour;</w:t>
      </w:r>
    </w:p>
    <w:p>
      <w:pPr>
        <w:pStyle w:val="Defstart"/>
      </w:pPr>
      <w:r>
        <w:tab/>
      </w:r>
      <w:r>
        <w:rPr>
          <w:rStyle w:val="CharDefText"/>
        </w:rPr>
        <w:t>JP</w:t>
      </w:r>
      <w:r>
        <w:t xml:space="preserve"> means Justice of the Peace;</w:t>
      </w:r>
    </w:p>
    <w:p>
      <w:pPr>
        <w:pStyle w:val="Defstart"/>
      </w:pPr>
      <w:r>
        <w:tab/>
      </w:r>
      <w:r>
        <w:rPr>
          <w:rStyle w:val="CharDefText"/>
        </w:rPr>
        <w:t>public place</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rStyle w:val="CharDefText"/>
        </w:rPr>
        <w:t>volatile substance</w:t>
      </w:r>
      <w:r>
        <w:t xml:space="preserve"> means a substance that produces a vapour at room temperature.</w:t>
      </w:r>
    </w:p>
    <w:p>
      <w:pPr>
        <w:pStyle w:val="Footnotesection"/>
      </w:pPr>
      <w:r>
        <w:tab/>
        <w:t>[Section 3 amended by No. 31 of 2003 s. 206(2); No. 8 of 2008 s. 17 and 23(7).]</w:t>
      </w:r>
    </w:p>
    <w:p>
      <w:pPr>
        <w:pStyle w:val="Heading5"/>
      </w:pPr>
      <w:bookmarkStart w:id="11" w:name="_Toc402970009"/>
      <w:bookmarkStart w:id="12" w:name="_Toc424292083"/>
      <w:r>
        <w:rPr>
          <w:rStyle w:val="CharSectno"/>
        </w:rPr>
        <w:t>4</w:t>
      </w:r>
      <w:r>
        <w:t>.</w:t>
      </w:r>
      <w:r>
        <w:tab/>
        <w:t>Relationship with other Acts</w:t>
      </w:r>
      <w:bookmarkEnd w:id="11"/>
      <w:bookmarkEnd w:id="12"/>
    </w:p>
    <w:p>
      <w:pPr>
        <w:pStyle w:val="Subsection"/>
      </w:pPr>
      <w:r>
        <w:tab/>
        <w:t>(1)</w:t>
      </w:r>
      <w:r>
        <w:tab/>
        <w:t xml:space="preserve">This Act is in addition to and does not affect the operation of section 41 of the </w:t>
      </w:r>
      <w:r>
        <w:rPr>
          <w:i/>
        </w:rPr>
        <w:t>Children and Community Services Act 2004</w:t>
      </w:r>
      <w:r>
        <w:t>.</w:t>
      </w:r>
    </w:p>
    <w:p>
      <w:pPr>
        <w:pStyle w:val="Subsection"/>
        <w:rPr>
          <w:i/>
        </w:rPr>
      </w:pPr>
      <w:r>
        <w:tab/>
        <w:t>(2)</w:t>
      </w:r>
      <w:r>
        <w:tab/>
        <w:t xml:space="preserve">This Act is in addition to and does not affect the operation of section 195 of the </w:t>
      </w:r>
      <w:r>
        <w:rPr>
          <w:i/>
        </w:rPr>
        <w:t>Mental Health Act 1996.</w:t>
      </w:r>
    </w:p>
    <w:p>
      <w:pPr>
        <w:pStyle w:val="Footnotesection"/>
        <w:rPr>
          <w:i w:val="0"/>
        </w:rPr>
      </w:pPr>
      <w:r>
        <w:tab/>
        <w:t xml:space="preserve">[Section 4 amended by </w:t>
      </w:r>
      <w:r>
        <w:rPr>
          <w:spacing w:val="-6"/>
        </w:rPr>
        <w:t>No. 34 of 2004 s. </w:t>
      </w:r>
      <w:r>
        <w:t>251.]</w:t>
      </w:r>
    </w:p>
    <w:p>
      <w:pPr>
        <w:pStyle w:val="Heading2"/>
      </w:pPr>
      <w:bookmarkStart w:id="13" w:name="_Toc402970010"/>
      <w:bookmarkStart w:id="14" w:name="_Toc424292084"/>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13"/>
      <w:bookmarkEnd w:id="14"/>
    </w:p>
    <w:p>
      <w:pPr>
        <w:pStyle w:val="Heading5"/>
      </w:pPr>
      <w:bookmarkStart w:id="15" w:name="_Toc402970011"/>
      <w:bookmarkStart w:id="16" w:name="_Toc424292085"/>
      <w:r>
        <w:rPr>
          <w:rStyle w:val="CharSectno"/>
        </w:rPr>
        <w:t>5</w:t>
      </w:r>
      <w:r>
        <w:t>.</w:t>
      </w:r>
      <w:r>
        <w:tab/>
        <w:t>Intoxicants may be seized from children using them</w:t>
      </w:r>
      <w:bookmarkEnd w:id="15"/>
      <w:bookmarkEnd w:id="16"/>
    </w:p>
    <w:p>
      <w:pPr>
        <w:pStyle w:val="Subsection"/>
      </w:pPr>
      <w:r>
        <w:tab/>
        <w:t>(1)</w:t>
      </w:r>
      <w:r>
        <w:tab/>
        <w:t>An authorised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by No. 31 of 2003 s. 206(3).]</w:t>
      </w:r>
    </w:p>
    <w:p>
      <w:pPr>
        <w:pStyle w:val="Heading2"/>
        <w:ind w:left="567" w:right="566"/>
      </w:pPr>
      <w:bookmarkStart w:id="17" w:name="_Toc402970012"/>
      <w:bookmarkStart w:id="18" w:name="_Toc424292086"/>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17"/>
      <w:bookmarkEnd w:id="18"/>
    </w:p>
    <w:p>
      <w:pPr>
        <w:pStyle w:val="Heading5"/>
      </w:pPr>
      <w:bookmarkStart w:id="19" w:name="_Toc402970013"/>
      <w:bookmarkStart w:id="20" w:name="_Toc424292087"/>
      <w:r>
        <w:rPr>
          <w:rStyle w:val="CharSectno"/>
        </w:rPr>
        <w:t>6</w:t>
      </w:r>
      <w:r>
        <w:t>.</w:t>
      </w:r>
      <w:r>
        <w:tab/>
        <w:t>Intoxicated people may be apprehended</w:t>
      </w:r>
      <w:bookmarkEnd w:id="19"/>
      <w:bookmarkEnd w:id="20"/>
    </w:p>
    <w:p>
      <w:pPr>
        <w:pStyle w:val="Subsection"/>
      </w:pPr>
      <w:r>
        <w:tab/>
        <w:t>(1)</w:t>
      </w:r>
      <w:r>
        <w:tab/>
        <w:t>If an authorised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authorised officer may use reasonable force and assistance to apprehend the person.</w:t>
      </w:r>
    </w:p>
    <w:p>
      <w:pPr>
        <w:pStyle w:val="Subsection"/>
      </w:pPr>
      <w:r>
        <w:tab/>
        <w:t>(3)</w:t>
      </w:r>
      <w:r>
        <w:tab/>
        <w:t>An authorised officer who apprehends a person must record the date and time when the person is apprehended.</w:t>
      </w:r>
    </w:p>
    <w:p>
      <w:pPr>
        <w:pStyle w:val="Footnotesection"/>
      </w:pPr>
      <w:r>
        <w:tab/>
        <w:t>[Section 6 amended by No. 31 of 2003 s. 206(4).]</w:t>
      </w:r>
    </w:p>
    <w:p>
      <w:pPr>
        <w:pStyle w:val="Heading5"/>
      </w:pPr>
      <w:bookmarkStart w:id="21" w:name="_Toc402970014"/>
      <w:bookmarkStart w:id="22" w:name="_Toc424292088"/>
      <w:r>
        <w:rPr>
          <w:rStyle w:val="CharSectno"/>
        </w:rPr>
        <w:t>7</w:t>
      </w:r>
      <w:r>
        <w:t>.</w:t>
      </w:r>
      <w:r>
        <w:tab/>
        <w:t>Apprehended person may be detained, but for no longer than necessary</w:t>
      </w:r>
      <w:bookmarkEnd w:id="21"/>
      <w:bookmarkEnd w:id="22"/>
    </w:p>
    <w:p>
      <w:pPr>
        <w:pStyle w:val="Subsection"/>
      </w:pPr>
      <w:r>
        <w:tab/>
        <w:t>(1)</w:t>
      </w:r>
      <w:r>
        <w:tab/>
        <w:t>An authorised officer may detain an apprehended person but any detention of the person must be in accordance with subsections (2), (3) and (4).</w:t>
      </w:r>
    </w:p>
    <w:p>
      <w:pPr>
        <w:pStyle w:val="Subsection"/>
      </w:pPr>
      <w:r>
        <w:tab/>
        <w:t>(2)</w:t>
      </w:r>
      <w:r>
        <w:tab/>
        <w:t>An authorised officer must not detain an apprehended person who is not, or who is no longer, intoxicated.</w:t>
      </w:r>
    </w:p>
    <w:p>
      <w:pPr>
        <w:pStyle w:val="Subsection"/>
      </w:pPr>
      <w:r>
        <w:tab/>
        <w:t>(3)</w:t>
      </w:r>
      <w:r>
        <w:tab/>
        <w:t>An authorised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23" w:name="_Toc402970015"/>
      <w:bookmarkStart w:id="24" w:name="_Toc424292089"/>
      <w:r>
        <w:rPr>
          <w:rStyle w:val="CharPartNo"/>
        </w:rPr>
        <w:t>Part 4</w:t>
      </w:r>
      <w:r>
        <w:rPr>
          <w:rStyle w:val="CharDivNo"/>
        </w:rPr>
        <w:t xml:space="preserve"> </w:t>
      </w:r>
      <w:r>
        <w:t>—</w:t>
      </w:r>
      <w:r>
        <w:rPr>
          <w:rStyle w:val="CharDivText"/>
        </w:rPr>
        <w:t xml:space="preserve"> </w:t>
      </w:r>
      <w:r>
        <w:rPr>
          <w:rStyle w:val="CharPartText"/>
        </w:rPr>
        <w:t>Dealing with apprehended people</w:t>
      </w:r>
      <w:bookmarkEnd w:id="23"/>
      <w:bookmarkEnd w:id="24"/>
    </w:p>
    <w:p>
      <w:pPr>
        <w:pStyle w:val="Heading5"/>
      </w:pPr>
      <w:bookmarkStart w:id="25" w:name="_Toc402970016"/>
      <w:bookmarkStart w:id="26" w:name="_Toc424292090"/>
      <w:r>
        <w:rPr>
          <w:rStyle w:val="CharSectno"/>
        </w:rPr>
        <w:t>8</w:t>
      </w:r>
      <w:r>
        <w:t>.</w:t>
      </w:r>
      <w:r>
        <w:tab/>
        <w:t>Apprehended person may be searched</w:t>
      </w:r>
      <w:bookmarkEnd w:id="25"/>
      <w:bookmarkEnd w:id="26"/>
    </w:p>
    <w:p>
      <w:pPr>
        <w:pStyle w:val="Subsection"/>
      </w:pPr>
      <w:r>
        <w:tab/>
        <w:t>(1)</w:t>
      </w:r>
      <w:r>
        <w:tab/>
        <w:t>An authorised officer may search an apprehended person, and any thing found on or with the person, for any thing that can be seized under section 9.</w:t>
      </w:r>
    </w:p>
    <w:p>
      <w:pPr>
        <w:pStyle w:val="Subsection"/>
      </w:pPr>
      <w:r>
        <w:tab/>
        <w:t>(2)</w:t>
      </w:r>
      <w:r>
        <w:tab/>
        <w:t>The search of an apprehended person must be done by a person of the same sex as the apprehended person.</w:t>
      </w:r>
    </w:p>
    <w:p>
      <w:pPr>
        <w:pStyle w:val="Subsection"/>
      </w:pPr>
      <w:r>
        <w:tab/>
        <w:t>(3)</w:t>
      </w:r>
      <w:r>
        <w:tab/>
        <w:t>An authorised officer may use reasonable force to do the search.</w:t>
      </w:r>
    </w:p>
    <w:p>
      <w:pPr>
        <w:pStyle w:val="Subsection"/>
      </w:pPr>
      <w:r>
        <w:tab/>
        <w:t>(4)</w:t>
      </w:r>
      <w:r>
        <w:tab/>
        <w:t>If it is reasonably necessary in order to do the search, an authorised officer may authorise another person to do the search or to assist in doing the search.</w:t>
      </w:r>
    </w:p>
    <w:p>
      <w:pPr>
        <w:pStyle w:val="Subsection"/>
      </w:pPr>
      <w:r>
        <w:tab/>
        <w:t>(5)</w:t>
      </w:r>
      <w:r>
        <w:tab/>
        <w:t>A person so authorised —</w:t>
      </w:r>
    </w:p>
    <w:p>
      <w:pPr>
        <w:pStyle w:val="Indenta"/>
      </w:pPr>
      <w:r>
        <w:tab/>
        <w:t>(a)</w:t>
      </w:r>
      <w:r>
        <w:tab/>
        <w:t>may do the search or assist in doing the search, as authorised; and</w:t>
      </w:r>
    </w:p>
    <w:p>
      <w:pPr>
        <w:pStyle w:val="Indenta"/>
      </w:pPr>
      <w:r>
        <w:tab/>
        <w:t>(b)</w:t>
      </w:r>
      <w:r>
        <w:tab/>
        <w:t>must obey any lawful and reasonable direction of the authorised officer.</w:t>
      </w:r>
    </w:p>
    <w:p>
      <w:pPr>
        <w:pStyle w:val="Heading5"/>
      </w:pPr>
      <w:bookmarkStart w:id="27" w:name="_Toc402970017"/>
      <w:bookmarkStart w:id="28" w:name="_Toc424292091"/>
      <w:r>
        <w:rPr>
          <w:rStyle w:val="CharSectno"/>
        </w:rPr>
        <w:t>9</w:t>
      </w:r>
      <w:r>
        <w:t>.</w:t>
      </w:r>
      <w:r>
        <w:tab/>
        <w:t>Intoxicants and dangerous articles may be seized</w:t>
      </w:r>
      <w:bookmarkEnd w:id="27"/>
      <w:bookmarkEnd w:id="28"/>
    </w:p>
    <w:p>
      <w:pPr>
        <w:pStyle w:val="Subsection"/>
      </w:pPr>
      <w:r>
        <w:tab/>
        <w:t>(1)</w:t>
      </w:r>
      <w:r>
        <w:tab/>
        <w:t>An authorised officer may seize from 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t>(2)</w:t>
      </w:r>
      <w:r>
        <w:tab/>
        <w:t>If alcohol or any substance containing alcohol, is seized from an apprehended person, an authorised officer may destroy it.</w:t>
      </w:r>
    </w:p>
    <w:p>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pPr>
        <w:pStyle w:val="Subsection"/>
      </w:pPr>
      <w:r>
        <w:tab/>
        <w:t>(4)</w:t>
      </w:r>
      <w:r>
        <w:tab/>
        <w:t>Anything seized under subsection (1) that is not destroyed under subsection (2) or (3), must be dealt with under section 14.</w:t>
      </w:r>
    </w:p>
    <w:p>
      <w:pPr>
        <w:pStyle w:val="Subsection"/>
      </w:pPr>
      <w:r>
        <w:tab/>
        <w:t>(5)</w:t>
      </w:r>
      <w:r>
        <w:tab/>
        <w:t>An authorised officer who seizes any thing under this section must record the fact and must record how the thing is dealt with.</w:t>
      </w:r>
    </w:p>
    <w:p>
      <w:pPr>
        <w:pStyle w:val="Heading5"/>
      </w:pPr>
      <w:bookmarkStart w:id="29" w:name="_Toc402970018"/>
      <w:bookmarkStart w:id="30" w:name="_Toc424292092"/>
      <w:r>
        <w:rPr>
          <w:rStyle w:val="CharSectno"/>
        </w:rPr>
        <w:t>10</w:t>
      </w:r>
      <w:r>
        <w:t>.</w:t>
      </w:r>
      <w:r>
        <w:tab/>
        <w:t>Apprehended person may be taken for medical examination</w:t>
      </w:r>
      <w:bookmarkEnd w:id="29"/>
      <w:bookmarkEnd w:id="30"/>
    </w:p>
    <w:p>
      <w:pPr>
        <w:pStyle w:val="Subsection"/>
      </w:pPr>
      <w:r>
        <w:tab/>
        <w:t>(1)</w:t>
      </w:r>
      <w:r>
        <w:tab/>
        <w:t>If an apprehended person needs a medical examination, an authorised officer, as soon as practicable, is to arrange for the person to be medically examined by a suitably qualified person.</w:t>
      </w:r>
    </w:p>
    <w:p>
      <w:pPr>
        <w:pStyle w:val="Subsection"/>
      </w:pPr>
      <w:r>
        <w:tab/>
        <w:t>(2)</w:t>
      </w:r>
      <w:r>
        <w:tab/>
        <w:t>The authorised officer is to continue detaining the apprehended person subject to section 7 unless —</w:t>
      </w:r>
    </w:p>
    <w:p>
      <w:pPr>
        <w:pStyle w:val="Indenta"/>
      </w:pPr>
      <w:r>
        <w:tab/>
        <w:t>(a)</w:t>
      </w:r>
      <w:r>
        <w:tab/>
        <w:t xml:space="preserve">under section 29 of the </w:t>
      </w:r>
      <w:r>
        <w:rPr>
          <w:i/>
        </w:rPr>
        <w:t>Mental Health Act 1996</w:t>
      </w:r>
      <w:r>
        <w:t xml:space="preserve"> the apprehended person is referred for examination by a psychiatrist; or</w:t>
      </w:r>
    </w:p>
    <w:p>
      <w:pPr>
        <w:pStyle w:val="Indenta"/>
      </w:pPr>
      <w:r>
        <w:tab/>
        <w:t>(b)</w:t>
      </w:r>
      <w:r>
        <w:tab/>
        <w:t>the person who medically examines the apprehended person directs that the person be left in his or her charge.</w:t>
      </w:r>
    </w:p>
    <w:p>
      <w:pPr>
        <w:pStyle w:val="Subsection"/>
      </w:pPr>
      <w:r>
        <w:tab/>
        <w:t>(3)</w:t>
      </w:r>
      <w:r>
        <w:tab/>
        <w:t>If an authorised officer arranges for a person to be medically examined the officer must record the fact, the name of the person conducting the examination, and the date and time when the person was examined.</w:t>
      </w:r>
    </w:p>
    <w:p>
      <w:pPr>
        <w:pStyle w:val="Heading2"/>
      </w:pPr>
      <w:bookmarkStart w:id="31" w:name="_Toc402970019"/>
      <w:bookmarkStart w:id="32" w:name="_Toc424292093"/>
      <w:r>
        <w:rPr>
          <w:rStyle w:val="CharPartNo"/>
        </w:rPr>
        <w:t>Part 5</w:t>
      </w:r>
      <w:r>
        <w:rPr>
          <w:rStyle w:val="CharDivNo"/>
        </w:rPr>
        <w:t xml:space="preserve"> </w:t>
      </w:r>
      <w:r>
        <w:t>—</w:t>
      </w:r>
      <w:r>
        <w:rPr>
          <w:rStyle w:val="CharDivText"/>
        </w:rPr>
        <w:t xml:space="preserve"> </w:t>
      </w:r>
      <w:r>
        <w:rPr>
          <w:rStyle w:val="CharPartText"/>
        </w:rPr>
        <w:t>Releasing apprehended people</w:t>
      </w:r>
      <w:bookmarkEnd w:id="31"/>
      <w:bookmarkEnd w:id="32"/>
    </w:p>
    <w:p>
      <w:pPr>
        <w:pStyle w:val="Heading5"/>
      </w:pPr>
      <w:bookmarkStart w:id="33" w:name="_Toc402970020"/>
      <w:bookmarkStart w:id="34" w:name="_Toc424292094"/>
      <w:r>
        <w:rPr>
          <w:rStyle w:val="CharSectno"/>
        </w:rPr>
        <w:t>11</w:t>
      </w:r>
      <w:r>
        <w:t>.</w:t>
      </w:r>
      <w:r>
        <w:tab/>
        <w:t>Releasing apprehended children</w:t>
      </w:r>
      <w:bookmarkEnd w:id="33"/>
      <w:bookmarkEnd w:id="34"/>
    </w:p>
    <w:p>
      <w:pPr>
        <w:pStyle w:val="Subsection"/>
      </w:pPr>
      <w:r>
        <w:tab/>
        <w:t>(1)</w:t>
      </w:r>
      <w:r>
        <w:tab/>
        <w:t>As soon as practicable after a child is apprehended, an authorised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 (a) or (b), into the care of the person in charge of an appropriate facility.</w:t>
      </w:r>
    </w:p>
    <w:p>
      <w:pPr>
        <w:pStyle w:val="Subsection"/>
      </w:pPr>
      <w:r>
        <w:tab/>
        <w:t>(2)</w:t>
      </w:r>
      <w:r>
        <w:tab/>
        <w:t>In deciding which option in subsection (1) to use an authorised officer must give paramount consideration to the safety and welfare of the child.</w:t>
      </w:r>
    </w:p>
    <w:p>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pPr>
      <w:r>
        <w:tab/>
        <w:t>(5)</w:t>
      </w:r>
      <w:r>
        <w:tab/>
        <w:t>Any detention under section 7(1) of a child by a police officer must not be in a police station or lock</w:t>
      </w:r>
      <w:r>
        <w:noBreakHyphen/>
        <w:t>up unless —</w:t>
      </w:r>
    </w:p>
    <w:p>
      <w:pPr>
        <w:pStyle w:val="Indenta"/>
      </w:pPr>
      <w:r>
        <w:tab/>
        <w:t>(a)</w:t>
      </w:r>
      <w:r>
        <w:tab/>
        <w:t>in the time needed to comply with subsection (1) exceptional circumstances arise that justify detaining the child in a police station or lock</w:t>
      </w:r>
      <w:r>
        <w:noBreakHyphen/>
        <w:t>up; or</w:t>
      </w:r>
    </w:p>
    <w:p>
      <w:pPr>
        <w:pStyle w:val="Indenta"/>
      </w:pPr>
      <w:r>
        <w:tab/>
        <w:t>(b)</w:t>
      </w:r>
      <w:r>
        <w:tab/>
        <w:t>exceptional circumstances make it impracticable to comply with subsection (1).</w:t>
      </w:r>
    </w:p>
    <w:p>
      <w:pPr>
        <w:pStyle w:val="Footnotesection"/>
      </w:pPr>
      <w:r>
        <w:tab/>
        <w:t xml:space="preserve">[Section 11 amended by </w:t>
      </w:r>
      <w:r>
        <w:rPr>
          <w:spacing w:val="-6"/>
        </w:rPr>
        <w:t>No. 34 of 2004 s. </w:t>
      </w:r>
      <w:r>
        <w:t>251.]</w:t>
      </w:r>
    </w:p>
    <w:p>
      <w:pPr>
        <w:pStyle w:val="Heading5"/>
      </w:pPr>
      <w:bookmarkStart w:id="35" w:name="_Toc402970021"/>
      <w:bookmarkStart w:id="36" w:name="_Toc424292095"/>
      <w:r>
        <w:rPr>
          <w:rStyle w:val="CharSectno"/>
        </w:rPr>
        <w:t>12</w:t>
      </w:r>
      <w:r>
        <w:t>.</w:t>
      </w:r>
      <w:r>
        <w:tab/>
        <w:t>Releasing apprehended adults</w:t>
      </w:r>
      <w:bookmarkEnd w:id="35"/>
      <w:bookmarkEnd w:id="36"/>
    </w:p>
    <w:p>
      <w:pPr>
        <w:pStyle w:val="Subsection"/>
      </w:pPr>
      <w:r>
        <w:tab/>
        <w:t>(1)</w:t>
      </w:r>
      <w:r>
        <w:tab/>
        <w:t xml:space="preserve">As soon as practicable after an adult is apprehended, an authorised officer must release the adult — </w:t>
      </w:r>
    </w:p>
    <w:p>
      <w:pPr>
        <w:pStyle w:val="Indenta"/>
      </w:pPr>
      <w:r>
        <w:tab/>
        <w:t>(a)</w:t>
      </w:r>
      <w:r>
        <w:tab/>
        <w:t>into the care of another person under section 13; or</w:t>
      </w:r>
    </w:p>
    <w:p>
      <w:pPr>
        <w:pStyle w:val="Indenta"/>
      </w:pPr>
      <w:r>
        <w:tab/>
        <w:t>(b)</w:t>
      </w:r>
      <w:r>
        <w:tab/>
        <w:t>into the care of the person in charge of an appropriate facility.</w:t>
      </w:r>
    </w:p>
    <w:p>
      <w:pPr>
        <w:pStyle w:val="Subsection"/>
      </w:pPr>
      <w:r>
        <w:tab/>
        <w:t>(2)</w:t>
      </w:r>
      <w:r>
        <w:tab/>
        <w:t>Subsection (1) does not prevent an authorised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pPr>
        <w:pStyle w:val="Indenta"/>
      </w:pPr>
      <w:r>
        <w:tab/>
        <w:t>(a)</w:t>
      </w:r>
      <w:r>
        <w:tab/>
        <w:t>in the time needed to comply with subsection (1) exceptional circumstances arise that justify detaining the adult in a police station or lock</w:t>
      </w:r>
      <w:r>
        <w:noBreakHyphen/>
        <w:t>up; or</w:t>
      </w:r>
    </w:p>
    <w:p>
      <w:pPr>
        <w:pStyle w:val="Indenta"/>
      </w:pPr>
      <w:r>
        <w:tab/>
        <w:t>(b)</w:t>
      </w:r>
      <w:r>
        <w:tab/>
        <w:t>it is impracticable to comply with subsection (1) by taking reasonable measures.</w:t>
      </w:r>
    </w:p>
    <w:p>
      <w:pPr>
        <w:pStyle w:val="Heading5"/>
      </w:pPr>
      <w:bookmarkStart w:id="37" w:name="_Toc402970022"/>
      <w:bookmarkStart w:id="38" w:name="_Toc424292096"/>
      <w:r>
        <w:rPr>
          <w:rStyle w:val="CharSectno"/>
        </w:rPr>
        <w:t>13</w:t>
      </w:r>
      <w:r>
        <w:t>.</w:t>
      </w:r>
      <w:r>
        <w:tab/>
        <w:t>Release of adult into care of another person</w:t>
      </w:r>
      <w:bookmarkEnd w:id="37"/>
      <w:bookmarkEnd w:id="38"/>
    </w:p>
    <w:p>
      <w:pPr>
        <w:pStyle w:val="Subsection"/>
      </w:pPr>
      <w:r>
        <w:tab/>
        <w:t>(1)</w:t>
      </w:r>
      <w:r>
        <w:tab/>
        <w:t>An authorised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t>(3)</w:t>
      </w:r>
      <w:r>
        <w:tab/>
        <w:t>If an application is made to a JP and if it is reasonably practicable to do so —</w:t>
      </w:r>
    </w:p>
    <w:p>
      <w:pPr>
        <w:pStyle w:val="Indenta"/>
      </w:pPr>
      <w:r>
        <w:tab/>
        <w:t>(a)</w:t>
      </w:r>
      <w:r>
        <w:tab/>
        <w:t>an authorised officer, subject to section 21, must take the adult, or arrange for the adult to be taken, before the JP; and</w:t>
      </w:r>
    </w:p>
    <w:p>
      <w:pPr>
        <w:pStyle w:val="Indenta"/>
      </w:pPr>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39" w:name="_Toc402970023"/>
      <w:bookmarkStart w:id="40" w:name="_Toc424292097"/>
      <w:r>
        <w:rPr>
          <w:rStyle w:val="CharSectno"/>
        </w:rPr>
        <w:t>14</w:t>
      </w:r>
      <w:r>
        <w:t>.</w:t>
      </w:r>
      <w:r>
        <w:tab/>
        <w:t>Seized things to be returned</w:t>
      </w:r>
      <w:bookmarkEnd w:id="39"/>
      <w:bookmarkEnd w:id="40"/>
    </w:p>
    <w:p>
      <w:pPr>
        <w:pStyle w:val="Subsection"/>
      </w:pPr>
      <w:r>
        <w:tab/>
        <w:t>(1)</w:t>
      </w:r>
      <w:r>
        <w:tab/>
        <w:t>A thing that is seized from an apprehended person under section 9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41" w:name="_Toc402970024"/>
      <w:bookmarkStart w:id="42" w:name="_Toc424292098"/>
      <w:r>
        <w:rPr>
          <w:rStyle w:val="CharSectno"/>
        </w:rPr>
        <w:t>15</w:t>
      </w:r>
      <w:r>
        <w:t>.</w:t>
      </w:r>
      <w:r>
        <w:tab/>
        <w:t>Release procedure</w:t>
      </w:r>
      <w:bookmarkEnd w:id="41"/>
      <w:bookmarkEnd w:id="42"/>
    </w:p>
    <w:p>
      <w:pPr>
        <w:pStyle w:val="Subsection"/>
      </w:pPr>
      <w:r>
        <w:tab/>
        <w:t>(1)</w:t>
      </w:r>
      <w:r>
        <w:tab/>
        <w:t>When an apprehended person is released by an authorised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authorised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Subsection (1) applies even if the apprehended person is released pursuant to an order made under section 19.</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43" w:name="_Toc402970025"/>
      <w:bookmarkStart w:id="44" w:name="_Toc424292099"/>
      <w:r>
        <w:rPr>
          <w:rStyle w:val="CharSectno"/>
        </w:rPr>
        <w:t>16</w:t>
      </w:r>
      <w:r>
        <w:t>.</w:t>
      </w:r>
      <w:r>
        <w:tab/>
        <w:t>Release to be unconditional</w:t>
      </w:r>
      <w:bookmarkEnd w:id="43"/>
      <w:bookmarkEnd w:id="44"/>
    </w:p>
    <w:p>
      <w:pPr>
        <w:pStyle w:val="Subsection"/>
      </w:pPr>
      <w:r>
        <w:tab/>
      </w:r>
      <w:r>
        <w:tab/>
        <w:t>An apprehended person must not be required to enter into a bail undertaking or a recognizance of any kind before being released under this Act.</w:t>
      </w:r>
    </w:p>
    <w:p>
      <w:pPr>
        <w:pStyle w:val="Heading2"/>
      </w:pPr>
      <w:bookmarkStart w:id="45" w:name="_Toc402970026"/>
      <w:bookmarkStart w:id="46" w:name="_Toc424292100"/>
      <w:r>
        <w:rPr>
          <w:rStyle w:val="CharPartNo"/>
        </w:rPr>
        <w:t>Part 6</w:t>
      </w:r>
      <w:r>
        <w:rPr>
          <w:rStyle w:val="CharDivNo"/>
        </w:rPr>
        <w:t xml:space="preserve"> </w:t>
      </w:r>
      <w:r>
        <w:t>—</w:t>
      </w:r>
      <w:r>
        <w:rPr>
          <w:rStyle w:val="CharDivText"/>
        </w:rPr>
        <w:t xml:space="preserve"> </w:t>
      </w:r>
      <w:r>
        <w:rPr>
          <w:rStyle w:val="CharPartText"/>
        </w:rPr>
        <w:t>Judicial review</w:t>
      </w:r>
      <w:bookmarkEnd w:id="45"/>
      <w:bookmarkEnd w:id="46"/>
    </w:p>
    <w:p>
      <w:pPr>
        <w:pStyle w:val="Heading5"/>
      </w:pPr>
      <w:bookmarkStart w:id="47" w:name="_Toc402970027"/>
      <w:bookmarkStart w:id="48" w:name="_Toc424292101"/>
      <w:r>
        <w:rPr>
          <w:rStyle w:val="CharSectno"/>
        </w:rPr>
        <w:t>17</w:t>
      </w:r>
      <w:r>
        <w:t>.</w:t>
      </w:r>
      <w:r>
        <w:tab/>
        <w:t>Apprehended person may request review by JP</w:t>
      </w:r>
      <w:bookmarkEnd w:id="47"/>
      <w:bookmarkEnd w:id="48"/>
    </w:p>
    <w:p>
      <w:pPr>
        <w:pStyle w:val="Subsection"/>
      </w:pPr>
      <w:r>
        <w:tab/>
        <w:t>(1)</w:t>
      </w:r>
      <w:r>
        <w:tab/>
        <w:t>An apprehended person who has not been released may at any time request an authorised officer to take him or her before a JP so that the person can apply to the JP to be released.</w:t>
      </w:r>
    </w:p>
    <w:p>
      <w:pPr>
        <w:pStyle w:val="Subsection"/>
      </w:pPr>
      <w:r>
        <w:tab/>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49" w:name="_Toc402970028"/>
      <w:bookmarkStart w:id="50" w:name="_Toc424292102"/>
      <w:r>
        <w:rPr>
          <w:rStyle w:val="CharSectno"/>
        </w:rPr>
        <w:t>18</w:t>
      </w:r>
      <w:r>
        <w:t>.</w:t>
      </w:r>
      <w:r>
        <w:tab/>
        <w:t>Review of detention after 8 hours</w:t>
      </w:r>
      <w:bookmarkEnd w:id="49"/>
      <w:bookmarkEnd w:id="50"/>
    </w:p>
    <w:p>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51" w:name="_Toc402970029"/>
      <w:bookmarkStart w:id="52" w:name="_Toc424292103"/>
      <w:r>
        <w:rPr>
          <w:rStyle w:val="CharSectno"/>
        </w:rPr>
        <w:t>19</w:t>
      </w:r>
      <w:r>
        <w:t>.</w:t>
      </w:r>
      <w:r>
        <w:tab/>
        <w:t>JP to review detention</w:t>
      </w:r>
      <w:bookmarkEnd w:id="51"/>
      <w:bookmarkEnd w:id="52"/>
    </w:p>
    <w:p>
      <w:pPr>
        <w:pStyle w:val="Subsection"/>
      </w:pPr>
      <w:r>
        <w:tab/>
        <w:t>(1)</w:t>
      </w:r>
      <w:r>
        <w:tab/>
        <w:t>When an apprehended person appears before a JP under section 17 or 18, the JP —</w:t>
      </w:r>
    </w:p>
    <w:p>
      <w:pPr>
        <w:pStyle w:val="Indenta"/>
      </w:pPr>
      <w:r>
        <w:tab/>
        <w:t>(a)</w:t>
      </w:r>
      <w:r>
        <w:tab/>
        <w:t>if satisfied that the person should be released under section 7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53" w:name="_Toc402970030"/>
      <w:bookmarkStart w:id="54" w:name="_Toc424292104"/>
      <w:r>
        <w:rPr>
          <w:rStyle w:val="CharSectno"/>
        </w:rPr>
        <w:t>20</w:t>
      </w:r>
      <w:r>
        <w:t>.</w:t>
      </w:r>
      <w:r>
        <w:tab/>
        <w:t>Declaration by court as to state of intoxication</w:t>
      </w:r>
      <w:bookmarkEnd w:id="53"/>
      <w:bookmarkEnd w:id="54"/>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A declaration made under subsection (4) does not establish that the apprehension was unlawful.</w:t>
      </w:r>
    </w:p>
    <w:p>
      <w:pPr>
        <w:pStyle w:val="Footnotesection"/>
      </w:pPr>
      <w:r>
        <w:tab/>
        <w:t xml:space="preserve">[Section 20 amended by No. 59 of 2004 s. 141.] </w:t>
      </w:r>
    </w:p>
    <w:p>
      <w:pPr>
        <w:pStyle w:val="Heading5"/>
      </w:pPr>
      <w:bookmarkStart w:id="55" w:name="_Toc402970031"/>
      <w:bookmarkStart w:id="56" w:name="_Toc424292105"/>
      <w:r>
        <w:rPr>
          <w:rStyle w:val="CharSectno"/>
        </w:rPr>
        <w:t>21</w:t>
      </w:r>
      <w:r>
        <w:t>.</w:t>
      </w:r>
      <w:r>
        <w:tab/>
        <w:t>Apprehended person to be taken before a JP promptly</w:t>
      </w:r>
      <w:bookmarkEnd w:id="55"/>
      <w:bookmarkEnd w:id="56"/>
    </w:p>
    <w:p>
      <w:pPr>
        <w:pStyle w:val="Subsection"/>
      </w:pPr>
      <w:r>
        <w:tab/>
        <w:t>(1)</w:t>
      </w:r>
      <w:r>
        <w:tab/>
        <w:t>An authorised officer who under section 13(3), 17(2) or 18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57" w:name="_Toc402970032"/>
      <w:bookmarkStart w:id="58" w:name="_Toc424292106"/>
      <w:r>
        <w:rPr>
          <w:rStyle w:val="CharPartNo"/>
        </w:rPr>
        <w:t>Part 7</w:t>
      </w:r>
      <w:r>
        <w:rPr>
          <w:rStyle w:val="CharDivNo"/>
        </w:rPr>
        <w:t xml:space="preserve"> </w:t>
      </w:r>
      <w:r>
        <w:t>—</w:t>
      </w:r>
      <w:r>
        <w:rPr>
          <w:rStyle w:val="CharDivText"/>
        </w:rPr>
        <w:t xml:space="preserve"> </w:t>
      </w:r>
      <w:r>
        <w:rPr>
          <w:rStyle w:val="CharPartText"/>
        </w:rPr>
        <w:t>Miscellaneous</w:t>
      </w:r>
      <w:bookmarkEnd w:id="57"/>
      <w:bookmarkEnd w:id="58"/>
    </w:p>
    <w:p>
      <w:pPr>
        <w:pStyle w:val="Heading5"/>
      </w:pPr>
      <w:bookmarkStart w:id="59" w:name="_Toc402970033"/>
      <w:bookmarkStart w:id="60" w:name="_Toc424292107"/>
      <w:r>
        <w:rPr>
          <w:rStyle w:val="CharSectno"/>
        </w:rPr>
        <w:t>22</w:t>
      </w:r>
      <w:r>
        <w:t>.</w:t>
      </w:r>
      <w:r>
        <w:tab/>
        <w:t>Powers may be exercised without a warrant</w:t>
      </w:r>
      <w:bookmarkEnd w:id="59"/>
      <w:bookmarkEnd w:id="60"/>
    </w:p>
    <w:p>
      <w:pPr>
        <w:pStyle w:val="Subsection"/>
      </w:pPr>
      <w:r>
        <w:tab/>
      </w:r>
      <w:r>
        <w:tab/>
        <w:t>An authorised officer does not need a warrant to exercise the powers conferred on the officer by this Act.</w:t>
      </w:r>
    </w:p>
    <w:p>
      <w:pPr>
        <w:pStyle w:val="Heading5"/>
      </w:pPr>
      <w:bookmarkStart w:id="61" w:name="_Toc402970034"/>
      <w:bookmarkStart w:id="62" w:name="_Toc424292108"/>
      <w:r>
        <w:rPr>
          <w:rStyle w:val="CharSectno"/>
        </w:rPr>
        <w:t>23</w:t>
      </w:r>
      <w:r>
        <w:t>.</w:t>
      </w:r>
      <w:r>
        <w:tab/>
        <w:t>Certain functions may be performed by people providing custodial services</w:t>
      </w:r>
      <w:bookmarkEnd w:id="61"/>
      <w:bookmarkEnd w:id="62"/>
    </w:p>
    <w:p>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 7</w:t>
            </w:r>
          </w:p>
        </w:tc>
        <w:tc>
          <w:tcPr>
            <w:tcW w:w="1700" w:type="dxa"/>
          </w:tcPr>
          <w:p>
            <w:pPr>
              <w:pStyle w:val="Table"/>
              <w:spacing w:before="0" w:line="240" w:lineRule="auto"/>
            </w:pPr>
            <w:r>
              <w:t>s. 11(1)</w:t>
            </w:r>
          </w:p>
        </w:tc>
        <w:tc>
          <w:tcPr>
            <w:tcW w:w="1985" w:type="dxa"/>
          </w:tcPr>
          <w:p>
            <w:pPr>
              <w:pStyle w:val="Table"/>
              <w:spacing w:before="0" w:line="240" w:lineRule="auto"/>
            </w:pPr>
            <w:r>
              <w:t xml:space="preserve">s. 17 </w:t>
            </w:r>
          </w:p>
        </w:tc>
      </w:tr>
      <w:tr>
        <w:tc>
          <w:tcPr>
            <w:tcW w:w="1701" w:type="dxa"/>
          </w:tcPr>
          <w:p>
            <w:pPr>
              <w:pStyle w:val="Table"/>
              <w:spacing w:before="0" w:line="240" w:lineRule="auto"/>
            </w:pPr>
            <w:r>
              <w:t>s. 8</w:t>
            </w:r>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s. 9</w:t>
            </w:r>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s. 15</w:t>
            </w:r>
          </w:p>
        </w:tc>
        <w:tc>
          <w:tcPr>
            <w:tcW w:w="1985" w:type="dxa"/>
          </w:tcPr>
          <w:p>
            <w:pPr>
              <w:pStyle w:val="Table"/>
              <w:spacing w:before="0" w:line="240" w:lineRule="auto"/>
            </w:pPr>
          </w:p>
        </w:tc>
      </w:tr>
    </w:tbl>
    <w:p>
      <w:pPr>
        <w:pStyle w:val="Heading5"/>
      </w:pPr>
      <w:bookmarkStart w:id="63" w:name="_Toc402970035"/>
      <w:bookmarkStart w:id="64" w:name="_Toc424292109"/>
      <w:r>
        <w:rPr>
          <w:rStyle w:val="CharSectno"/>
        </w:rPr>
        <w:t>24</w:t>
      </w:r>
      <w:r>
        <w:t>.</w:t>
      </w:r>
      <w:r>
        <w:tab/>
        <w:t>Apprehended person not to be charged etc.</w:t>
      </w:r>
      <w:bookmarkEnd w:id="63"/>
      <w:bookmarkEnd w:id="64"/>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65" w:name="_Toc402970036"/>
      <w:bookmarkStart w:id="66" w:name="_Toc424292110"/>
      <w:r>
        <w:rPr>
          <w:rStyle w:val="CharSectno"/>
        </w:rPr>
        <w:t>25</w:t>
      </w:r>
      <w:r>
        <w:t>.</w:t>
      </w:r>
      <w:r>
        <w:tab/>
        <w:t>Escape of an apprehended person</w:t>
      </w:r>
      <w:bookmarkEnd w:id="65"/>
      <w:bookmarkEnd w:id="66"/>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67" w:name="_Toc402970037"/>
      <w:bookmarkStart w:id="68" w:name="_Toc424292111"/>
      <w:r>
        <w:rPr>
          <w:rStyle w:val="CharSectno"/>
        </w:rPr>
        <w:t>26</w:t>
      </w:r>
      <w:r>
        <w:t>.</w:t>
      </w:r>
      <w:r>
        <w:tab/>
        <w:t>Approved places</w:t>
      </w:r>
      <w:bookmarkEnd w:id="67"/>
      <w:bookmarkEnd w:id="68"/>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69" w:name="_Toc402970038"/>
      <w:bookmarkStart w:id="70" w:name="_Toc424292112"/>
      <w:r>
        <w:rPr>
          <w:rStyle w:val="CharSectno"/>
        </w:rPr>
        <w:t>27</w:t>
      </w:r>
      <w:r>
        <w:t>.</w:t>
      </w:r>
      <w:r>
        <w:tab/>
        <w:t>Community officers</w:t>
      </w:r>
      <w:bookmarkEnd w:id="69"/>
      <w:bookmarkEnd w:id="70"/>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by No. 42 of 2004 s. 174.]</w:t>
      </w:r>
    </w:p>
    <w:p>
      <w:pPr>
        <w:pStyle w:val="Heading5"/>
        <w:keepNext w:val="0"/>
        <w:keepLines w:val="0"/>
        <w:spacing w:before="180"/>
      </w:pPr>
      <w:bookmarkStart w:id="71" w:name="_Toc402970039"/>
      <w:bookmarkStart w:id="72" w:name="_Toc424292113"/>
      <w:r>
        <w:rPr>
          <w:rStyle w:val="CharSectno"/>
        </w:rPr>
        <w:t>28</w:t>
      </w:r>
      <w:r>
        <w:t>.</w:t>
      </w:r>
      <w:r>
        <w:tab/>
        <w:t>Protection from personal liability</w:t>
      </w:r>
      <w:bookmarkEnd w:id="71"/>
      <w:bookmarkEnd w:id="7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73" w:name="_Toc402970040"/>
      <w:bookmarkStart w:id="74" w:name="_Toc424292114"/>
      <w:r>
        <w:rPr>
          <w:rStyle w:val="CharSectno"/>
        </w:rPr>
        <w:t>29</w:t>
      </w:r>
      <w:r>
        <w:t>.</w:t>
      </w:r>
      <w:r>
        <w:tab/>
        <w:t>Regulations</w:t>
      </w:r>
      <w:bookmarkEnd w:id="73"/>
      <w:bookmarkEnd w:id="74"/>
    </w:p>
    <w:p>
      <w:pPr>
        <w:pStyle w:val="Subsection"/>
      </w:pPr>
      <w:r>
        <w:tab/>
        <w:t>(1)</w:t>
      </w:r>
      <w:r>
        <w:tab/>
        <w:t>The Governor may make regulations prescribing all matters that are necessary or convenient to be prescribed for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Ednotesection"/>
        <w:ind w:left="890" w:hanging="890"/>
      </w:pPr>
      <w:r>
        <w:rPr>
          <w:rStyle w:val="CharSectno"/>
        </w:rPr>
        <w:t>[</w:t>
      </w:r>
      <w:r>
        <w:rPr>
          <w:rStyle w:val="CharSectno"/>
          <w:b/>
          <w:bCs/>
        </w:rPr>
        <w:t>30</w:t>
      </w:r>
      <w:r>
        <w:rPr>
          <w:b/>
          <w:bCs/>
        </w:rPr>
        <w:t>.</w:t>
      </w:r>
      <w:r>
        <w:tab/>
        <w:t>Omitted under the Reprints Act 1984 s. 7(4)(e).]</w:t>
      </w:r>
    </w:p>
    <w:p>
      <w:pPr>
        <w:pStyle w:val="Ednotepart"/>
        <w:rPr>
          <w:sz w:val="22"/>
        </w:rPr>
      </w:pPr>
      <w:r>
        <w:rPr>
          <w:sz w:val="22"/>
        </w:rPr>
        <w:t>[Schedule 1 omitted under the Reprints Act 1984 s. 7(4)(e).]</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5" w:name="_Toc402970041"/>
      <w:bookmarkStart w:id="76" w:name="_Toc424292115"/>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 w:name="_Toc402970042"/>
      <w:bookmarkStart w:id="78" w:name="_Toc424292116"/>
      <w: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Protective </w:t>
            </w:r>
            <w:r>
              <w:rPr>
                <w:i/>
              </w:rPr>
              <w:t>Custody</w:t>
            </w:r>
            <w:r>
              <w:rPr>
                <w:i/>
                <w:snapToGrid w:val="0"/>
              </w:rPr>
              <w:t xml:space="preserve"> Act 2000</w:t>
            </w:r>
          </w:p>
        </w:tc>
        <w:tc>
          <w:tcPr>
            <w:tcW w:w="1134" w:type="dxa"/>
            <w:tcBorders>
              <w:top w:val="single" w:sz="8" w:space="0" w:color="auto"/>
            </w:tcBorders>
          </w:tcPr>
          <w:p>
            <w:pPr>
              <w:pStyle w:val="nTable"/>
              <w:spacing w:after="40"/>
            </w:pPr>
            <w:r>
              <w:t>50 of 2000</w:t>
            </w:r>
          </w:p>
        </w:tc>
        <w:tc>
          <w:tcPr>
            <w:tcW w:w="1134" w:type="dxa"/>
            <w:tcBorders>
              <w:top w:val="single" w:sz="8" w:space="0" w:color="auto"/>
            </w:tcBorders>
          </w:tcPr>
          <w:p>
            <w:pPr>
              <w:pStyle w:val="nTable"/>
              <w:spacing w:after="40"/>
            </w:pPr>
            <w:r>
              <w:t>28 Nov 2000</w:t>
            </w:r>
          </w:p>
        </w:tc>
        <w:tc>
          <w:tcPr>
            <w:tcW w:w="2551" w:type="dxa"/>
            <w:tcBorders>
              <w:top w:val="single" w:sz="8" w:space="0" w:color="auto"/>
            </w:tcBorders>
          </w:tcPr>
          <w:p>
            <w:pPr>
              <w:pStyle w:val="nTable"/>
              <w:spacing w:after="40"/>
            </w:pPr>
            <w:r>
              <w:t xml:space="preserve">1 Jan 2001 (see s. 2 and </w:t>
            </w:r>
            <w:r>
              <w:rPr>
                <w:i/>
              </w:rPr>
              <w:t>Gazette</w:t>
            </w:r>
            <w:r>
              <w:t xml:space="preserve"> 29 Dec 2000 p. 7903)</w:t>
            </w:r>
          </w:p>
        </w:tc>
      </w:tr>
      <w:tr>
        <w:tc>
          <w:tcPr>
            <w:tcW w:w="2268" w:type="dxa"/>
          </w:tcPr>
          <w:p>
            <w:pPr>
              <w:pStyle w:val="nTable"/>
              <w:spacing w:after="40"/>
              <w:rPr>
                <w:i/>
                <w:snapToGrid w:val="0"/>
              </w:rPr>
            </w:pPr>
            <w:r>
              <w:rPr>
                <w:i/>
              </w:rPr>
              <w:t>Public Transport Authority Act 2003</w:t>
            </w:r>
            <w:r>
              <w:t xml:space="preserve"> s. 206 </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c>
          <w:tcPr>
            <w:tcW w:w="2268" w:type="dxa"/>
          </w:tcPr>
          <w:p>
            <w:pPr>
              <w:pStyle w:val="nTable"/>
              <w:spacing w:after="40"/>
              <w:rPr>
                <w:i/>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pacing w:val="-2"/>
              </w:rPr>
              <w:t xml:space="preserve">4 Jan 2005 (see s. 2 and </w:t>
            </w:r>
            <w:r>
              <w:rPr>
                <w:i/>
                <w:iCs/>
                <w:spacing w:val="-2"/>
              </w:rPr>
              <w:t>Gazette</w:t>
            </w:r>
            <w:r>
              <w:rPr>
                <w:iCs/>
                <w:spacing w:val="-2"/>
              </w:rPr>
              <w:t xml:space="preserve"> 31 Dec 2004 p. 7131)</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iCs/>
                <w:spacing w:val="-2"/>
              </w:rPr>
            </w:pPr>
            <w:r>
              <w:rPr>
                <w:snapToGrid w:val="0"/>
              </w:rPr>
              <w:t xml:space="preserve">1 May 2005 (see s. 2 and </w:t>
            </w:r>
            <w:r>
              <w:rPr>
                <w:i/>
                <w:iCs/>
                <w:snapToGrid w:val="0"/>
              </w:rPr>
              <w:t>Gazette</w:t>
            </w:r>
            <w:r>
              <w:rPr>
                <w:snapToGrid w:val="0"/>
              </w:rPr>
              <w:t xml:space="preserve"> 31 Dec 2004 p. 7128)</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 xml:space="preserve">Protective </w:t>
            </w:r>
            <w:r>
              <w:rPr>
                <w:b/>
                <w:bCs/>
                <w:i/>
                <w:iCs/>
              </w:rPr>
              <w:t>Custody</w:t>
            </w:r>
            <w:r>
              <w:rPr>
                <w:b/>
                <w:bCs/>
                <w:i/>
                <w:snapToGrid w:val="0"/>
              </w:rPr>
              <w:t xml:space="preserve"> Act 2000</w:t>
            </w:r>
            <w:r>
              <w:rPr>
                <w:b/>
                <w:bCs/>
                <w:snapToGrid w:val="0"/>
              </w:rPr>
              <w:t xml:space="preserve"> as at 2 Jun 2006</w:t>
            </w:r>
            <w:r>
              <w:rPr>
                <w:snapToGrid w:val="0"/>
              </w:rPr>
              <w:t xml:space="preserve"> (includes amendments listed above)</w:t>
            </w:r>
          </w:p>
        </w:tc>
      </w:tr>
      <w:tr>
        <w:tc>
          <w:tcPr>
            <w:tcW w:w="2268" w:type="dxa"/>
            <w:tcBorders>
              <w:bottom w:val="single" w:sz="4" w:space="0" w:color="auto"/>
            </w:tcBorders>
          </w:tcPr>
          <w:p>
            <w:pPr>
              <w:pStyle w:val="nTable"/>
              <w:spacing w:after="40"/>
              <w:rPr>
                <w:i/>
                <w:iCs/>
                <w:snapToGrid w:val="0"/>
              </w:rPr>
            </w:pPr>
            <w:r>
              <w:rPr>
                <w:i/>
              </w:rPr>
              <w:t>Police Amendment Act 2008</w:t>
            </w:r>
            <w:r>
              <w:rPr>
                <w:iCs/>
              </w:rPr>
              <w:t>.s. 17 and 23(7)</w:t>
            </w:r>
          </w:p>
        </w:tc>
        <w:tc>
          <w:tcPr>
            <w:tcW w:w="1134" w:type="dxa"/>
            <w:tcBorders>
              <w:bottom w:val="single" w:sz="4" w:space="0" w:color="auto"/>
            </w:tcBorders>
          </w:tcPr>
          <w:p>
            <w:pPr>
              <w:pStyle w:val="nTable"/>
              <w:spacing w:after="40"/>
              <w:rPr>
                <w:snapToGrid w:val="0"/>
              </w:rPr>
            </w:pPr>
            <w:r>
              <w:t>8 of 2008</w:t>
            </w:r>
          </w:p>
        </w:tc>
        <w:tc>
          <w:tcPr>
            <w:tcW w:w="1134" w:type="dxa"/>
            <w:tcBorders>
              <w:bottom w:val="single" w:sz="4" w:space="0" w:color="auto"/>
            </w:tcBorders>
          </w:tcPr>
          <w:p>
            <w:pPr>
              <w:pStyle w:val="nTable"/>
              <w:spacing w:after="40"/>
            </w:pPr>
            <w:r>
              <w:t>31 Mar 2008</w:t>
            </w:r>
          </w:p>
        </w:tc>
        <w:tc>
          <w:tcPr>
            <w:tcW w:w="2551" w:type="dxa"/>
            <w:tcBorders>
              <w:bottom w:val="single" w:sz="4" w:space="0" w:color="auto"/>
            </w:tcBorders>
          </w:tcPr>
          <w:p>
            <w:pPr>
              <w:pStyle w:val="nTable"/>
              <w:spacing w:after="40"/>
              <w:rPr>
                <w:iCs/>
                <w:spacing w:val="-2"/>
              </w:rPr>
            </w:pPr>
            <w:r>
              <w:t>s. 17: 1 Apr 2008 (see s. 2(1))</w:t>
            </w:r>
            <w:r>
              <w:br/>
              <w:t xml:space="preserve">s. 23(7): 21 Jun 2008 (see s. 2(2) and </w:t>
            </w:r>
            <w:r>
              <w:rPr>
                <w:i/>
                <w:iCs/>
              </w:rPr>
              <w:t>Gazette</w:t>
            </w:r>
            <w:r>
              <w:t xml:space="preserve"> 20 Jun 2008 p. 2706)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 w:name="_Toc7405065"/>
      <w:bookmarkStart w:id="80" w:name="_Toc402970043"/>
      <w:bookmarkStart w:id="81" w:name="_Toc424292117"/>
      <w:r>
        <w:t>Provisions that have not come into operation</w:t>
      </w:r>
      <w:bookmarkEnd w:id="79"/>
      <w:bookmarkEnd w:id="80"/>
      <w:bookmarkEnd w:id="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4 Subdiv. 20 </w:t>
            </w:r>
            <w:r>
              <w:rPr>
                <w:vertAlign w:val="superscript"/>
              </w:rPr>
              <w:t>2</w:t>
            </w:r>
          </w:p>
        </w:tc>
        <w:tc>
          <w:tcPr>
            <w:tcW w:w="1118"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2" w:type="dxa"/>
          </w:tcPr>
          <w:p>
            <w:pPr>
              <w:pStyle w:val="nTable"/>
              <w:spacing w:after="40"/>
              <w:rPr>
                <w:snapToGrid w:val="0"/>
                <w:lang w:val="en-US"/>
              </w:rPr>
            </w:pPr>
            <w:r>
              <w:rPr>
                <w:snapToGrid w:val="0"/>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20</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82" w:name="_Toc373331812"/>
      <w:bookmarkStart w:id="83" w:name="_Toc373332059"/>
      <w:bookmarkStart w:id="84" w:name="_Toc385413042"/>
      <w:bookmarkStart w:id="85" w:name="_Toc385413290"/>
      <w:bookmarkStart w:id="86" w:name="_Toc385415631"/>
      <w:bookmarkStart w:id="87" w:name="_Toc385498823"/>
      <w:bookmarkStart w:id="88" w:name="_Toc385500219"/>
      <w:bookmarkStart w:id="89" w:name="_Toc401671244"/>
      <w:bookmarkStart w:id="90" w:name="_Toc401673109"/>
      <w:bookmarkStart w:id="91" w:name="_Toc402180222"/>
      <w:r>
        <w:rPr>
          <w:rStyle w:val="CharPartNo"/>
        </w:rPr>
        <w:t>Part 4</w:t>
      </w:r>
      <w:r>
        <w:t> — </w:t>
      </w:r>
      <w:r>
        <w:rPr>
          <w:rStyle w:val="CharPartText"/>
        </w:rPr>
        <w:t>Amendments to other Acts</w:t>
      </w:r>
      <w:bookmarkEnd w:id="82"/>
      <w:bookmarkEnd w:id="83"/>
      <w:bookmarkEnd w:id="84"/>
      <w:bookmarkEnd w:id="85"/>
      <w:bookmarkEnd w:id="86"/>
      <w:bookmarkEnd w:id="87"/>
      <w:bookmarkEnd w:id="88"/>
      <w:bookmarkEnd w:id="89"/>
      <w:bookmarkEnd w:id="90"/>
      <w:bookmarkEnd w:id="91"/>
    </w:p>
    <w:p>
      <w:pPr>
        <w:pStyle w:val="nzHeading3"/>
        <w:rPr>
          <w:rStyle w:val="CharPartText"/>
          <w:b w:val="0"/>
          <w:sz w:val="18"/>
        </w:rPr>
      </w:pPr>
      <w:bookmarkStart w:id="92" w:name="_Toc373331841"/>
      <w:bookmarkStart w:id="93" w:name="_Toc373332088"/>
      <w:bookmarkStart w:id="94" w:name="_Toc385413072"/>
      <w:bookmarkStart w:id="95" w:name="_Toc385413320"/>
      <w:bookmarkStart w:id="96" w:name="_Toc385415661"/>
      <w:bookmarkStart w:id="97" w:name="_Toc385498853"/>
      <w:bookmarkStart w:id="98" w:name="_Toc385500249"/>
      <w:bookmarkStart w:id="99" w:name="_Toc401671274"/>
      <w:bookmarkStart w:id="100" w:name="_Toc401673139"/>
      <w:bookmarkStart w:id="101" w:name="_Toc402180252"/>
      <w:r>
        <w:rPr>
          <w:rStyle w:val="CharDivNo"/>
        </w:rPr>
        <w:t>Division 4</w:t>
      </w:r>
      <w:r>
        <w:t> — </w:t>
      </w:r>
      <w:r>
        <w:rPr>
          <w:rStyle w:val="CharDivText"/>
        </w:rPr>
        <w:t>Other Acts amended</w:t>
      </w:r>
      <w:bookmarkEnd w:id="92"/>
      <w:bookmarkEnd w:id="93"/>
      <w:bookmarkEnd w:id="94"/>
      <w:bookmarkEnd w:id="95"/>
      <w:bookmarkEnd w:id="96"/>
      <w:bookmarkEnd w:id="97"/>
      <w:bookmarkEnd w:id="98"/>
      <w:bookmarkEnd w:id="99"/>
      <w:bookmarkEnd w:id="100"/>
      <w:bookmarkEnd w:id="101"/>
    </w:p>
    <w:p>
      <w:pPr>
        <w:pStyle w:val="nzHeading4"/>
      </w:pPr>
      <w:bookmarkStart w:id="102" w:name="_Toc373331908"/>
      <w:bookmarkStart w:id="103" w:name="_Toc373332155"/>
      <w:bookmarkStart w:id="104" w:name="_Toc385413139"/>
      <w:bookmarkStart w:id="105" w:name="_Toc385413387"/>
      <w:bookmarkStart w:id="106" w:name="_Toc385415728"/>
      <w:bookmarkStart w:id="107" w:name="_Toc385498920"/>
      <w:bookmarkStart w:id="108" w:name="_Toc385500316"/>
      <w:bookmarkStart w:id="109" w:name="_Toc401671341"/>
      <w:bookmarkStart w:id="110" w:name="_Toc401673206"/>
      <w:bookmarkStart w:id="111" w:name="_Toc402180319"/>
      <w:r>
        <w:t>Subdivision 20 — </w:t>
      </w:r>
      <w:r>
        <w:rPr>
          <w:i/>
        </w:rPr>
        <w:t>Protective Custody Act 2000</w:t>
      </w:r>
      <w:r>
        <w:t xml:space="preserve"> amended</w:t>
      </w:r>
      <w:bookmarkEnd w:id="102"/>
      <w:bookmarkEnd w:id="103"/>
      <w:bookmarkEnd w:id="104"/>
      <w:bookmarkEnd w:id="105"/>
      <w:bookmarkEnd w:id="106"/>
      <w:bookmarkEnd w:id="107"/>
      <w:bookmarkEnd w:id="108"/>
      <w:bookmarkEnd w:id="109"/>
      <w:bookmarkEnd w:id="110"/>
      <w:bookmarkEnd w:id="111"/>
    </w:p>
    <w:p>
      <w:pPr>
        <w:pStyle w:val="nzHeading5"/>
      </w:pPr>
      <w:bookmarkStart w:id="112" w:name="_Toc402180320"/>
      <w:r>
        <w:rPr>
          <w:rStyle w:val="CharSectno"/>
        </w:rPr>
        <w:t>78</w:t>
      </w:r>
      <w:r>
        <w:t>.</w:t>
      </w:r>
      <w:r>
        <w:tab/>
        <w:t>Act amended</w:t>
      </w:r>
      <w:bookmarkEnd w:id="112"/>
    </w:p>
    <w:p>
      <w:pPr>
        <w:pStyle w:val="nzSubsection"/>
      </w:pPr>
      <w:r>
        <w:tab/>
      </w:r>
      <w:r>
        <w:tab/>
        <w:t xml:space="preserve">This Subdivision amends the </w:t>
      </w:r>
      <w:r>
        <w:rPr>
          <w:i/>
        </w:rPr>
        <w:t>Protective Custody Act 2000</w:t>
      </w:r>
      <w:r>
        <w:t>.</w:t>
      </w:r>
    </w:p>
    <w:p>
      <w:pPr>
        <w:pStyle w:val="nzHeading5"/>
      </w:pPr>
      <w:bookmarkStart w:id="113" w:name="_Toc402180321"/>
      <w:r>
        <w:rPr>
          <w:rStyle w:val="CharSectno"/>
        </w:rPr>
        <w:t>79</w:t>
      </w:r>
      <w:r>
        <w:t>.</w:t>
      </w:r>
      <w:r>
        <w:tab/>
        <w:t>Section 4 amended</w:t>
      </w:r>
      <w:bookmarkEnd w:id="113"/>
    </w:p>
    <w:p>
      <w:pPr>
        <w:pStyle w:val="nzSubsection"/>
      </w:pPr>
      <w:r>
        <w:tab/>
      </w:r>
      <w:r>
        <w:tab/>
        <w:t xml:space="preserve">In section 4(2) delete “section 195 of the </w:t>
      </w:r>
      <w:r>
        <w:rPr>
          <w:i/>
        </w:rPr>
        <w:t>Mental Health Act 1996</w:t>
      </w:r>
      <w:r>
        <w:t>.” and insert:</w:t>
      </w:r>
    </w:p>
    <w:p>
      <w:pPr>
        <w:pStyle w:val="BlankOpen"/>
        <w:tabs>
          <w:tab w:val="left" w:pos="2694"/>
        </w:tabs>
      </w:pPr>
    </w:p>
    <w:p>
      <w:pPr>
        <w:pStyle w:val="nzSubsection"/>
      </w:pPr>
      <w:r>
        <w:tab/>
      </w:r>
      <w:r>
        <w:tab/>
        <w:t xml:space="preserve">the </w:t>
      </w:r>
      <w:r>
        <w:rPr>
          <w:i/>
        </w:rPr>
        <w:t>Mental Health Act 2014</w:t>
      </w:r>
      <w:r>
        <w:t xml:space="preserve"> section 156.</w:t>
      </w:r>
    </w:p>
    <w:p>
      <w:pPr>
        <w:pStyle w:val="BlankClose"/>
        <w:tabs>
          <w:tab w:val="left" w:pos="2694"/>
        </w:tabs>
      </w:pPr>
    </w:p>
    <w:p>
      <w:pPr>
        <w:pStyle w:val="nzHeading5"/>
      </w:pPr>
      <w:bookmarkStart w:id="114" w:name="_Toc402180322"/>
      <w:r>
        <w:rPr>
          <w:rStyle w:val="CharSectno"/>
        </w:rPr>
        <w:t>80</w:t>
      </w:r>
      <w:r>
        <w:t>.</w:t>
      </w:r>
      <w:r>
        <w:tab/>
        <w:t>Section 10 amended</w:t>
      </w:r>
      <w:bookmarkEnd w:id="114"/>
    </w:p>
    <w:p>
      <w:pPr>
        <w:pStyle w:val="nzSubsection"/>
      </w:pPr>
      <w:r>
        <w:tab/>
      </w:r>
      <w:r>
        <w:tab/>
        <w:t>Delete section 10(2)(a) and insert:</w:t>
      </w:r>
    </w:p>
    <w:p>
      <w:pPr>
        <w:pStyle w:val="BlankOpen"/>
        <w:tabs>
          <w:tab w:val="left" w:pos="2694"/>
        </w:tabs>
      </w:pPr>
    </w:p>
    <w:p>
      <w:pPr>
        <w:pStyle w:val="nzIndenta"/>
      </w:pPr>
      <w:r>
        <w:tab/>
        <w:t>(a)</w:t>
      </w:r>
      <w:r>
        <w:tab/>
        <w:t xml:space="preserve">the apprehended person is referred under the </w:t>
      </w:r>
      <w:r>
        <w:rPr>
          <w:i/>
        </w:rPr>
        <w:t>Mental Health Act 2014</w:t>
      </w:r>
      <w:r>
        <w:t xml:space="preserve"> section 26(2) or (3)(a) for an examination by a psychiatrist at an authorised hospital or another place; or</w:t>
      </w:r>
    </w:p>
    <w:p>
      <w:pPr>
        <w:pStyle w:val="BlankClose"/>
        <w:tabs>
          <w:tab w:val="left" w:pos="2694"/>
        </w:tabs>
      </w:pPr>
    </w:p>
    <w:p>
      <w:pPr>
        <w:pStyle w:val="BlankOpe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apprehended</w:t>
      </w:r>
      <w:r>
        <w:tab/>
        <w:t>3</w:t>
      </w:r>
    </w:p>
    <w:p>
      <w:pPr>
        <w:pStyle w:val="DefinedTerms"/>
      </w:pPr>
      <w:r>
        <w:t>appropriate facility</w:t>
      </w:r>
      <w:r>
        <w:tab/>
        <w:t>3</w:t>
      </w:r>
    </w:p>
    <w:p>
      <w:pPr>
        <w:pStyle w:val="DefinedTerms"/>
      </w:pPr>
      <w:r>
        <w:t>approved place</w:t>
      </w:r>
      <w:r>
        <w:tab/>
        <w:t>3</w:t>
      </w:r>
    </w:p>
    <w:p>
      <w:pPr>
        <w:pStyle w:val="DefinedTerms"/>
      </w:pPr>
      <w:r>
        <w:t>authorised officer</w:t>
      </w:r>
      <w:r>
        <w:tab/>
        <w:t>3</w:t>
      </w:r>
    </w:p>
    <w:p>
      <w:pPr>
        <w:pStyle w:val="DefinedTerms"/>
      </w:pPr>
      <w:r>
        <w:t>child</w:t>
      </w:r>
      <w:r>
        <w:tab/>
        <w:t>3</w:t>
      </w:r>
    </w:p>
    <w:p>
      <w:pPr>
        <w:pStyle w:val="DefinedTerms"/>
      </w:pPr>
      <w:r>
        <w:t>community officer</w:t>
      </w:r>
      <w:r>
        <w:tab/>
        <w:t>3</w:t>
      </w:r>
    </w:p>
    <w:p>
      <w:pPr>
        <w:pStyle w:val="DefinedTerms"/>
      </w:pPr>
      <w:r>
        <w:t>intoxicant</w:t>
      </w:r>
      <w:r>
        <w:tab/>
        <w:t>3</w:t>
      </w:r>
    </w:p>
    <w:p>
      <w:pPr>
        <w:pStyle w:val="DefinedTerms"/>
      </w:pPr>
      <w:r>
        <w:t>intoxicated</w:t>
      </w:r>
      <w:r>
        <w:tab/>
        <w:t>3</w:t>
      </w:r>
    </w:p>
    <w:p>
      <w:pPr>
        <w:pStyle w:val="DefinedTerms"/>
      </w:pPr>
      <w:r>
        <w:t>JP</w:t>
      </w:r>
      <w:r>
        <w:tab/>
        <w:t>3</w:t>
      </w:r>
    </w:p>
    <w:p>
      <w:pPr>
        <w:pStyle w:val="DefinedTerms"/>
      </w:pPr>
      <w:r>
        <w:t>public place</w:t>
      </w:r>
      <w:r>
        <w:tab/>
        <w:t>3</w:t>
      </w:r>
    </w:p>
    <w:p>
      <w:pPr>
        <w:pStyle w:val="DefinedTerms"/>
      </w:pPr>
      <w:r>
        <w:t>volatile substance</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34"/>
    <w:docVar w:name="WAFER_20140124121017" w:val="RemoveTocBookmarks,RemoveUnusedBookmarks,RemoveLanguageTags,UsedStyles,ResetPageSize,UpdateArrangement"/>
    <w:docVar w:name="WAFER_20140124121017_GUID" w:val="0e296d20-7825-47ae-a620-632da11979c0"/>
    <w:docVar w:name="WAFER_20140124124504" w:val="RemoveTocBookmarks,RunningHeaders"/>
    <w:docVar w:name="WAFER_20140124124504_GUID" w:val="ad38ae0b-7828-43f6-bc2a-dab66271437c"/>
    <w:docVar w:name="WAFER_20141104172204" w:val="RemoveTocBookmarks,RemoveUnusedBookmarks,RemoveLanguageTags,UsedStyles,ResetPageSize"/>
    <w:docVar w:name="WAFER_20141104172204_GUID" w:val="474f1a38-1669-46c9-9a21-a0e3f60fcd97"/>
    <w:docVar w:name="WAFER_20150710113811" w:val="ResetPageSize,UpdateArrangement,UpdateNTable"/>
    <w:docVar w:name="WAFER_20150710113811_GUID" w:val="4cab3aa2-5360-4c1e-9f56-4406ba2300d5"/>
    <w:docVar w:name="WAFER_20151109113034" w:val="UpdateStyles,UsedStyles"/>
    <w:docVar w:name="WAFER_20151109113034_GUID" w:val="4d989817-3511-4ba6-83b8-196205c8b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4875</Words>
  <Characters>22819</Characters>
  <Application>Microsoft Office Word</Application>
  <DocSecurity>0</DocSecurity>
  <Lines>691</Lines>
  <Paragraphs>446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2000 - 01-d0-02</dc:title>
  <dc:subject/>
  <dc:creator/>
  <cp:keywords/>
  <dc:description/>
  <cp:lastModifiedBy>svcMRProcess</cp:lastModifiedBy>
  <cp:revision>4</cp:revision>
  <cp:lastPrinted>2006-06-08T02:01:00Z</cp:lastPrinted>
  <dcterms:created xsi:type="dcterms:W3CDTF">2015-11-11T05:55:00Z</dcterms:created>
  <dcterms:modified xsi:type="dcterms:W3CDTF">2015-11-11T05:55:00Z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2040</vt:i4>
  </property>
  <property fmtid="{D5CDD505-2E9C-101B-9397-08002B2CF9AE}" pid="6" name="ReprintNo">
    <vt:lpwstr>1</vt:lpwstr>
  </property>
  <property fmtid="{D5CDD505-2E9C-101B-9397-08002B2CF9AE}" pid="7" name="AsAtDate">
    <vt:lpwstr>03 Nov 2014</vt:lpwstr>
  </property>
  <property fmtid="{D5CDD505-2E9C-101B-9397-08002B2CF9AE}" pid="8" name="Suffix">
    <vt:lpwstr>01-d0-02</vt:lpwstr>
  </property>
</Properties>
</file>