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Road Traffic Act 1974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(Licensing) Regulations 1975</w:t>
      </w:r>
      <w:r>
        <w:rPr>
          <w:sz w:val="48"/>
        </w:rPr>
        <w:fldChar w:fldCharType="end"/>
      </w:r>
    </w:p>
    <w:p>
      <w:pPr>
        <w:pStyle w:val="ReprintNo"/>
        <w:outlineLvl w:val="9"/>
      </w:pPr>
      <w:r>
        <w:t>Reprint 9:  The regulations as at 17 October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303098"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7"/>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October 2014</w:t>
            </w:r>
          </w:p>
        </w:tc>
      </w:tr>
    </w:tbl>
    <w:p>
      <w:pPr>
        <w:pStyle w:val="WA"/>
        <w:spacing w:before="120"/>
      </w:pPr>
      <w:r>
        <w:t>Western Australia</w:t>
      </w:r>
    </w:p>
    <w:p>
      <w:pPr>
        <w:pStyle w:val="NameofActRegPage1"/>
        <w:spacing w:after="640"/>
      </w:pPr>
      <w:r>
        <w:fldChar w:fldCharType="begin"/>
      </w:r>
      <w:r>
        <w:instrText xml:space="preserve"> STYLEREF "Name Of Act/Reg"</w:instrText>
      </w:r>
      <w:r>
        <w:fldChar w:fldCharType="separate"/>
      </w:r>
      <w:r>
        <w:rPr>
          <w:noProof/>
        </w:rPr>
        <w:t>Road Traffic (Licensing) Regulations 1975</w:t>
      </w:r>
      <w:r>
        <w:fldChar w:fldCharType="end"/>
      </w:r>
    </w:p>
    <w:p>
      <w:pPr>
        <w:pStyle w:val="Arrangement"/>
        <w:spacing w:after="400"/>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_Toc403052477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_Toc403052478 \h </w:instrText>
      </w:r>
      <w:r>
        <w:fldChar w:fldCharType="separate"/>
      </w:r>
      <w:r>
        <w:t>1</w:t>
      </w:r>
      <w:r>
        <w:fldChar w:fldCharType="end"/>
      </w:r>
    </w:p>
    <w:p>
      <w:pPr>
        <w:pStyle w:val="TOC8"/>
        <w:rPr>
          <w:rFonts w:asciiTheme="minorHAnsi" w:eastAsiaTheme="minorEastAsia" w:hAnsiTheme="minorHAnsi" w:cstheme="minorBidi"/>
          <w:szCs w:val="22"/>
        </w:rPr>
      </w:pPr>
      <w:r>
        <w:t>3AA.</w:t>
      </w:r>
      <w:r>
        <w:tab/>
        <w:t>Vehicles required to be licensed</w:t>
      </w:r>
      <w:r>
        <w:tab/>
      </w:r>
      <w:r>
        <w:fldChar w:fldCharType="begin"/>
      </w:r>
      <w:r>
        <w:instrText xml:space="preserve"> PAGEREF _Toc403052479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IA — Inspection of vehicles</w:t>
      </w:r>
    </w:p>
    <w:p>
      <w:pPr>
        <w:pStyle w:val="TOC8"/>
        <w:rPr>
          <w:rFonts w:asciiTheme="minorHAnsi" w:eastAsiaTheme="minorEastAsia" w:hAnsiTheme="minorHAnsi" w:cstheme="minorBidi"/>
          <w:szCs w:val="22"/>
        </w:rPr>
      </w:pPr>
      <w:r>
        <w:t>3A</w:t>
      </w:r>
      <w:r>
        <w:rPr>
          <w:snapToGrid w:val="0"/>
        </w:rPr>
        <w:t>.</w:t>
      </w:r>
      <w:r>
        <w:rPr>
          <w:snapToGrid w:val="0"/>
        </w:rPr>
        <w:tab/>
        <w:t>Persons may be authorised to examine vehicles</w:t>
      </w:r>
      <w:r>
        <w:tab/>
      </w:r>
      <w:r>
        <w:fldChar w:fldCharType="begin"/>
      </w:r>
      <w:r>
        <w:instrText xml:space="preserve"> PAGEREF _Toc403052481 \h </w:instrText>
      </w:r>
      <w:r>
        <w:fldChar w:fldCharType="separate"/>
      </w:r>
      <w:r>
        <w:t>8</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Certificate of inspection</w:t>
      </w:r>
      <w:r>
        <w:tab/>
      </w:r>
      <w:r>
        <w:fldChar w:fldCharType="begin"/>
      </w:r>
      <w:r>
        <w:instrText xml:space="preserve"> PAGEREF _Toc403052482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 — Licences</w:t>
      </w:r>
    </w:p>
    <w:p>
      <w:pPr>
        <w:pStyle w:val="TOC8"/>
        <w:rPr>
          <w:rFonts w:asciiTheme="minorHAnsi" w:eastAsiaTheme="minorEastAsia" w:hAnsiTheme="minorHAnsi" w:cstheme="minorBidi"/>
          <w:szCs w:val="22"/>
        </w:rPr>
      </w:pPr>
      <w:r>
        <w:t>3D.</w:t>
      </w:r>
      <w:r>
        <w:tab/>
        <w:t>Minimum age of applicant for grant of licence</w:t>
      </w:r>
      <w:r>
        <w:tab/>
      </w:r>
      <w:r>
        <w:fldChar w:fldCharType="begin"/>
      </w:r>
      <w:r>
        <w:instrText xml:space="preserve"> PAGEREF _Toc403052484 \h </w:instrText>
      </w:r>
      <w:r>
        <w:fldChar w:fldCharType="separate"/>
      </w:r>
      <w:r>
        <w:t>10</w:t>
      </w:r>
      <w:r>
        <w:fldChar w:fldCharType="end"/>
      </w:r>
    </w:p>
    <w:p>
      <w:pPr>
        <w:pStyle w:val="TOC8"/>
        <w:rPr>
          <w:rFonts w:asciiTheme="minorHAnsi" w:eastAsiaTheme="minorEastAsia" w:hAnsiTheme="minorHAnsi" w:cstheme="minorBidi"/>
          <w:szCs w:val="22"/>
        </w:rPr>
      </w:pPr>
      <w:r>
        <w:t>3E.</w:t>
      </w:r>
      <w:r>
        <w:tab/>
        <w:t>Proof of age and identity of applicant for grant of licence</w:t>
      </w:r>
      <w:r>
        <w:tab/>
      </w:r>
      <w:r>
        <w:fldChar w:fldCharType="begin"/>
      </w:r>
      <w:r>
        <w:instrText xml:space="preserve"> PAGEREF _Toc403052485 \h </w:instrText>
      </w:r>
      <w:r>
        <w:fldChar w:fldCharType="separate"/>
      </w:r>
      <w:r>
        <w:t>10</w:t>
      </w:r>
      <w:r>
        <w:fldChar w:fldCharType="end"/>
      </w:r>
    </w:p>
    <w:p>
      <w:pPr>
        <w:pStyle w:val="TOC8"/>
        <w:rPr>
          <w:rFonts w:asciiTheme="minorHAnsi" w:eastAsiaTheme="minorEastAsia" w:hAnsiTheme="minorHAnsi" w:cstheme="minorBidi"/>
          <w:szCs w:val="22"/>
        </w:rPr>
      </w:pPr>
      <w:r>
        <w:t>3F.</w:t>
      </w:r>
      <w:r>
        <w:tab/>
        <w:t>Registered write</w:t>
      </w:r>
      <w:r>
        <w:noBreakHyphen/>
        <w:t>offs</w:t>
      </w:r>
      <w:r>
        <w:tab/>
      </w:r>
      <w:r>
        <w:fldChar w:fldCharType="begin"/>
      </w:r>
      <w:r>
        <w:instrText xml:space="preserve"> PAGEREF _Toc403052486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Inspection for licensing purposes</w:t>
      </w:r>
      <w:r>
        <w:tab/>
      </w:r>
      <w:r>
        <w:fldChar w:fldCharType="begin"/>
      </w:r>
      <w:r>
        <w:instrText xml:space="preserve"> PAGEREF _Toc403052487 \h </w:instrText>
      </w:r>
      <w:r>
        <w:fldChar w:fldCharType="separate"/>
      </w:r>
      <w:r>
        <w:t>11</w:t>
      </w:r>
      <w:r>
        <w:fldChar w:fldCharType="end"/>
      </w:r>
    </w:p>
    <w:p>
      <w:pPr>
        <w:pStyle w:val="TOC8"/>
        <w:rPr>
          <w:rFonts w:asciiTheme="minorHAnsi" w:eastAsiaTheme="minorEastAsia" w:hAnsiTheme="minorHAnsi" w:cstheme="minorBidi"/>
          <w:szCs w:val="22"/>
        </w:rPr>
      </w:pPr>
      <w:r>
        <w:t>4A.</w:t>
      </w:r>
      <w:r>
        <w:tab/>
        <w:t>Declaration as to immobiliser</w:t>
      </w:r>
      <w:r>
        <w:tab/>
      </w:r>
      <w:r>
        <w:fldChar w:fldCharType="begin"/>
      </w:r>
      <w:r>
        <w:instrText xml:space="preserve"> PAGEREF _Toc403052488 \h </w:instrText>
      </w:r>
      <w:r>
        <w:fldChar w:fldCharType="separate"/>
      </w:r>
      <w:r>
        <w:t>11</w:t>
      </w:r>
      <w:r>
        <w:fldChar w:fldCharType="end"/>
      </w:r>
    </w:p>
    <w:p>
      <w:pPr>
        <w:pStyle w:val="TOC8"/>
        <w:rPr>
          <w:rFonts w:asciiTheme="minorHAnsi" w:eastAsiaTheme="minorEastAsia" w:hAnsiTheme="minorHAnsi" w:cstheme="minorBidi"/>
          <w:szCs w:val="22"/>
        </w:rPr>
      </w:pPr>
      <w:r>
        <w:t>4B.</w:t>
      </w:r>
      <w:r>
        <w:tab/>
        <w:t>Grant of vehicle licence</w:t>
      </w:r>
      <w:r>
        <w:tab/>
      </w:r>
      <w:r>
        <w:fldChar w:fldCharType="begin"/>
      </w:r>
      <w:r>
        <w:instrText xml:space="preserve"> PAGEREF _Toc403052489 \h </w:instrText>
      </w:r>
      <w:r>
        <w:fldChar w:fldCharType="separate"/>
      </w:r>
      <w:r>
        <w:t>12</w:t>
      </w:r>
      <w:r>
        <w:fldChar w:fldCharType="end"/>
      </w:r>
    </w:p>
    <w:p>
      <w:pPr>
        <w:pStyle w:val="TOC8"/>
        <w:rPr>
          <w:rFonts w:asciiTheme="minorHAnsi" w:eastAsiaTheme="minorEastAsia" w:hAnsiTheme="minorHAnsi" w:cstheme="minorBidi"/>
          <w:szCs w:val="22"/>
        </w:rPr>
      </w:pPr>
      <w:r>
        <w:t>4C.</w:t>
      </w:r>
      <w:r>
        <w:tab/>
        <w:t>Renewal of vehicle licence</w:t>
      </w:r>
      <w:r>
        <w:tab/>
      </w:r>
      <w:r>
        <w:fldChar w:fldCharType="begin"/>
      </w:r>
      <w:r>
        <w:instrText xml:space="preserve"> PAGEREF _Toc403052490 \h </w:instrText>
      </w:r>
      <w:r>
        <w:fldChar w:fldCharType="separate"/>
      </w:r>
      <w:r>
        <w:t>12</w:t>
      </w:r>
      <w:r>
        <w:fldChar w:fldCharType="end"/>
      </w:r>
    </w:p>
    <w:p>
      <w:pPr>
        <w:pStyle w:val="TOC8"/>
        <w:rPr>
          <w:rFonts w:asciiTheme="minorHAnsi" w:eastAsiaTheme="minorEastAsia" w:hAnsiTheme="minorHAnsi" w:cstheme="minorBidi"/>
          <w:szCs w:val="22"/>
        </w:rPr>
      </w:pPr>
      <w:r>
        <w:t>4D.</w:t>
      </w:r>
      <w:r>
        <w:tab/>
        <w:t>Period of vehicle licence</w:t>
      </w:r>
      <w:r>
        <w:tab/>
      </w:r>
      <w:r>
        <w:fldChar w:fldCharType="begin"/>
      </w:r>
      <w:r>
        <w:instrText xml:space="preserve"> PAGEREF _Toc403052491 \h </w:instrText>
      </w:r>
      <w:r>
        <w:fldChar w:fldCharType="separate"/>
      </w:r>
      <w:r>
        <w:t>13</w:t>
      </w:r>
      <w:r>
        <w:fldChar w:fldCharType="end"/>
      </w:r>
    </w:p>
    <w:p>
      <w:pPr>
        <w:pStyle w:val="TOC8"/>
        <w:rPr>
          <w:rFonts w:asciiTheme="minorHAnsi" w:eastAsiaTheme="minorEastAsia" w:hAnsiTheme="minorHAnsi" w:cstheme="minorBidi"/>
          <w:szCs w:val="22"/>
        </w:rPr>
      </w:pPr>
      <w:r>
        <w:t>4E.</w:t>
      </w:r>
      <w:r>
        <w:tab/>
        <w:t>Director General may vary, grant or renew licences so that they expire on the same day</w:t>
      </w:r>
      <w:r>
        <w:tab/>
      </w:r>
      <w:r>
        <w:fldChar w:fldCharType="begin"/>
      </w:r>
      <w:r>
        <w:instrText xml:space="preserve"> PAGEREF _Toc403052492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Proof of ownership before </w:t>
      </w:r>
      <w:r>
        <w:t xml:space="preserve">grant </w:t>
      </w:r>
      <w:r>
        <w:rPr>
          <w:snapToGrid w:val="0"/>
        </w:rPr>
        <w:t>or transfer of licence</w:t>
      </w:r>
      <w:r>
        <w:tab/>
      </w:r>
      <w:r>
        <w:fldChar w:fldCharType="begin"/>
      </w:r>
      <w:r>
        <w:instrText xml:space="preserve"> PAGEREF _Toc403052493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Weighbridge certificate may be required</w:t>
      </w:r>
      <w:r>
        <w:tab/>
      </w:r>
      <w:r>
        <w:fldChar w:fldCharType="begin"/>
      </w:r>
      <w:r>
        <w:instrText xml:space="preserve"> PAGEREF _Toc403052494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licence to be in writing and on form to be provided</w:t>
      </w:r>
      <w:r>
        <w:tab/>
      </w:r>
      <w:r>
        <w:fldChar w:fldCharType="begin"/>
      </w:r>
      <w:r>
        <w:instrText xml:space="preserve"> PAGEREF _Toc403052495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Form of licence</w:t>
      </w:r>
      <w:r>
        <w:tab/>
      </w:r>
      <w:r>
        <w:fldChar w:fldCharType="begin"/>
      </w:r>
      <w:r>
        <w:instrText xml:space="preserve"> PAGEREF _Toc403052496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vehicle licences</w:t>
      </w:r>
      <w:r>
        <w:tab/>
      </w:r>
      <w:r>
        <w:fldChar w:fldCharType="begin"/>
      </w:r>
      <w:r>
        <w:instrText xml:space="preserve"> PAGEREF _Toc403052497 \h </w:instrText>
      </w:r>
      <w:r>
        <w:fldChar w:fldCharType="separate"/>
      </w:r>
      <w:r>
        <w:t>16</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licences for heavy vehicles</w:t>
      </w:r>
      <w:r>
        <w:tab/>
      </w:r>
      <w:r>
        <w:fldChar w:fldCharType="begin"/>
      </w:r>
      <w:r>
        <w:instrText xml:space="preserve"> PAGEREF _Toc403052498 \h </w:instrText>
      </w:r>
      <w:r>
        <w:fldChar w:fldCharType="separate"/>
      </w:r>
      <w:r>
        <w:t>17</w:t>
      </w:r>
      <w:r>
        <w:fldChar w:fldCharType="end"/>
      </w:r>
    </w:p>
    <w:p>
      <w:pPr>
        <w:pStyle w:val="TOC8"/>
        <w:rPr>
          <w:rFonts w:asciiTheme="minorHAnsi" w:eastAsiaTheme="minorEastAsia" w:hAnsiTheme="minorHAnsi" w:cstheme="minorBidi"/>
          <w:szCs w:val="22"/>
        </w:rPr>
      </w:pPr>
      <w:r>
        <w:t>9B.</w:t>
      </w:r>
      <w:r>
        <w:tab/>
        <w:t>Transitional provision for heavy vehicle licences</w:t>
      </w:r>
      <w:r>
        <w:tab/>
      </w:r>
      <w:r>
        <w:fldChar w:fldCharType="begin"/>
      </w:r>
      <w:r>
        <w:instrText xml:space="preserve"> PAGEREF _Toc403052499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Licence to be carried in certain cases</w:t>
      </w:r>
      <w:r>
        <w:tab/>
      </w:r>
      <w:r>
        <w:fldChar w:fldCharType="begin"/>
      </w:r>
      <w:r>
        <w:instrText xml:space="preserve"> PAGEREF _Toc403052500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Director General may issue permits for unlicensed vehicles</w:t>
      </w:r>
      <w:r>
        <w:tab/>
      </w:r>
      <w:r>
        <w:fldChar w:fldCharType="begin"/>
      </w:r>
      <w:r>
        <w:instrText xml:space="preserve"> PAGEREF _Toc403052501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Signs to be displayed</w:t>
      </w:r>
      <w:r>
        <w:tab/>
      </w:r>
      <w:r>
        <w:fldChar w:fldCharType="begin"/>
      </w:r>
      <w:r>
        <w:instrText xml:space="preserve"> PAGEREF _Toc403052502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Fee for duplicate or certified copy of licence</w:t>
      </w:r>
      <w:r>
        <w:tab/>
      </w:r>
      <w:r>
        <w:fldChar w:fldCharType="begin"/>
      </w:r>
      <w:r>
        <w:instrText xml:space="preserve"> PAGEREF _Toc403052503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Licences unlawfully held, or not current, and change of address</w:t>
      </w:r>
      <w:r>
        <w:tab/>
      </w:r>
      <w:r>
        <w:fldChar w:fldCharType="begin"/>
      </w:r>
      <w:r>
        <w:instrText xml:space="preserve"> PAGEREF _Toc403052504 \h </w:instrText>
      </w:r>
      <w:r>
        <w:fldChar w:fldCharType="separate"/>
      </w:r>
      <w:r>
        <w:t>23</w:t>
      </w:r>
      <w:r>
        <w:fldChar w:fldCharType="end"/>
      </w:r>
    </w:p>
    <w:p>
      <w:pPr>
        <w:pStyle w:val="TOC8"/>
        <w:rPr>
          <w:rFonts w:asciiTheme="minorHAnsi" w:eastAsiaTheme="minorEastAsia" w:hAnsiTheme="minorHAnsi" w:cstheme="minorBidi"/>
          <w:szCs w:val="22"/>
        </w:rPr>
      </w:pPr>
      <w:r>
        <w:t>16A.</w:t>
      </w:r>
      <w:r>
        <w:tab/>
        <w:t>Licence documents to be handed over on disposal</w:t>
      </w:r>
      <w:r>
        <w:tab/>
      </w:r>
      <w:r>
        <w:fldChar w:fldCharType="begin"/>
      </w:r>
      <w:r>
        <w:instrText xml:space="preserve"> PAGEREF _Toc403052505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III — Licences for overseas vehicles</w:t>
      </w:r>
    </w:p>
    <w:p>
      <w:pPr>
        <w:pStyle w:val="TOC8"/>
        <w:rPr>
          <w:rFonts w:asciiTheme="minorHAnsi" w:eastAsiaTheme="minorEastAsia" w:hAnsiTheme="minorHAnsi" w:cstheme="minorBidi"/>
          <w:szCs w:val="22"/>
        </w:rPr>
      </w:pPr>
      <w:r>
        <w:t>16</w:t>
      </w:r>
      <w:r>
        <w:rPr>
          <w:snapToGrid w:val="0"/>
        </w:rPr>
        <w:t>.</w:t>
      </w:r>
      <w:r>
        <w:rPr>
          <w:snapToGrid w:val="0"/>
        </w:rPr>
        <w:tab/>
        <w:t>Application for vehicle licence and for extension or renewal</w:t>
      </w:r>
      <w:r>
        <w:tab/>
      </w:r>
      <w:r>
        <w:fldChar w:fldCharType="begin"/>
      </w:r>
      <w:r>
        <w:instrText xml:space="preserve"> PAGEREF _Toc403052507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Contract of Third Party Insurance required</w:t>
      </w:r>
      <w:r>
        <w:tab/>
      </w:r>
      <w:r>
        <w:fldChar w:fldCharType="begin"/>
      </w:r>
      <w:r>
        <w:instrText xml:space="preserve"> PAGEREF _Toc403052508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Identification tablets or plates on motor vehicles to which Part IV of Act applies</w:t>
      </w:r>
      <w:r>
        <w:tab/>
      </w:r>
      <w:r>
        <w:fldChar w:fldCharType="begin"/>
      </w:r>
      <w:r>
        <w:instrText xml:space="preserve"> PAGEREF _Toc403052509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Permits for use of vehicle not conforming with requirements of Act or regulations</w:t>
      </w:r>
      <w:r>
        <w:tab/>
      </w:r>
      <w:r>
        <w:fldChar w:fldCharType="begin"/>
      </w:r>
      <w:r>
        <w:instrText xml:space="preserve"> PAGEREF _Toc403052510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When licence for overseas vehicle ceases to have force and effect</w:t>
      </w:r>
      <w:r>
        <w:tab/>
      </w:r>
      <w:r>
        <w:fldChar w:fldCharType="begin"/>
      </w:r>
      <w:r>
        <w:instrText xml:space="preserve"> PAGEREF _Toc403052511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IV — Number plates, engine identification marks and vehicle identification numbers</w:t>
      </w:r>
    </w:p>
    <w:p>
      <w:pPr>
        <w:pStyle w:val="TOC8"/>
        <w:rPr>
          <w:rFonts w:asciiTheme="minorHAnsi" w:eastAsiaTheme="minorEastAsia" w:hAnsiTheme="minorHAnsi" w:cstheme="minorBidi"/>
          <w:szCs w:val="22"/>
        </w:rPr>
      </w:pPr>
      <w:r>
        <w:t>22</w:t>
      </w:r>
      <w:r>
        <w:rPr>
          <w:snapToGrid w:val="0"/>
        </w:rPr>
        <w:t>.</w:t>
      </w:r>
      <w:r>
        <w:rPr>
          <w:snapToGrid w:val="0"/>
        </w:rPr>
        <w:tab/>
        <w:t>Director General to provide number plates</w:t>
      </w:r>
      <w:r>
        <w:tab/>
      </w:r>
      <w:r>
        <w:fldChar w:fldCharType="begin"/>
      </w:r>
      <w:r>
        <w:instrText xml:space="preserve"> PAGEREF _Toc403052513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Lost number plates</w:t>
      </w:r>
      <w:r>
        <w:tab/>
      </w:r>
      <w:r>
        <w:fldChar w:fldCharType="begin"/>
      </w:r>
      <w:r>
        <w:instrText xml:space="preserve"> PAGEREF _Toc403052514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Nature of number plates</w:t>
      </w:r>
      <w:r>
        <w:tab/>
      </w:r>
      <w:r>
        <w:fldChar w:fldCharType="begin"/>
      </w:r>
      <w:r>
        <w:instrText xml:space="preserve"> PAGEREF _Toc403052515 \h </w:instrText>
      </w:r>
      <w:r>
        <w:fldChar w:fldCharType="separate"/>
      </w:r>
      <w:r>
        <w:t>31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Number plate to be fixed on vehicle</w:t>
      </w:r>
      <w:r>
        <w:tab/>
      </w:r>
      <w:r>
        <w:fldChar w:fldCharType="begin"/>
      </w:r>
      <w:r>
        <w:instrText xml:space="preserve"> PAGEREF _Toc403052516 \h </w:instrText>
      </w:r>
      <w:r>
        <w:fldChar w:fldCharType="separate"/>
      </w:r>
      <w:r>
        <w:t>34</w:t>
      </w:r>
      <w:r>
        <w:fldChar w:fldCharType="end"/>
      </w:r>
    </w:p>
    <w:p>
      <w:pPr>
        <w:pStyle w:val="TOC8"/>
        <w:rPr>
          <w:rFonts w:asciiTheme="minorHAnsi" w:eastAsiaTheme="minorEastAsia" w:hAnsiTheme="minorHAnsi" w:cstheme="minorBidi"/>
          <w:szCs w:val="22"/>
        </w:rPr>
      </w:pPr>
      <w:r>
        <w:t>25AA.</w:t>
      </w:r>
      <w:r>
        <w:tab/>
        <w:t>Preventing effective identification of number plate</w:t>
      </w:r>
      <w:r>
        <w:tab/>
      </w:r>
      <w:r>
        <w:fldChar w:fldCharType="begin"/>
      </w:r>
      <w:r>
        <w:instrText xml:space="preserve"> PAGEREF _Toc403052517 \h </w:instrText>
      </w:r>
      <w:r>
        <w:fldChar w:fldCharType="separate"/>
      </w:r>
      <w:r>
        <w:t>35</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Certificate of right to display</w:t>
      </w:r>
      <w:r>
        <w:tab/>
      </w:r>
      <w:r>
        <w:fldChar w:fldCharType="begin"/>
      </w:r>
      <w:r>
        <w:instrText xml:space="preserve"> PAGEREF _Toc403052518 \h </w:instrText>
      </w:r>
      <w:r>
        <w:fldChar w:fldCharType="separate"/>
      </w:r>
      <w:r>
        <w:t>38</w:t>
      </w:r>
      <w:r>
        <w:fldChar w:fldCharType="end"/>
      </w:r>
    </w:p>
    <w:p>
      <w:pPr>
        <w:pStyle w:val="TOC8"/>
        <w:rPr>
          <w:rFonts w:asciiTheme="minorHAnsi" w:eastAsiaTheme="minorEastAsia" w:hAnsiTheme="minorHAnsi" w:cstheme="minorBidi"/>
          <w:szCs w:val="22"/>
        </w:rPr>
      </w:pPr>
      <w:r>
        <w:rPr>
          <w:rFonts w:ascii="Times" w:hAnsi="Times"/>
        </w:rPr>
        <w:t>25B</w:t>
      </w:r>
      <w:r>
        <w:rPr>
          <w:snapToGrid w:val="0"/>
        </w:rPr>
        <w:t>.</w:t>
      </w:r>
      <w:r>
        <w:rPr>
          <w:snapToGrid w:val="0"/>
        </w:rPr>
        <w:tab/>
        <w:t>Retention of special plates by Director General</w:t>
      </w:r>
      <w:r>
        <w:tab/>
      </w:r>
      <w:r>
        <w:fldChar w:fldCharType="begin"/>
      </w:r>
      <w:r>
        <w:instrText xml:space="preserve"> PAGEREF _Toc403052519 \h </w:instrText>
      </w:r>
      <w:r>
        <w:fldChar w:fldCharType="separate"/>
      </w:r>
      <w:r>
        <w:t>39</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Name plates to be treated as special plates</w:t>
      </w:r>
      <w:r>
        <w:tab/>
      </w:r>
      <w:r>
        <w:fldChar w:fldCharType="begin"/>
      </w:r>
      <w:r>
        <w:instrText xml:space="preserve"> PAGEREF _Toc403052520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Application for trade plates</w:t>
      </w:r>
      <w:r>
        <w:tab/>
      </w:r>
      <w:r>
        <w:fldChar w:fldCharType="begin"/>
      </w:r>
      <w:r>
        <w:instrText xml:space="preserve"> PAGEREF _Toc403052521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Annual fee for trade plates</w:t>
      </w:r>
      <w:r>
        <w:tab/>
      </w:r>
      <w:r>
        <w:fldChar w:fldCharType="begin"/>
      </w:r>
      <w:r>
        <w:instrText xml:space="preserve"> PAGEREF _Toc403052522 \h </w:instrText>
      </w:r>
      <w:r>
        <w:fldChar w:fldCharType="separate"/>
      </w:r>
      <w:r>
        <w:t>41</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Conditions of use</w:t>
      </w:r>
      <w:r>
        <w:tab/>
      </w:r>
      <w:r>
        <w:fldChar w:fldCharType="begin"/>
      </w:r>
      <w:r>
        <w:instrText xml:space="preserve"> PAGEREF _Toc403052523 \h </w:instrText>
      </w:r>
      <w:r>
        <w:fldChar w:fldCharType="separate"/>
      </w:r>
      <w:r>
        <w:t>42</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Terms used</w:t>
      </w:r>
      <w:r>
        <w:tab/>
      </w:r>
      <w:r>
        <w:fldChar w:fldCharType="begin"/>
      </w:r>
      <w:r>
        <w:instrText xml:space="preserve"> PAGEREF _Toc403052524 \h </w:instrText>
      </w:r>
      <w:r>
        <w:fldChar w:fldCharType="separate"/>
      </w:r>
      <w:r>
        <w:t>46</w:t>
      </w:r>
      <w:r>
        <w:fldChar w:fldCharType="end"/>
      </w:r>
    </w:p>
    <w:p>
      <w:pPr>
        <w:pStyle w:val="TOC8"/>
        <w:rPr>
          <w:rFonts w:asciiTheme="minorHAnsi" w:eastAsiaTheme="minorEastAsia" w:hAnsiTheme="minorHAnsi" w:cstheme="minorBidi"/>
          <w:szCs w:val="22"/>
        </w:rPr>
      </w:pPr>
      <w:r>
        <w:t>26E.</w:t>
      </w:r>
      <w:r>
        <w:tab/>
        <w:t>Transitional</w:t>
      </w:r>
      <w:r>
        <w:tab/>
      </w:r>
      <w:r>
        <w:fldChar w:fldCharType="begin"/>
      </w:r>
      <w:r>
        <w:instrText xml:space="preserve"> PAGEREF _Toc403052525 \h </w:instrText>
      </w:r>
      <w:r>
        <w:fldChar w:fldCharType="separate"/>
      </w:r>
      <w:r>
        <w:t>46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Prohibition on painting or interfering with number plates</w:t>
      </w:r>
      <w:r>
        <w:tab/>
      </w:r>
      <w:r>
        <w:fldChar w:fldCharType="begin"/>
      </w:r>
      <w:r>
        <w:instrText xml:space="preserve"> PAGEREF _Toc403052526 \h </w:instrText>
      </w:r>
      <w:r>
        <w:fldChar w:fldCharType="separate"/>
      </w:r>
      <w:r>
        <w:t>47</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Term used: </w:t>
      </w:r>
      <w:r>
        <w:t>imitation plate</w:t>
      </w:r>
      <w:r>
        <w:tab/>
      </w:r>
      <w:r>
        <w:fldChar w:fldCharType="begin"/>
      </w:r>
      <w:r>
        <w:instrText xml:space="preserve"> PAGEREF _Toc403052527 \h </w:instrText>
      </w:r>
      <w:r>
        <w:fldChar w:fldCharType="separate"/>
      </w:r>
      <w:r>
        <w:t>48</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Restriction on manufacture, sale or supply of imitation plates</w:t>
      </w:r>
      <w:r>
        <w:tab/>
      </w:r>
      <w:r>
        <w:fldChar w:fldCharType="begin"/>
      </w:r>
      <w:r>
        <w:instrText xml:space="preserve"> PAGEREF _Toc403052528 \h </w:instrText>
      </w:r>
      <w:r>
        <w:fldChar w:fldCharType="separate"/>
      </w:r>
      <w:r>
        <w:t>48</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Confiscation and disposal of imitation plates</w:t>
      </w:r>
      <w:r>
        <w:tab/>
      </w:r>
      <w:r>
        <w:fldChar w:fldCharType="begin"/>
      </w:r>
      <w:r>
        <w:instrText xml:space="preserve"> PAGEREF _Toc403052529 \h </w:instrText>
      </w:r>
      <w:r>
        <w:fldChar w:fldCharType="separate"/>
      </w:r>
      <w:r>
        <w:t>48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Engine identification marks</w:t>
      </w:r>
      <w:r>
        <w:tab/>
      </w:r>
      <w:r>
        <w:fldChar w:fldCharType="begin"/>
      </w:r>
      <w:r>
        <w:instrText xml:space="preserve"> PAGEREF _Toc403052530 \h </w:instrText>
      </w:r>
      <w:r>
        <w:fldChar w:fldCharType="separate"/>
      </w:r>
      <w:r>
        <w:t>50</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Vehicle identification number</w:t>
      </w:r>
      <w:r>
        <w:tab/>
      </w:r>
      <w:r>
        <w:fldChar w:fldCharType="begin"/>
      </w:r>
      <w:r>
        <w:instrText xml:space="preserve"> PAGEREF _Toc403052531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V — Labels issued on grant or renewal of licence</w:t>
      </w:r>
    </w:p>
    <w:p>
      <w:pPr>
        <w:pStyle w:val="TOC8"/>
        <w:rPr>
          <w:rFonts w:asciiTheme="minorHAnsi" w:eastAsiaTheme="minorEastAsia" w:hAnsiTheme="minorHAnsi" w:cstheme="minorBidi"/>
          <w:szCs w:val="22"/>
        </w:rPr>
      </w:pPr>
      <w:r>
        <w:t>29.</w:t>
      </w:r>
      <w:r>
        <w:tab/>
        <w:t>Labels to be issued for heavy vehicles</w:t>
      </w:r>
      <w:r>
        <w:tab/>
      </w:r>
      <w:r>
        <w:fldChar w:fldCharType="begin"/>
      </w:r>
      <w:r>
        <w:instrText xml:space="preserve"> PAGEREF _Toc403052533 \h </w:instrText>
      </w:r>
      <w:r>
        <w:fldChar w:fldCharType="separate"/>
      </w:r>
      <w:r>
        <w:t>54</w:t>
      </w:r>
      <w:r>
        <w:fldChar w:fldCharType="end"/>
      </w:r>
    </w:p>
    <w:p>
      <w:pPr>
        <w:pStyle w:val="TOC8"/>
        <w:rPr>
          <w:rFonts w:asciiTheme="minorHAnsi" w:eastAsiaTheme="minorEastAsia" w:hAnsiTheme="minorHAnsi" w:cstheme="minorBidi"/>
          <w:szCs w:val="22"/>
        </w:rPr>
      </w:pPr>
      <w:r>
        <w:t>30.</w:t>
      </w:r>
      <w:r>
        <w:tab/>
        <w:t>Information to be contained in or on labels</w:t>
      </w:r>
      <w:r>
        <w:tab/>
      </w:r>
      <w:r>
        <w:fldChar w:fldCharType="begin"/>
      </w:r>
      <w:r>
        <w:instrText xml:space="preserve"> PAGEREF _Toc403052534 \h </w:instrText>
      </w:r>
      <w:r>
        <w:fldChar w:fldCharType="separate"/>
      </w:r>
      <w:r>
        <w:t>54</w:t>
      </w:r>
      <w:r>
        <w:fldChar w:fldCharType="end"/>
      </w:r>
    </w:p>
    <w:p>
      <w:pPr>
        <w:pStyle w:val="TOC8"/>
        <w:rPr>
          <w:rFonts w:asciiTheme="minorHAnsi" w:eastAsiaTheme="minorEastAsia" w:hAnsiTheme="minorHAnsi" w:cstheme="minorBidi"/>
          <w:szCs w:val="22"/>
        </w:rPr>
      </w:pPr>
      <w:r>
        <w:t>31.</w:t>
      </w:r>
      <w:r>
        <w:tab/>
        <w:t>Affixing, display of, labels</w:t>
      </w:r>
      <w:r>
        <w:tab/>
      </w:r>
      <w:r>
        <w:fldChar w:fldCharType="begin"/>
      </w:r>
      <w:r>
        <w:instrText xml:space="preserve"> PAGEREF _Toc403052535 \h </w:instrText>
      </w:r>
      <w:r>
        <w:fldChar w:fldCharType="separate"/>
      </w:r>
      <w:r>
        <w:t>55</w:t>
      </w:r>
      <w:r>
        <w:fldChar w:fldCharType="end"/>
      </w:r>
    </w:p>
    <w:p>
      <w:pPr>
        <w:pStyle w:val="TOC8"/>
        <w:rPr>
          <w:rFonts w:asciiTheme="minorHAnsi" w:eastAsiaTheme="minorEastAsia" w:hAnsiTheme="minorHAnsi" w:cstheme="minorBidi"/>
          <w:szCs w:val="22"/>
        </w:rPr>
      </w:pPr>
      <w:r>
        <w:t>32.</w:t>
      </w:r>
      <w:r>
        <w:tab/>
        <w:t>Affixing, display of, registration labels issued 10 to 31 December 2009 for heavy vehicles</w:t>
      </w:r>
      <w:r>
        <w:tab/>
      </w:r>
      <w:r>
        <w:fldChar w:fldCharType="begin"/>
      </w:r>
      <w:r>
        <w:instrText xml:space="preserve"> PAGEREF _Toc403052536 \h </w:instrText>
      </w:r>
      <w:r>
        <w:fldChar w:fldCharType="separate"/>
      </w:r>
      <w:r>
        <w:t>56</w:t>
      </w:r>
      <w:r>
        <w:fldChar w:fldCharType="end"/>
      </w:r>
    </w:p>
    <w:p>
      <w:pPr>
        <w:pStyle w:val="TOC8"/>
        <w:rPr>
          <w:rFonts w:asciiTheme="minorHAnsi" w:eastAsiaTheme="minorEastAsia" w:hAnsiTheme="minorHAnsi" w:cstheme="minorBidi"/>
          <w:szCs w:val="22"/>
        </w:rPr>
      </w:pPr>
      <w:r>
        <w:t>33.</w:t>
      </w:r>
      <w:r>
        <w:tab/>
        <w:t>Keeping affixed registration labels issued before 1 January 2010 for heavy vehicles</w:t>
      </w:r>
      <w:r>
        <w:tab/>
      </w:r>
      <w:r>
        <w:fldChar w:fldCharType="begin"/>
      </w:r>
      <w:r>
        <w:instrText xml:space="preserve"> PAGEREF _Toc403052537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VI — Traffic inspectors</w:t>
      </w:r>
    </w:p>
    <w:p>
      <w:pPr>
        <w:pStyle w:val="TOC8"/>
        <w:rPr>
          <w:rFonts w:asciiTheme="minorHAnsi" w:eastAsiaTheme="minorEastAsia" w:hAnsiTheme="minorHAnsi" w:cstheme="minorBidi"/>
          <w:szCs w:val="22"/>
        </w:rPr>
      </w:pPr>
      <w:r>
        <w:t>35</w:t>
      </w:r>
      <w:r>
        <w:rPr>
          <w:snapToGrid w:val="0"/>
        </w:rPr>
        <w:t>.</w:t>
      </w:r>
      <w:r>
        <w:rPr>
          <w:snapToGrid w:val="0"/>
        </w:rPr>
        <w:tab/>
        <w:t>Application of Part</w:t>
      </w:r>
      <w:r>
        <w:tab/>
      </w:r>
      <w:r>
        <w:fldChar w:fldCharType="begin"/>
      </w:r>
      <w:r>
        <w:instrText xml:space="preserve"> PAGEREF _Toc403052539 \h </w:instrText>
      </w:r>
      <w:r>
        <w:fldChar w:fldCharType="separate"/>
      </w:r>
      <w:r>
        <w:t>58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Certificate of appointment, badge of authority, uniform etc.</w:t>
      </w:r>
      <w:r>
        <w:tab/>
      </w:r>
      <w:r>
        <w:fldChar w:fldCharType="begin"/>
      </w:r>
      <w:r>
        <w:instrText xml:space="preserve"> PAGEREF _Toc403052540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39</w:t>
      </w:r>
      <w:r>
        <w:rPr>
          <w:snapToGrid w:val="0"/>
        </w:rPr>
        <w:t>.</w:t>
      </w:r>
      <w:r>
        <w:rPr>
          <w:snapToGrid w:val="0"/>
        </w:rPr>
        <w:tab/>
        <w:t>Penalty for breach of regulation</w:t>
      </w:r>
      <w:r>
        <w:tab/>
      </w:r>
      <w:r>
        <w:fldChar w:fldCharType="begin"/>
      </w:r>
      <w:r>
        <w:instrText xml:space="preserve"> PAGEREF _Toc403052542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Classes of licences for heavy vehicles</w:t>
      </w:r>
    </w:p>
    <w:p>
      <w:pPr>
        <w:pStyle w:val="TOC8"/>
        <w:rPr>
          <w:rFonts w:asciiTheme="minorHAnsi" w:eastAsiaTheme="minorEastAsia" w:hAnsiTheme="minorHAnsi" w:cstheme="minorBidi"/>
          <w:szCs w:val="22"/>
        </w:rPr>
      </w:pPr>
      <w:r>
        <w:rPr>
          <w:snapToGrid w:val="0"/>
        </w:rPr>
        <w:t>1.</w:t>
      </w:r>
      <w:r>
        <w:rPr>
          <w:snapToGrid w:val="0"/>
        </w:rPr>
        <w:tab/>
        <w:t>Terms used</w:t>
      </w:r>
      <w:r>
        <w:tab/>
      </w:r>
      <w:r>
        <w:fldChar w:fldCharType="begin"/>
      </w:r>
      <w:r>
        <w:instrText xml:space="preserve"> PAGEREF _Toc403052546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_Toc403052548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October 2014</w:t>
            </w:r>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1" w:name="_Toc397323471"/>
      <w:bookmarkStart w:id="2" w:name="_Toc397323604"/>
      <w:bookmarkStart w:id="3" w:name="_Toc397323676"/>
      <w:bookmarkStart w:id="4" w:name="_Toc397323749"/>
      <w:bookmarkStart w:id="5" w:name="_Toc397323822"/>
      <w:bookmarkStart w:id="6" w:name="_Toc400970324"/>
      <w:bookmarkStart w:id="7" w:name="_Toc40305247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403052477"/>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9" w:name="_Toc403052478"/>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character</w:t>
      </w:r>
      <w:r>
        <w:t xml:space="preserve"> includes letter and numeral;</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 or</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spacing w:before="80"/>
        <w:ind w:left="1022" w:hanging="1022"/>
      </w:pPr>
      <w:r>
        <w:rPr>
          <w:b/>
        </w:rPr>
        <w:tab/>
      </w:r>
      <w:r>
        <w:t>“ATM” refers to “aggregate trailer mass”;</w:t>
      </w:r>
    </w:p>
    <w:p>
      <w:pPr>
        <w:pStyle w:val="MiscellaneousBody"/>
        <w:tabs>
          <w:tab w:val="left" w:pos="1022"/>
        </w:tabs>
        <w:spacing w:before="80"/>
        <w:ind w:left="1022" w:hanging="1022"/>
      </w:pPr>
      <w:r>
        <w:rPr>
          <w:b/>
        </w:rPr>
        <w:tab/>
      </w:r>
      <w:r>
        <w:t>“GTMR” refers to “gross trailer mass rating”;</w:t>
      </w:r>
    </w:p>
    <w:p>
      <w:pPr>
        <w:pStyle w:val="MiscellaneousBody"/>
        <w:tabs>
          <w:tab w:val="left" w:pos="1022"/>
        </w:tabs>
        <w:spacing w:before="80"/>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 and</w:t>
      </w:r>
    </w:p>
    <w:p>
      <w:pPr>
        <w:pStyle w:val="Indenta"/>
        <w:rPr>
          <w:snapToGrid w:val="0"/>
        </w:rPr>
      </w:pPr>
      <w:r>
        <w:rPr>
          <w:snapToGrid w:val="0"/>
        </w:rPr>
        <w:tab/>
        <w:t>(b)</w:t>
      </w:r>
      <w:r>
        <w:rPr>
          <w:snapToGrid w:val="0"/>
        </w:rPr>
        <w:tab/>
        <w:t>3 axles, where the outside axles are not more than 2 m apart, shall be regarded as 2 axles; and</w:t>
      </w:r>
    </w:p>
    <w:p>
      <w:pPr>
        <w:pStyle w:val="Indenta"/>
        <w:rPr>
          <w:snapToGrid w:val="0"/>
        </w:rPr>
      </w:pPr>
      <w:r>
        <w:rPr>
          <w:snapToGrid w:val="0"/>
        </w:rPr>
        <w:tab/>
        <w:t>(c)</w:t>
      </w:r>
      <w:r>
        <w:rPr>
          <w:snapToGrid w:val="0"/>
        </w:rPr>
        <w:tab/>
        <w:t>4 axles, where the outside axles are not more than 3.2 m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 12 Apr 2013 p. 1540; 9 Sep 2014 p. 3249.]</w:t>
      </w:r>
    </w:p>
    <w:p>
      <w:pPr>
        <w:pStyle w:val="Heading5"/>
        <w:spacing w:before="800"/>
      </w:pPr>
      <w:bookmarkStart w:id="10" w:name="_Toc403052479"/>
      <w:r>
        <w:rPr>
          <w:rStyle w:val="CharSectno"/>
        </w:rPr>
        <w:t>3AA</w:t>
      </w:r>
      <w:r>
        <w:t>.</w:t>
      </w:r>
      <w:r>
        <w:tab/>
        <w:t>Vehicles required to be licensed</w:t>
      </w:r>
      <w:bookmarkEnd w:id="10"/>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 or</w:t>
      </w:r>
    </w:p>
    <w:p>
      <w:pPr>
        <w:pStyle w:val="Indenta"/>
      </w:pPr>
      <w:r>
        <w:tab/>
        <w:t>(e)</w:t>
      </w:r>
      <w:r>
        <w:tab/>
        <w:t>an electric personal transporter that cannot travel at a speed exceeding 10 km/h being used in an electric personal transporter use area.</w:t>
      </w:r>
    </w:p>
    <w:p>
      <w:pPr>
        <w:pStyle w:val="Footnotesection"/>
      </w:pPr>
      <w:r>
        <w:tab/>
        <w:t>[Regulation 3AA inserted in Gazette 28 Nov 2006 p. 4901; amended in Gazette 12 Apr 2013 p. 1540.]</w:t>
      </w:r>
    </w:p>
    <w:p>
      <w:pPr>
        <w:pStyle w:val="Heading2"/>
      </w:pPr>
      <w:bookmarkStart w:id="11" w:name="_Toc397323475"/>
      <w:bookmarkStart w:id="12" w:name="_Toc397323608"/>
      <w:bookmarkStart w:id="13" w:name="_Toc397323680"/>
      <w:bookmarkStart w:id="14" w:name="_Toc397323753"/>
      <w:bookmarkStart w:id="15" w:name="_Toc397323826"/>
      <w:bookmarkStart w:id="16" w:name="_Toc400970328"/>
      <w:bookmarkStart w:id="17" w:name="_Toc40305248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11"/>
      <w:bookmarkEnd w:id="12"/>
      <w:bookmarkEnd w:id="13"/>
      <w:bookmarkEnd w:id="14"/>
      <w:bookmarkEnd w:id="15"/>
      <w:bookmarkEnd w:id="16"/>
      <w:bookmarkEnd w:id="17"/>
    </w:p>
    <w:p>
      <w:pPr>
        <w:pStyle w:val="Footnoteheading"/>
      </w:pPr>
      <w:r>
        <w:tab/>
        <w:t>[Heading inserted in Gazette 31 Dec 1980 p. 4427.]</w:t>
      </w:r>
    </w:p>
    <w:p>
      <w:pPr>
        <w:pStyle w:val="Heading5"/>
        <w:rPr>
          <w:snapToGrid w:val="0"/>
        </w:rPr>
      </w:pPr>
      <w:bookmarkStart w:id="18" w:name="_Toc403052481"/>
      <w:r>
        <w:rPr>
          <w:rStyle w:val="CharSectno"/>
        </w:rPr>
        <w:t>3A</w:t>
      </w:r>
      <w:r>
        <w:rPr>
          <w:snapToGrid w:val="0"/>
        </w:rPr>
        <w:t>.</w:t>
      </w:r>
      <w:r>
        <w:rPr>
          <w:snapToGrid w:val="0"/>
        </w:rPr>
        <w:tab/>
        <w:t>Persons may be authorised to examine vehicles</w:t>
      </w:r>
      <w:bookmarkEnd w:id="18"/>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 and</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9" w:name="_Toc403052482"/>
      <w:r>
        <w:rPr>
          <w:rStyle w:val="CharSectno"/>
        </w:rPr>
        <w:t>3C</w:t>
      </w:r>
      <w:r>
        <w:rPr>
          <w:snapToGrid w:val="0"/>
        </w:rPr>
        <w:t>.</w:t>
      </w:r>
      <w:r>
        <w:rPr>
          <w:snapToGrid w:val="0"/>
        </w:rPr>
        <w:tab/>
        <w:t>Certificate of inspection</w:t>
      </w:r>
      <w:bookmarkEnd w:id="19"/>
    </w:p>
    <w:p>
      <w:pPr>
        <w:pStyle w:val="Subsection"/>
      </w:pPr>
      <w:r>
        <w:tab/>
        <w:t>(1A)</w:t>
      </w:r>
      <w:r>
        <w:tab/>
        <w:t xml:space="preserve">In this regulation — </w:t>
      </w:r>
    </w:p>
    <w:p>
      <w:pPr>
        <w:pStyle w:val="Defstart"/>
      </w:pPr>
      <w:r>
        <w:tab/>
      </w:r>
      <w:r>
        <w:rPr>
          <w:rStyle w:val="CharDefText"/>
        </w:rPr>
        <w:t>approved place</w:t>
      </w:r>
      <w:r>
        <w:t xml:space="preserve"> means a place that is an authorised inspection station or is otherwise approved of by the Director General.</w:t>
      </w:r>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pPr>
      <w:r>
        <w:tab/>
        <w:t>(2)</w:t>
      </w:r>
      <w:r>
        <w:tab/>
        <w:t>An authorisation of a person under regulation 3A(1)(a) (as an authorised vehicle examiner) may specify a class of vehicle the examination and testing of which may be undertaken at a place that is not an approved place.</w:t>
      </w:r>
    </w:p>
    <w:p>
      <w:pPr>
        <w:pStyle w:val="Subsection"/>
      </w:pPr>
      <w:r>
        <w:tab/>
        <w:t>(3)</w:t>
      </w:r>
      <w:r>
        <w:tab/>
        <w:t xml:space="preserve">An authorised vehicle examiner cannot issue a valid certificate of inspection in relation to a vehicle based on the examiner’s examination and testing of the vehicle unless — </w:t>
      </w:r>
    </w:p>
    <w:p>
      <w:pPr>
        <w:pStyle w:val="Indenta"/>
      </w:pPr>
      <w:r>
        <w:tab/>
        <w:t>(a)</w:t>
      </w:r>
      <w:r>
        <w:tab/>
        <w:t>the testing and examination is undertaken at a place that is an approved place; or</w:t>
      </w:r>
    </w:p>
    <w:p>
      <w:pPr>
        <w:pStyle w:val="Indenta"/>
      </w:pPr>
      <w:r>
        <w:tab/>
        <w:t>(b)</w:t>
      </w:r>
      <w:r>
        <w:tab/>
        <w:t>the vehicle is of a class specified under subregulation (2) in the authorisation of the examiner.</w:t>
      </w:r>
    </w:p>
    <w:p>
      <w:pPr>
        <w:pStyle w:val="Footnotesection"/>
      </w:pPr>
      <w:r>
        <w:tab/>
        <w:t>[Regulation 3C inserted in Gazette 31 Dec 1980 p. 4427; amended in Gazette 2 Feb 1982 p. 401; 20 Sep 1991 p. 4946; 31 Jan 1997 p. 683; 14 Dec 2012 p. 6208.]</w:t>
      </w:r>
    </w:p>
    <w:p>
      <w:pPr>
        <w:pStyle w:val="Heading2"/>
      </w:pPr>
      <w:bookmarkStart w:id="20" w:name="_Toc397323478"/>
      <w:bookmarkStart w:id="21" w:name="_Toc397323611"/>
      <w:bookmarkStart w:id="22" w:name="_Toc397323683"/>
      <w:bookmarkStart w:id="23" w:name="_Toc397323756"/>
      <w:bookmarkStart w:id="24" w:name="_Toc397323829"/>
      <w:bookmarkStart w:id="25" w:name="_Toc400970331"/>
      <w:bookmarkStart w:id="26" w:name="_Toc403052483"/>
      <w:r>
        <w:rPr>
          <w:rStyle w:val="CharPartNo"/>
        </w:rPr>
        <w:t>Part II</w:t>
      </w:r>
      <w:r>
        <w:rPr>
          <w:rStyle w:val="CharDivNo"/>
        </w:rPr>
        <w:t> </w:t>
      </w:r>
      <w:r>
        <w:t>—</w:t>
      </w:r>
      <w:r>
        <w:rPr>
          <w:rStyle w:val="CharDivText"/>
        </w:rPr>
        <w:t> </w:t>
      </w:r>
      <w:r>
        <w:rPr>
          <w:rStyle w:val="CharPartText"/>
        </w:rPr>
        <w:t>Licences</w:t>
      </w:r>
      <w:bookmarkEnd w:id="20"/>
      <w:bookmarkEnd w:id="21"/>
      <w:bookmarkEnd w:id="22"/>
      <w:bookmarkEnd w:id="23"/>
      <w:bookmarkEnd w:id="24"/>
      <w:bookmarkEnd w:id="25"/>
      <w:bookmarkEnd w:id="26"/>
    </w:p>
    <w:p>
      <w:pPr>
        <w:pStyle w:val="Heading5"/>
      </w:pPr>
      <w:bookmarkStart w:id="27" w:name="_Toc403052484"/>
      <w:r>
        <w:rPr>
          <w:rStyle w:val="CharSectno"/>
        </w:rPr>
        <w:t>3D</w:t>
      </w:r>
      <w:r>
        <w:t>.</w:t>
      </w:r>
      <w:r>
        <w:tab/>
        <w:t>Minimum age of applicant for grant of licence</w:t>
      </w:r>
      <w:bookmarkEnd w:id="27"/>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28" w:name="_Toc403052485"/>
      <w:r>
        <w:rPr>
          <w:rStyle w:val="CharSectno"/>
        </w:rPr>
        <w:t>3E</w:t>
      </w:r>
      <w:r>
        <w:t>.</w:t>
      </w:r>
      <w:r>
        <w:tab/>
        <w:t>Proof of age and identity of applicant for grant of licence</w:t>
      </w:r>
      <w:bookmarkEnd w:id="28"/>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29" w:name="_Toc403052486"/>
      <w:r>
        <w:rPr>
          <w:rStyle w:val="CharSectno"/>
        </w:rPr>
        <w:t>3F</w:t>
      </w:r>
      <w:r>
        <w:t>.</w:t>
      </w:r>
      <w:r>
        <w:tab/>
        <w:t>Registered write</w:t>
      </w:r>
      <w:r>
        <w:noBreakHyphen/>
        <w:t>offs</w:t>
      </w:r>
      <w:bookmarkEnd w:id="29"/>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30" w:name="_Toc403052487"/>
      <w:r>
        <w:rPr>
          <w:rStyle w:val="CharSectno"/>
        </w:rPr>
        <w:t>4</w:t>
      </w:r>
      <w:r>
        <w:rPr>
          <w:snapToGrid w:val="0"/>
        </w:rPr>
        <w:t>.</w:t>
      </w:r>
      <w:r>
        <w:rPr>
          <w:snapToGrid w:val="0"/>
        </w:rPr>
        <w:tab/>
        <w:t>Inspection for licensing purposes</w:t>
      </w:r>
      <w:bookmarkEnd w:id="30"/>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31" w:name="_Toc403052488"/>
      <w:r>
        <w:rPr>
          <w:rStyle w:val="CharSectno"/>
        </w:rPr>
        <w:t>4A</w:t>
      </w:r>
      <w:r>
        <w:t>.</w:t>
      </w:r>
      <w:r>
        <w:tab/>
        <w:t>Declaration as to immobiliser</w:t>
      </w:r>
      <w:bookmarkEnd w:id="31"/>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32" w:name="_Toc403052489"/>
      <w:r>
        <w:rPr>
          <w:rStyle w:val="CharSectno"/>
        </w:rPr>
        <w:t>4B</w:t>
      </w:r>
      <w:r>
        <w:t>.</w:t>
      </w:r>
      <w:r>
        <w:tab/>
        <w:t>Grant of vehicle licence</w:t>
      </w:r>
      <w:bookmarkEnd w:id="32"/>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33" w:name="_Toc403052490"/>
      <w:r>
        <w:rPr>
          <w:rStyle w:val="CharSectno"/>
        </w:rPr>
        <w:t>4C</w:t>
      </w:r>
      <w:r>
        <w:t>.</w:t>
      </w:r>
      <w:r>
        <w:tab/>
        <w:t>Renewal of vehicle licence</w:t>
      </w:r>
      <w:bookmarkEnd w:id="33"/>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spacing w:before="100"/>
      </w:pPr>
      <w:r>
        <w:tab/>
        <w:t>[Regulation 4C inserted in Gazette 28 Nov 2006 p. 4902.]</w:t>
      </w:r>
    </w:p>
    <w:p>
      <w:pPr>
        <w:pStyle w:val="Heading5"/>
      </w:pPr>
      <w:bookmarkStart w:id="34" w:name="_Toc403052491"/>
      <w:r>
        <w:rPr>
          <w:rStyle w:val="CharSectno"/>
        </w:rPr>
        <w:t>4D</w:t>
      </w:r>
      <w:r>
        <w:t>.</w:t>
      </w:r>
      <w:r>
        <w:tab/>
        <w:t>Period of vehicle licence</w:t>
      </w:r>
      <w:bookmarkEnd w:id="34"/>
    </w:p>
    <w:p>
      <w:pPr>
        <w:pStyle w:val="Subsection"/>
      </w:pPr>
      <w:r>
        <w:tab/>
        <w:t>(1)</w:t>
      </w:r>
      <w:r>
        <w:tab/>
        <w:t>The period for which a vehicle licence, except a heavy vehicle licence, is to be granted or renewed is a period elected by the applicant for the grant or renewal, being —</w:t>
      </w:r>
    </w:p>
    <w:p>
      <w:pPr>
        <w:pStyle w:val="Indenta"/>
        <w:spacing w:before="60"/>
      </w:pPr>
      <w:r>
        <w:tab/>
        <w:t>(a)</w:t>
      </w:r>
      <w:r>
        <w:tab/>
        <w:t>a period of one year, 6 months or 3 months; or</w:t>
      </w:r>
    </w:p>
    <w:p>
      <w:pPr>
        <w:pStyle w:val="Indenta"/>
        <w:spacing w:before="60"/>
      </w:pPr>
      <w:r>
        <w:tab/>
        <w:t>(b)</w:t>
      </w:r>
      <w:r>
        <w:tab/>
        <w:t>if the Director General so approves in a particular case — any period up to one year.</w:t>
      </w:r>
    </w:p>
    <w:p>
      <w:pPr>
        <w:pStyle w:val="Subsection"/>
      </w:pPr>
      <w:r>
        <w:tab/>
        <w:t>(2)</w:t>
      </w:r>
      <w:r>
        <w:tab/>
        <w:t>The period for which a heavy vehicle licence, except a seasonal heavy vehicle licence, is to be granted or renewed is a period elected by the applicant for the grant or renewal, being —</w:t>
      </w:r>
    </w:p>
    <w:p>
      <w:pPr>
        <w:pStyle w:val="Indenta"/>
        <w:spacing w:before="60"/>
      </w:pPr>
      <w:r>
        <w:tab/>
        <w:t>(a)</w:t>
      </w:r>
      <w:r>
        <w:tab/>
        <w:t>a period of one year, 6 months or 3 months; or</w:t>
      </w:r>
    </w:p>
    <w:p>
      <w:pPr>
        <w:pStyle w:val="Indenta"/>
        <w:spacing w:before="60"/>
      </w:pPr>
      <w:r>
        <w:tab/>
        <w:t>(b)</w:t>
      </w:r>
      <w:r>
        <w:tab/>
        <w:t>if the Director General so approves in a particular case — any period up to one year.</w:t>
      </w:r>
    </w:p>
    <w:p>
      <w:pPr>
        <w:pStyle w:val="Subsection"/>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spacing w:before="70"/>
      </w:pPr>
      <w:r>
        <w:tab/>
        <w:t>(a)</w:t>
      </w:r>
      <w:r>
        <w:tab/>
        <w:t>a period of one month; or</w:t>
      </w:r>
    </w:p>
    <w:p>
      <w:pPr>
        <w:pStyle w:val="Indenta"/>
        <w:spacing w:before="70"/>
      </w:pPr>
      <w:r>
        <w:tab/>
        <w:t>(b)</w:t>
      </w:r>
      <w:r>
        <w:tab/>
        <w:t>if the Director General so approves in a particular case — any period up to one year.</w:t>
      </w:r>
    </w:p>
    <w:p>
      <w:pPr>
        <w:pStyle w:val="Subsection"/>
        <w:spacing w:before="150"/>
      </w:pPr>
      <w:r>
        <w:tab/>
        <w:t>(5)</w:t>
      </w:r>
      <w:r>
        <w:tab/>
        <w:t>The period for which a licence is granted begins on the day on which the licence is granted.</w:t>
      </w:r>
    </w:p>
    <w:p>
      <w:pPr>
        <w:pStyle w:val="Subsection"/>
        <w:spacing w:before="150"/>
      </w:pPr>
      <w:r>
        <w:tab/>
        <w:t>(6)</w:t>
      </w:r>
      <w:r>
        <w:tab/>
        <w:t>The period for which a licence is renewed begins on and from the day next succeeding the day on which the licence expires.</w:t>
      </w:r>
    </w:p>
    <w:p>
      <w:pPr>
        <w:pStyle w:val="Footnotesection"/>
        <w:spacing w:before="100"/>
      </w:pPr>
      <w:r>
        <w:tab/>
        <w:t>[Regulation 4D inserted in Gazette 28 Nov 2006 p. 4902</w:t>
      </w:r>
      <w:r>
        <w:noBreakHyphen/>
        <w:t>3.]</w:t>
      </w:r>
    </w:p>
    <w:p>
      <w:pPr>
        <w:pStyle w:val="Heading5"/>
      </w:pPr>
      <w:bookmarkStart w:id="35" w:name="_Toc403052492"/>
      <w:r>
        <w:rPr>
          <w:rStyle w:val="CharSectno"/>
        </w:rPr>
        <w:t>4E</w:t>
      </w:r>
      <w:r>
        <w:t>.</w:t>
      </w:r>
      <w:r>
        <w:tab/>
        <w:t>Director General may vary, grant or renew licences so that they expire on the same day</w:t>
      </w:r>
      <w:bookmarkEnd w:id="35"/>
    </w:p>
    <w:p>
      <w:pPr>
        <w:pStyle w:val="Subsection"/>
        <w:spacing w:before="150"/>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spacing w:before="100"/>
      </w:pPr>
      <w:r>
        <w:tab/>
        <w:t>[Regulation 4E inserted in Gazette 28 Nov 2006 p. 4903.]</w:t>
      </w:r>
    </w:p>
    <w:p>
      <w:pPr>
        <w:pStyle w:val="Heading5"/>
        <w:rPr>
          <w:snapToGrid w:val="0"/>
        </w:rPr>
      </w:pPr>
      <w:bookmarkStart w:id="36" w:name="_Toc403052493"/>
      <w:r>
        <w:rPr>
          <w:rStyle w:val="CharSectno"/>
        </w:rPr>
        <w:t>5</w:t>
      </w:r>
      <w:r>
        <w:rPr>
          <w:snapToGrid w:val="0"/>
        </w:rPr>
        <w:t>.</w:t>
      </w:r>
      <w:r>
        <w:rPr>
          <w:snapToGrid w:val="0"/>
        </w:rPr>
        <w:tab/>
        <w:t xml:space="preserve">Proof of ownership before </w:t>
      </w:r>
      <w:r>
        <w:t xml:space="preserve">grant </w:t>
      </w:r>
      <w:r>
        <w:rPr>
          <w:snapToGrid w:val="0"/>
        </w:rPr>
        <w:t>or transfer of licence</w:t>
      </w:r>
      <w:bookmarkEnd w:id="36"/>
    </w:p>
    <w:p>
      <w:pPr>
        <w:pStyle w:val="Subsection"/>
        <w:spacing w:before="15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100"/>
      </w:pPr>
      <w:r>
        <w:tab/>
        <w:t>[Regulation 5 amended in Gazette 2 Feb 1982 p. 401; 31 Jan 1997 p. 683; 28 Nov 2006 p. 4910</w:t>
      </w:r>
      <w:r>
        <w:noBreakHyphen/>
        <w:t>11.]</w:t>
      </w:r>
    </w:p>
    <w:p>
      <w:pPr>
        <w:pStyle w:val="Ednotesection"/>
      </w:pPr>
      <w:r>
        <w:t>[</w:t>
      </w:r>
      <w:r>
        <w:rPr>
          <w:b/>
        </w:rPr>
        <w:t>5A.</w:t>
      </w:r>
      <w:r>
        <w:tab/>
        <w:t>Deleted in Gazette 2 Dec 2011 p. 5075.]</w:t>
      </w:r>
    </w:p>
    <w:p>
      <w:pPr>
        <w:pStyle w:val="Heading5"/>
        <w:rPr>
          <w:snapToGrid w:val="0"/>
        </w:rPr>
      </w:pPr>
      <w:bookmarkStart w:id="37" w:name="_Toc403052494"/>
      <w:r>
        <w:rPr>
          <w:rStyle w:val="CharSectno"/>
        </w:rPr>
        <w:t>6</w:t>
      </w:r>
      <w:r>
        <w:rPr>
          <w:snapToGrid w:val="0"/>
        </w:rPr>
        <w:t>.</w:t>
      </w:r>
      <w:r>
        <w:rPr>
          <w:snapToGrid w:val="0"/>
        </w:rPr>
        <w:tab/>
        <w:t>Weighbridge certificate may be required</w:t>
      </w:r>
      <w:bookmarkEnd w:id="37"/>
    </w:p>
    <w:p>
      <w:pPr>
        <w:pStyle w:val="Subsection"/>
        <w:rPr>
          <w:snapToGrid w:val="0"/>
        </w:rPr>
      </w:pPr>
      <w:r>
        <w:rPr>
          <w:snapToGrid w:val="0"/>
        </w:rPr>
        <w:tab/>
        <w:t>(1)</w:t>
      </w:r>
      <w:r>
        <w:rPr>
          <w:snapToGrid w:val="0"/>
        </w:rPr>
        <w:tab/>
      </w:r>
      <w:r>
        <w:t>An applicant</w:t>
      </w:r>
      <w:r>
        <w:rPr>
          <w:snapToGrid w:val="0"/>
        </w:rPr>
        <w:t xml:space="preserve"> for a licence for a vehicle shall, if required, deliver to the licensing authority a weight ticket obtained from the person in charge of a </w:t>
      </w:r>
      <w:r>
        <w:t>prescribed weighbridge</w:t>
      </w:r>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rPr>
          <w:snapToGrid w:val="0"/>
        </w:rPr>
      </w:pPr>
      <w:r>
        <w:rPr>
          <w:snapToGrid w:val="0"/>
        </w:rPr>
        <w:tab/>
      </w:r>
      <w:r>
        <w:rPr>
          <w:snapToGrid w:val="0"/>
        </w:rPr>
        <w:tab/>
        <w:t>and in each case including the mass of the axle or any axle group.</w:t>
      </w:r>
    </w:p>
    <w:p>
      <w:pPr>
        <w:pStyle w:val="Subsection"/>
        <w:keepNext/>
        <w:keepLines/>
      </w:pPr>
      <w:r>
        <w:tab/>
        <w:t>(2)</w:t>
      </w:r>
      <w:r>
        <w:tab/>
        <w:t xml:space="preserve">For the purposes of subregulation (1), a prescribed weighbridge is — </w:t>
      </w:r>
    </w:p>
    <w:p>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keepNext/>
        <w:keepLines/>
      </w:pPr>
      <w:r>
        <w:tab/>
        <w:t>(b)</w:t>
      </w:r>
      <w:r>
        <w:tab/>
        <w:t>a weighbridge as defined in section 3(1) of that Act, other than a public weighbridge, that is verified under that Act.</w:t>
      </w:r>
    </w:p>
    <w:p>
      <w:pPr>
        <w:pStyle w:val="Footnotesection"/>
      </w:pPr>
      <w:r>
        <w:tab/>
        <w:t>[Regulation 6 amended in Gazette 11 Apr 1986 p. 1382; 25 Feb 2011 p. 658.]</w:t>
      </w:r>
    </w:p>
    <w:p>
      <w:pPr>
        <w:pStyle w:val="Heading5"/>
        <w:rPr>
          <w:snapToGrid w:val="0"/>
        </w:rPr>
      </w:pPr>
      <w:bookmarkStart w:id="38" w:name="_Toc403052495"/>
      <w:r>
        <w:rPr>
          <w:rStyle w:val="CharSectno"/>
        </w:rPr>
        <w:t>7</w:t>
      </w:r>
      <w:r>
        <w:rPr>
          <w:snapToGrid w:val="0"/>
        </w:rPr>
        <w:t>.</w:t>
      </w:r>
      <w:r>
        <w:rPr>
          <w:snapToGrid w:val="0"/>
        </w:rPr>
        <w:tab/>
        <w:t>Application for licence to be in writing and on form to be provided</w:t>
      </w:r>
      <w:bookmarkEnd w:id="38"/>
    </w:p>
    <w:p>
      <w:pPr>
        <w:pStyle w:val="Subsection"/>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pPr>
      <w:r>
        <w:tab/>
        <w:t>[Regulation 7 amended in Gazette 2 Feb 1982 p. 401; 31 Jan 1997 p. 683.]</w:t>
      </w:r>
    </w:p>
    <w:p>
      <w:pPr>
        <w:pStyle w:val="Heading5"/>
        <w:rPr>
          <w:snapToGrid w:val="0"/>
        </w:rPr>
      </w:pPr>
      <w:bookmarkStart w:id="39" w:name="_Toc403052496"/>
      <w:r>
        <w:rPr>
          <w:rStyle w:val="CharSectno"/>
        </w:rPr>
        <w:t>8</w:t>
      </w:r>
      <w:r>
        <w:rPr>
          <w:snapToGrid w:val="0"/>
        </w:rPr>
        <w:t>.</w:t>
      </w:r>
      <w:r>
        <w:rPr>
          <w:snapToGrid w:val="0"/>
        </w:rPr>
        <w:tab/>
        <w:t>Form of licence</w:t>
      </w:r>
      <w:bookmarkEnd w:id="39"/>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r>
        <w:t>[</w:t>
      </w:r>
      <w:r>
        <w:rPr>
          <w:b/>
        </w:rPr>
        <w:t>8A, 8B.</w:t>
      </w:r>
      <w:r>
        <w:tab/>
        <w:t>Deleted in Gazette 28 Nov 2006 p. 4904.]</w:t>
      </w:r>
    </w:p>
    <w:p>
      <w:pPr>
        <w:pStyle w:val="Heading5"/>
        <w:rPr>
          <w:snapToGrid w:val="0"/>
        </w:rPr>
      </w:pPr>
      <w:bookmarkStart w:id="40" w:name="_Toc403052497"/>
      <w:r>
        <w:rPr>
          <w:rStyle w:val="CharSectno"/>
        </w:rPr>
        <w:t>9</w:t>
      </w:r>
      <w:r>
        <w:rPr>
          <w:snapToGrid w:val="0"/>
        </w:rPr>
        <w:t>.</w:t>
      </w:r>
      <w:r>
        <w:rPr>
          <w:snapToGrid w:val="0"/>
        </w:rPr>
        <w:tab/>
        <w:t>Classes of vehicle licences</w:t>
      </w:r>
      <w:bookmarkEnd w:id="40"/>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spacing w:before="60"/>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spacing w:before="60"/>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rPr>
          <w:snapToGrid w:val="0"/>
        </w:rPr>
      </w:pPr>
      <w:bookmarkStart w:id="41" w:name="_Toc403052498"/>
      <w:r>
        <w:rPr>
          <w:rStyle w:val="CharSectno"/>
        </w:rPr>
        <w:t>9A</w:t>
      </w:r>
      <w:r>
        <w:rPr>
          <w:snapToGrid w:val="0"/>
        </w:rPr>
        <w:t>.</w:t>
      </w:r>
      <w:r>
        <w:rPr>
          <w:snapToGrid w:val="0"/>
        </w:rPr>
        <w:tab/>
        <w:t>Classes of licences for heavy vehicles</w:t>
      </w:r>
      <w:bookmarkEnd w:id="41"/>
    </w:p>
    <w:p>
      <w:pPr>
        <w:pStyle w:val="Subsection"/>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 and</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 or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42" w:name="_Toc403052499"/>
      <w:r>
        <w:rPr>
          <w:rStyle w:val="CharSectno"/>
        </w:rPr>
        <w:t>9B</w:t>
      </w:r>
      <w:r>
        <w:t>.</w:t>
      </w:r>
      <w:r>
        <w:tab/>
        <w:t>Transitional provision for heavy vehicle licences</w:t>
      </w:r>
      <w:bookmarkEnd w:id="42"/>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pPr>
      <w:r>
        <w:tab/>
        <w:t>[Regulation 9B inserted in Gazette 30 May 2008 p. 2084.]</w:t>
      </w:r>
    </w:p>
    <w:p>
      <w:pPr>
        <w:pStyle w:val="Heading5"/>
        <w:rPr>
          <w:snapToGrid w:val="0"/>
        </w:rPr>
      </w:pPr>
      <w:bookmarkStart w:id="43" w:name="_Toc403052500"/>
      <w:r>
        <w:rPr>
          <w:rStyle w:val="CharSectno"/>
        </w:rPr>
        <w:t>10</w:t>
      </w:r>
      <w:r>
        <w:rPr>
          <w:snapToGrid w:val="0"/>
        </w:rPr>
        <w:t>.</w:t>
      </w:r>
      <w:r>
        <w:rPr>
          <w:snapToGrid w:val="0"/>
        </w:rPr>
        <w:tab/>
        <w:t>Licence to be carried in certain cases</w:t>
      </w:r>
      <w:bookmarkEnd w:id="43"/>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44" w:name="_Toc403052501"/>
      <w:r>
        <w:rPr>
          <w:rStyle w:val="CharSectno"/>
        </w:rPr>
        <w:t>11</w:t>
      </w:r>
      <w:r>
        <w:rPr>
          <w:snapToGrid w:val="0"/>
        </w:rPr>
        <w:t>.</w:t>
      </w:r>
      <w:r>
        <w:rPr>
          <w:snapToGrid w:val="0"/>
        </w:rPr>
        <w:tab/>
        <w:t>Director General may issue permits for unlicensed vehicles</w:t>
      </w:r>
      <w:bookmarkEnd w:id="44"/>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2</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45" w:name="_Toc403052502"/>
      <w:r>
        <w:rPr>
          <w:rStyle w:val="CharSectno"/>
        </w:rPr>
        <w:t>13</w:t>
      </w:r>
      <w:r>
        <w:rPr>
          <w:snapToGrid w:val="0"/>
        </w:rPr>
        <w:t>.</w:t>
      </w:r>
      <w:r>
        <w:rPr>
          <w:snapToGrid w:val="0"/>
        </w:rPr>
        <w:tab/>
        <w:t>Signs to be displayed</w:t>
      </w:r>
      <w:bookmarkEnd w:id="45"/>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46" w:name="_Toc403052503"/>
      <w:r>
        <w:rPr>
          <w:rStyle w:val="CharSectno"/>
        </w:rPr>
        <w:t>14</w:t>
      </w:r>
      <w:r>
        <w:rPr>
          <w:snapToGrid w:val="0"/>
        </w:rPr>
        <w:t>.</w:t>
      </w:r>
      <w:r>
        <w:rPr>
          <w:snapToGrid w:val="0"/>
        </w:rPr>
        <w:tab/>
        <w:t>Fee for duplicate or certified copy of licence</w:t>
      </w:r>
      <w:bookmarkEnd w:id="46"/>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47" w:name="_Toc403052504"/>
      <w:r>
        <w:rPr>
          <w:rStyle w:val="CharSectno"/>
        </w:rPr>
        <w:t>15</w:t>
      </w:r>
      <w:r>
        <w:rPr>
          <w:snapToGrid w:val="0"/>
        </w:rPr>
        <w:t>.</w:t>
      </w:r>
      <w:r>
        <w:rPr>
          <w:snapToGrid w:val="0"/>
        </w:rPr>
        <w:tab/>
        <w:t>Licences unlawfully held, or not current, and change of address</w:t>
      </w:r>
      <w:bookmarkEnd w:id="47"/>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t>or in any other manner approved in writing by the Director General</w:t>
      </w:r>
      <w:r>
        <w:rPr>
          <w:snapToGrid w:val="0"/>
        </w:rPr>
        <w:t xml:space="preserve"> of the change to the Director General.</w:t>
      </w:r>
    </w:p>
    <w:p>
      <w:pPr>
        <w:pStyle w:val="Footnotesection"/>
      </w:pPr>
      <w:r>
        <w:tab/>
        <w:t>[Regulation 15 amended in Gazette 13 Mar 1981 p. 939; 2 Feb 1982 p. 401; 31 Jan 1997 p. 683; 2 Dec 2011 p. 5073.]</w:t>
      </w:r>
    </w:p>
    <w:p>
      <w:pPr>
        <w:pStyle w:val="Heading5"/>
      </w:pPr>
      <w:bookmarkStart w:id="48" w:name="_Toc403052505"/>
      <w:r>
        <w:rPr>
          <w:rStyle w:val="CharSectno"/>
        </w:rPr>
        <w:t>16A</w:t>
      </w:r>
      <w:r>
        <w:t>.</w:t>
      </w:r>
      <w:r>
        <w:tab/>
        <w:t>Licence documents to be handed over on disposal</w:t>
      </w:r>
      <w:bookmarkEnd w:id="48"/>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49" w:name="_Toc397323501"/>
      <w:bookmarkStart w:id="50" w:name="_Toc397323634"/>
      <w:bookmarkStart w:id="51" w:name="_Toc397323706"/>
      <w:bookmarkStart w:id="52" w:name="_Toc397323779"/>
      <w:bookmarkStart w:id="53" w:name="_Toc397323852"/>
      <w:bookmarkStart w:id="54" w:name="_Toc400970354"/>
      <w:bookmarkStart w:id="55" w:name="_Toc403052506"/>
      <w:r>
        <w:rPr>
          <w:rStyle w:val="CharPartNo"/>
        </w:rPr>
        <w:t>Part III</w:t>
      </w:r>
      <w:r>
        <w:rPr>
          <w:rStyle w:val="CharDivNo"/>
        </w:rPr>
        <w:t> </w:t>
      </w:r>
      <w:r>
        <w:t>—</w:t>
      </w:r>
      <w:r>
        <w:rPr>
          <w:rStyle w:val="CharDivText"/>
        </w:rPr>
        <w:t> </w:t>
      </w:r>
      <w:r>
        <w:rPr>
          <w:rStyle w:val="CharPartText"/>
        </w:rPr>
        <w:t>Licences for overseas vehicles</w:t>
      </w:r>
      <w:bookmarkEnd w:id="49"/>
      <w:bookmarkEnd w:id="50"/>
      <w:bookmarkEnd w:id="51"/>
      <w:bookmarkEnd w:id="52"/>
      <w:bookmarkEnd w:id="53"/>
      <w:bookmarkEnd w:id="54"/>
      <w:bookmarkEnd w:id="55"/>
    </w:p>
    <w:p>
      <w:pPr>
        <w:pStyle w:val="Heading5"/>
        <w:rPr>
          <w:snapToGrid w:val="0"/>
        </w:rPr>
      </w:pPr>
      <w:bookmarkStart w:id="56" w:name="_Toc403052507"/>
      <w:r>
        <w:rPr>
          <w:rStyle w:val="CharSectno"/>
        </w:rPr>
        <w:t>16</w:t>
      </w:r>
      <w:r>
        <w:rPr>
          <w:snapToGrid w:val="0"/>
        </w:rPr>
        <w:t>.</w:t>
      </w:r>
      <w:r>
        <w:rPr>
          <w:snapToGrid w:val="0"/>
        </w:rPr>
        <w:tab/>
        <w:t>Application for vehicle licence and for extension or renewal</w:t>
      </w:r>
      <w:bookmarkEnd w:id="56"/>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57" w:name="_Toc403052508"/>
      <w:r>
        <w:rPr>
          <w:rStyle w:val="CharSectno"/>
        </w:rPr>
        <w:t>17</w:t>
      </w:r>
      <w:r>
        <w:rPr>
          <w:snapToGrid w:val="0"/>
        </w:rPr>
        <w:t>.</w:t>
      </w:r>
      <w:r>
        <w:rPr>
          <w:snapToGrid w:val="0"/>
        </w:rPr>
        <w:tab/>
        <w:t>Contract of Third Party Insurance required</w:t>
      </w:r>
      <w:bookmarkEnd w:id="57"/>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58" w:name="_Toc403052509"/>
      <w:r>
        <w:rPr>
          <w:rStyle w:val="CharSectno"/>
        </w:rPr>
        <w:t>18</w:t>
      </w:r>
      <w:r>
        <w:rPr>
          <w:snapToGrid w:val="0"/>
        </w:rPr>
        <w:t>.</w:t>
      </w:r>
      <w:r>
        <w:rPr>
          <w:snapToGrid w:val="0"/>
        </w:rPr>
        <w:tab/>
        <w:t>Identification tablets or plates on motor vehicles to which Part IV of Act applies</w:t>
      </w:r>
      <w:bookmarkEnd w:id="58"/>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59" w:name="_Toc403052510"/>
      <w:r>
        <w:rPr>
          <w:rStyle w:val="CharSectno"/>
        </w:rPr>
        <w:t>20</w:t>
      </w:r>
      <w:r>
        <w:rPr>
          <w:snapToGrid w:val="0"/>
        </w:rPr>
        <w:t>.</w:t>
      </w:r>
      <w:r>
        <w:rPr>
          <w:snapToGrid w:val="0"/>
        </w:rPr>
        <w:tab/>
        <w:t>Permits for use of vehicle not conforming with requirements of Act or regulations</w:t>
      </w:r>
      <w:bookmarkEnd w:id="59"/>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60" w:name="_Toc403052511"/>
      <w:r>
        <w:rPr>
          <w:rStyle w:val="CharSectno"/>
        </w:rPr>
        <w:t>21</w:t>
      </w:r>
      <w:r>
        <w:rPr>
          <w:snapToGrid w:val="0"/>
        </w:rPr>
        <w:t>.</w:t>
      </w:r>
      <w:r>
        <w:rPr>
          <w:snapToGrid w:val="0"/>
        </w:rPr>
        <w:tab/>
        <w:t>When licence for overseas vehicle ceases to have force and effect</w:t>
      </w:r>
      <w:bookmarkEnd w:id="60"/>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r>
        <w:t>[Part IIIA:</w:t>
      </w:r>
      <w:r>
        <w:tab/>
        <w:t>s. 21FA deleted in Gazette 25 May 1999 p. 2068;</w:t>
      </w:r>
      <w:r>
        <w:br/>
        <w:t>s. 21N deleted in Gazette 12 May 1998 p. 2798;</w:t>
      </w:r>
      <w:r>
        <w:br/>
        <w:t>balance deleted in Gazette 28 Nov 2006 p. 4906.]</w:t>
      </w:r>
    </w:p>
    <w:p>
      <w:pPr>
        <w:pStyle w:val="Heading2"/>
      </w:pPr>
      <w:bookmarkStart w:id="61" w:name="_Toc397323507"/>
      <w:bookmarkStart w:id="62" w:name="_Toc397323640"/>
      <w:bookmarkStart w:id="63" w:name="_Toc397323712"/>
      <w:bookmarkStart w:id="64" w:name="_Toc397323785"/>
      <w:bookmarkStart w:id="65" w:name="_Toc397323858"/>
      <w:bookmarkStart w:id="66" w:name="_Toc400970360"/>
      <w:bookmarkStart w:id="67" w:name="_Toc403052512"/>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61"/>
      <w:bookmarkEnd w:id="62"/>
      <w:bookmarkEnd w:id="63"/>
      <w:bookmarkEnd w:id="64"/>
      <w:bookmarkEnd w:id="65"/>
      <w:bookmarkEnd w:id="66"/>
      <w:bookmarkEnd w:id="67"/>
    </w:p>
    <w:p>
      <w:pPr>
        <w:pStyle w:val="Footnoteheading"/>
      </w:pPr>
      <w:r>
        <w:tab/>
        <w:t>[Heading inserted in Gazette 31 Mar 1989 p. 856.]</w:t>
      </w:r>
    </w:p>
    <w:p>
      <w:pPr>
        <w:pStyle w:val="Heading5"/>
        <w:rPr>
          <w:snapToGrid w:val="0"/>
        </w:rPr>
      </w:pPr>
      <w:bookmarkStart w:id="68" w:name="_Toc403052513"/>
      <w:r>
        <w:rPr>
          <w:rStyle w:val="CharSectno"/>
        </w:rPr>
        <w:t>22</w:t>
      </w:r>
      <w:r>
        <w:rPr>
          <w:snapToGrid w:val="0"/>
        </w:rPr>
        <w:t>.</w:t>
      </w:r>
      <w:r>
        <w:rPr>
          <w:snapToGrid w:val="0"/>
        </w:rPr>
        <w:tab/>
        <w:t>Director General to provide number plates</w:t>
      </w:r>
      <w:bookmarkEnd w:id="68"/>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and</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 and</w:t>
      </w:r>
    </w:p>
    <w:p>
      <w:pPr>
        <w:pStyle w:val="Indenta"/>
        <w:spacing w:before="70"/>
      </w:pPr>
      <w:r>
        <w:rPr>
          <w:snapToGrid w:val="0"/>
        </w:rPr>
        <w:tab/>
        <w:t>(b)</w:t>
      </w:r>
      <w:r>
        <w:rPr>
          <w:snapToGrid w:val="0"/>
        </w:rPr>
        <w:tab/>
        <w:t>omnibuses</w:t>
      </w:r>
      <w:r>
        <w:t>; and</w:t>
      </w:r>
    </w:p>
    <w:p>
      <w:pPr>
        <w:pStyle w:val="Indenta"/>
        <w:spacing w:before="70"/>
        <w:rPr>
          <w:snapToGrid w:val="0"/>
        </w:rPr>
      </w:pPr>
      <w:r>
        <w:tab/>
        <w:t>(c)</w:t>
      </w:r>
      <w:r>
        <w:tab/>
        <w:t>heavy vehicles that are the subject of a seasonal heavy vehicle licence.</w:t>
      </w:r>
    </w:p>
    <w:p>
      <w:pPr>
        <w:pStyle w:val="Footnotesection"/>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69" w:name="_Toc403052514"/>
      <w:r>
        <w:rPr>
          <w:rStyle w:val="CharSectno"/>
        </w:rPr>
        <w:t>23</w:t>
      </w:r>
      <w:r>
        <w:rPr>
          <w:snapToGrid w:val="0"/>
        </w:rPr>
        <w:t>.</w:t>
      </w:r>
      <w:r>
        <w:rPr>
          <w:snapToGrid w:val="0"/>
        </w:rPr>
        <w:tab/>
        <w:t>Lost number plates</w:t>
      </w:r>
      <w:bookmarkEnd w:id="69"/>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spacing w:before="70"/>
        <w:rPr>
          <w:snapToGrid w:val="0"/>
        </w:rPr>
      </w:pPr>
      <w:r>
        <w:rPr>
          <w:snapToGrid w:val="0"/>
        </w:rPr>
        <w:tab/>
        <w:t>(a)</w:t>
      </w:r>
      <w:r>
        <w:rPr>
          <w:snapToGrid w:val="0"/>
        </w:rPr>
        <w:tab/>
        <w:t>a special plate; or</w:t>
      </w:r>
    </w:p>
    <w:p>
      <w:pPr>
        <w:pStyle w:val="Indenta"/>
        <w:keepNext/>
        <w:spacing w:before="70"/>
        <w:rPr>
          <w:snapToGrid w:val="0"/>
        </w:rPr>
      </w:pPr>
      <w:r>
        <w:rPr>
          <w:snapToGrid w:val="0"/>
        </w:rPr>
        <w:tab/>
        <w:t>(b)</w:t>
      </w:r>
      <w:r>
        <w:rPr>
          <w:snapToGrid w:val="0"/>
        </w:rPr>
        <w:tab/>
        <w:t>a name plate; or</w:t>
      </w:r>
    </w:p>
    <w:p>
      <w:pPr>
        <w:pStyle w:val="Indenta"/>
        <w:spacing w:before="70"/>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 or</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as that number plate.</w:t>
      </w:r>
    </w:p>
    <w:p>
      <w:pPr>
        <w:pStyle w:val="Footnotesection"/>
      </w:pPr>
      <w:r>
        <w:tab/>
        <w:t>[Regulation 23 amended in Gazette 2 Feb 1982 p. 402; 24 May 1985 p. 1762; 29 Nov 1985 p. 4452; 29 May 1987 p. 2221</w:t>
      </w:r>
      <w:r>
        <w:noBreakHyphen/>
        <w:t>2; 31 Jan 1997 p. 683; 23 Dec 2005 p. 6284; 9 Sep 2014 p. 3249.]</w:t>
      </w:r>
    </w:p>
    <w:p>
      <w:pPr>
        <w:pStyle w:val="Heading5"/>
        <w:rPr>
          <w:snapToGrid w:val="0"/>
        </w:rPr>
      </w:pPr>
      <w:bookmarkStart w:id="70" w:name="_Toc403052515"/>
      <w:r>
        <w:rPr>
          <w:rStyle w:val="CharSectno"/>
        </w:rPr>
        <w:t>24</w:t>
      </w:r>
      <w:r>
        <w:rPr>
          <w:snapToGrid w:val="0"/>
        </w:rPr>
        <w:t>.</w:t>
      </w:r>
      <w:r>
        <w:rPr>
          <w:snapToGrid w:val="0"/>
        </w:rPr>
        <w:tab/>
        <w:t>Nature of number plates</w:t>
      </w:r>
      <w:bookmarkEnd w:id="70"/>
    </w:p>
    <w:p>
      <w:pPr>
        <w:pStyle w:val="Subsection"/>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pPr>
      <w:r>
        <w:tab/>
        <w:t>[(2)</w:t>
      </w:r>
      <w:r>
        <w:tab/>
        <w:t>deleted]</w:t>
      </w:r>
    </w:p>
    <w:p>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mm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 or</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71" w:name="_Toc403052516"/>
      <w:r>
        <w:rPr>
          <w:rStyle w:val="CharSectno"/>
        </w:rPr>
        <w:t>25</w:t>
      </w:r>
      <w:r>
        <w:rPr>
          <w:snapToGrid w:val="0"/>
        </w:rPr>
        <w:t>.</w:t>
      </w:r>
      <w:r>
        <w:rPr>
          <w:snapToGrid w:val="0"/>
        </w:rPr>
        <w:tab/>
        <w:t>Number plate to be fixed on vehicle</w:t>
      </w:r>
      <w:bookmarkEnd w:id="71"/>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 9 Sep 2014 p. 3249.]</w:t>
      </w:r>
    </w:p>
    <w:p>
      <w:pPr>
        <w:pStyle w:val="Heading5"/>
      </w:pPr>
      <w:bookmarkStart w:id="72" w:name="_Toc398898762"/>
      <w:bookmarkStart w:id="73" w:name="_Toc403052517"/>
      <w:r>
        <w:rPr>
          <w:rStyle w:val="CharSectno"/>
        </w:rPr>
        <w:t>25AA</w:t>
      </w:r>
      <w:r>
        <w:t>.</w:t>
      </w:r>
      <w:r>
        <w:tab/>
        <w:t>Preventing effective identification of number plate</w:t>
      </w:r>
      <w:bookmarkEnd w:id="72"/>
      <w:bookmarkEnd w:id="73"/>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Director General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applicable to subregulations (2), (3), (4), (5), (6), (7), (8) and (9): a fine of 24 PU.</w:t>
      </w:r>
    </w:p>
    <w:p>
      <w:pPr>
        <w:pStyle w:val="Footnotesection"/>
      </w:pPr>
      <w:r>
        <w:tab/>
        <w:t>[Regulation 25AA inserted in Gazette 9 Sep 2014 p. 3250</w:t>
      </w:r>
      <w:r>
        <w:noBreakHyphen/>
        <w:t>2.]</w:t>
      </w:r>
    </w:p>
    <w:p>
      <w:pPr>
        <w:pStyle w:val="Heading5"/>
        <w:rPr>
          <w:snapToGrid w:val="0"/>
        </w:rPr>
      </w:pPr>
      <w:bookmarkStart w:id="74" w:name="_Toc403052518"/>
      <w:r>
        <w:rPr>
          <w:rStyle w:val="CharSectno"/>
        </w:rPr>
        <w:t>25A</w:t>
      </w:r>
      <w:r>
        <w:rPr>
          <w:snapToGrid w:val="0"/>
        </w:rPr>
        <w:t>.</w:t>
      </w:r>
      <w:r>
        <w:rPr>
          <w:snapToGrid w:val="0"/>
        </w:rPr>
        <w:tab/>
        <w:t>Certificate of right to display</w:t>
      </w:r>
      <w:bookmarkEnd w:id="74"/>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 and</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snapToGrid w:val="0"/>
        </w:rPr>
      </w:pPr>
      <w:r>
        <w:rPr>
          <w:snapToGrid w:val="0"/>
        </w:rPr>
        <w:tab/>
        <w:t>(c)</w:t>
      </w:r>
      <w:r>
        <w:rPr>
          <w:snapToGrid w:val="0"/>
        </w:rPr>
        <w:tab/>
        <w:t>subject to regulation 25B, the special plates.</w:t>
      </w:r>
    </w:p>
    <w:p>
      <w:pPr>
        <w:pStyle w:val="Footnotesection"/>
      </w:pPr>
      <w:r>
        <w:tab/>
        <w:t>[Regulation 25A inserted in Gazette 24 May 1985 p. 1762</w:t>
      </w:r>
      <w:r>
        <w:noBreakHyphen/>
        <w:t>3; amended in Gazette 6 Sep 1991 p. 4714; 17 Aug 1993 p. 4431; 31 Jan 1997 p. 683</w:t>
      </w:r>
      <w:r>
        <w:noBreakHyphen/>
        <w:t>4; 28 Nov 2006 p. 4907</w:t>
      </w:r>
      <w:r>
        <w:noBreakHyphen/>
        <w:t>8.]</w:t>
      </w:r>
    </w:p>
    <w:p>
      <w:pPr>
        <w:pStyle w:val="Heading5"/>
        <w:rPr>
          <w:snapToGrid w:val="0"/>
        </w:rPr>
      </w:pPr>
      <w:bookmarkStart w:id="75" w:name="_Toc403052519"/>
      <w:r>
        <w:rPr>
          <w:rStyle w:val="CharSectno"/>
          <w:rFonts w:ascii="Times" w:hAnsi="Times"/>
        </w:rPr>
        <w:t>25B</w:t>
      </w:r>
      <w:r>
        <w:rPr>
          <w:snapToGrid w:val="0"/>
        </w:rPr>
        <w:t>.</w:t>
      </w:r>
      <w:r>
        <w:rPr>
          <w:snapToGrid w:val="0"/>
        </w:rPr>
        <w:tab/>
        <w:t>Retention of special plates by Director General</w:t>
      </w:r>
      <w:bookmarkEnd w:id="75"/>
    </w:p>
    <w:p>
      <w:pPr>
        <w:pStyle w:val="Subsection"/>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pPr>
      <w:r>
        <w:tab/>
        <w:t>[(2)</w:t>
      </w:r>
      <w:r>
        <w:tab/>
        <w:t>deleted]</w:t>
      </w:r>
    </w:p>
    <w:p>
      <w:pPr>
        <w:pStyle w:val="Subsection"/>
        <w:rPr>
          <w:snapToGrid w:val="0"/>
        </w:rPr>
      </w:pPr>
      <w:r>
        <w:rPr>
          <w:snapToGrid w:val="0"/>
        </w:rPr>
        <w:tab/>
        <w:t>(3)</w:t>
      </w:r>
      <w:r>
        <w:rPr>
          <w:snapToGrid w:val="0"/>
        </w:rPr>
        <w:tab/>
        <w:t xml:space="preserve">Where the person who is entitled to the right to display a special plate on a vehicle fails to pay </w:t>
      </w:r>
      <w:r>
        <w:t xml:space="preserve">a relevant fee prescribed under the </w:t>
      </w:r>
      <w:r>
        <w:rPr>
          <w:i/>
        </w:rPr>
        <w:t xml:space="preserve">Road Traffic (Charges and Fees) Regulations 2006 </w:t>
      </w:r>
      <w:r>
        <w:rPr>
          <w:snapToGrid w:val="0"/>
        </w:rPr>
        <w:t xml:space="preserve">for 3 consecutive years the Director General may by notice served on that person at his last known address and published in a newspaper circulating throughout the State notify him that unless he pays all the fees </w:t>
      </w:r>
      <w:r>
        <w:t xml:space="preserve">prescribed under those regulations that are </w:t>
      </w:r>
      <w:r>
        <w:rPr>
          <w:snapToGrid w:val="0"/>
        </w:rPr>
        <w:t>due in respect of the storage of the special plate on or before the date specified in the notice his entitlement to the right to display the special plates will cease.</w:t>
      </w:r>
    </w:p>
    <w:p>
      <w:pPr>
        <w:pStyle w:val="Subsection"/>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pPr>
      <w:r>
        <w:tab/>
        <w:t>[Regulation 25B inserted in Gazette 24 May 1985 p. 1763; amended in Gazette 8 Sep 1989 p. 3171</w:t>
      </w:r>
      <w:r>
        <w:noBreakHyphen/>
        <w:t>2; 21 Sep 1990 p. 4941; 17 Aug 1993 p. 4431; 31 Jan 1997 p. 683</w:t>
      </w:r>
      <w:r>
        <w:noBreakHyphen/>
        <w:t>4; 28 Nov 2006 p. 4908.]</w:t>
      </w:r>
    </w:p>
    <w:p>
      <w:pPr>
        <w:pStyle w:val="Heading5"/>
        <w:keepLines w:val="0"/>
        <w:rPr>
          <w:snapToGrid w:val="0"/>
        </w:rPr>
      </w:pPr>
      <w:bookmarkStart w:id="76" w:name="_Toc403052520"/>
      <w:r>
        <w:rPr>
          <w:rStyle w:val="CharSectno"/>
        </w:rPr>
        <w:t>25C</w:t>
      </w:r>
      <w:r>
        <w:rPr>
          <w:snapToGrid w:val="0"/>
        </w:rPr>
        <w:t>.</w:t>
      </w:r>
      <w:r>
        <w:rPr>
          <w:snapToGrid w:val="0"/>
        </w:rPr>
        <w:tab/>
        <w:t>Name plates to be treated as special plates</w:t>
      </w:r>
      <w:bookmarkEnd w:id="76"/>
    </w:p>
    <w:p>
      <w:pPr>
        <w:pStyle w:val="Subsection"/>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(6)(b).</w:t>
      </w:r>
    </w:p>
    <w:p>
      <w:pPr>
        <w:pStyle w:val="Footnotesection"/>
        <w:spacing w:before="90"/>
      </w:pPr>
      <w:r>
        <w:tab/>
        <w:t>[Regulation 25C inserted in Gazette 29 Nov 1985 p. 4452; amended in Gazette 31 Jan 1997 p. 683</w:t>
      </w:r>
      <w:r>
        <w:noBreakHyphen/>
        <w:t>4.]</w:t>
      </w:r>
    </w:p>
    <w:p>
      <w:pPr>
        <w:pStyle w:val="Heading5"/>
        <w:rPr>
          <w:snapToGrid w:val="0"/>
        </w:rPr>
      </w:pPr>
      <w:bookmarkStart w:id="77" w:name="_Toc403052521"/>
      <w:r>
        <w:rPr>
          <w:rStyle w:val="CharSectno"/>
        </w:rPr>
        <w:t>26</w:t>
      </w:r>
      <w:r>
        <w:rPr>
          <w:snapToGrid w:val="0"/>
        </w:rPr>
        <w:t>.</w:t>
      </w:r>
      <w:r>
        <w:rPr>
          <w:snapToGrid w:val="0"/>
        </w:rPr>
        <w:tab/>
        <w:t>Application for trade plates</w:t>
      </w:r>
      <w:bookmarkEnd w:id="77"/>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rPr>
          <w:snapToGrid w:val="0"/>
        </w:rPr>
      </w:pPr>
      <w:r>
        <w:rPr>
          <w:snapToGrid w:val="0"/>
        </w:rPr>
        <w:tab/>
        <w:t>(2)</w:t>
      </w:r>
      <w:r>
        <w:rPr>
          <w:snapToGrid w:val="0"/>
        </w:rPr>
        <w:tab/>
        <w:t>The classes of persons to whom trade plates may be assigned and issued are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pPr>
      <w:r>
        <w:rPr>
          <w:snapToGrid w:val="0"/>
        </w:rPr>
        <w:tab/>
        <w:t>(g)</w:t>
      </w:r>
      <w:r>
        <w:rPr>
          <w:snapToGrid w:val="0"/>
        </w:rPr>
        <w:tab/>
        <w:t>any class of persons approved by the Director General for the purposes of this regulation.</w:t>
      </w:r>
    </w:p>
    <w:p>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78" w:name="_Toc403052522"/>
      <w:r>
        <w:rPr>
          <w:rStyle w:val="CharSectno"/>
        </w:rPr>
        <w:t>26A</w:t>
      </w:r>
      <w:r>
        <w:rPr>
          <w:snapToGrid w:val="0"/>
        </w:rPr>
        <w:t>.</w:t>
      </w:r>
      <w:r>
        <w:rPr>
          <w:snapToGrid w:val="0"/>
        </w:rPr>
        <w:tab/>
        <w:t>Annual fee for trade plates</w:t>
      </w:r>
      <w:bookmarkEnd w:id="78"/>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79" w:name="_Toc403052523"/>
      <w:r>
        <w:rPr>
          <w:rStyle w:val="CharSectno"/>
        </w:rPr>
        <w:t>26C</w:t>
      </w:r>
      <w:r>
        <w:rPr>
          <w:snapToGrid w:val="0"/>
        </w:rPr>
        <w:t>.</w:t>
      </w:r>
      <w:r>
        <w:rPr>
          <w:snapToGrid w:val="0"/>
        </w:rPr>
        <w:tab/>
        <w:t>Conditions of use</w:t>
      </w:r>
      <w:bookmarkEnd w:id="79"/>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spacing w:before="70"/>
      </w:pPr>
      <w:r>
        <w:tab/>
        <w:t>(viii)</w:t>
      </w:r>
      <w:r>
        <w:tab/>
        <w:t>in the case of a vehicle of a type referred to in subparagraph (i) or (ii), lights at the front and rear; and</w:t>
      </w:r>
    </w:p>
    <w:p>
      <w:pPr>
        <w:pStyle w:val="Indenti"/>
        <w:spacing w:before="70"/>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spacing w:before="70"/>
      </w:pPr>
      <w:r>
        <w:tab/>
        <w:t>(x)</w:t>
      </w:r>
      <w:r>
        <w:tab/>
        <w:t>reflectors at the rear; and</w:t>
      </w:r>
    </w:p>
    <w:p>
      <w:pPr>
        <w:pStyle w:val="Indenti"/>
        <w:spacing w:before="70"/>
      </w:pPr>
      <w:r>
        <w:tab/>
        <w:t>(xi)</w:t>
      </w:r>
      <w:r>
        <w:tab/>
        <w:t>a means of transmitting power from the engine to the drive wheels; and</w:t>
      </w:r>
    </w:p>
    <w:p>
      <w:pPr>
        <w:pStyle w:val="Indenti"/>
        <w:spacing w:before="70"/>
      </w:pPr>
      <w:r>
        <w:tab/>
        <w:t>(xii)</w:t>
      </w:r>
      <w:r>
        <w:tab/>
        <w:t>a structure that will not fail when the vehicle is used for the purpose for which it was designed;</w:t>
      </w:r>
    </w:p>
    <w:p>
      <w:pPr>
        <w:pStyle w:val="Indenta"/>
        <w:spacing w:before="70"/>
      </w:pPr>
      <w:r>
        <w:tab/>
        <w:t>(b)</w:t>
      </w:r>
      <w:r>
        <w:tab/>
        <w:t xml:space="preserve">if the vehicle is an agricultural machine that does not comply with the Vehicle Standards, the vehicle — </w:t>
      </w:r>
    </w:p>
    <w:p>
      <w:pPr>
        <w:pStyle w:val="Indenti"/>
        <w:spacing w:before="70"/>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spacing w:before="70"/>
      </w:pPr>
      <w:r>
        <w:tab/>
        <w:t>(ii)</w:t>
      </w:r>
      <w:r>
        <w:tab/>
        <w:t xml:space="preserve">is more than 2.5 m but not more than 3.5 m wide and not more than 4.3 m high and 12 m long and — </w:t>
      </w:r>
    </w:p>
    <w:p>
      <w:pPr>
        <w:pStyle w:val="IndentI0"/>
        <w:spacing w:before="70"/>
      </w:pPr>
      <w:r>
        <w:tab/>
        <w:t>(I)</w:t>
      </w:r>
      <w:r>
        <w:tab/>
        <w:t xml:space="preserve">complies with the </w:t>
      </w:r>
      <w:r>
        <w:rPr>
          <w:i/>
        </w:rPr>
        <w:t>Road Traffic (Vehicle Standards) Regulations 2002</w:t>
      </w:r>
      <w:r>
        <w:t xml:space="preserve"> Schedule 2; and</w:t>
      </w:r>
    </w:p>
    <w:p>
      <w:pPr>
        <w:pStyle w:val="IndentI0"/>
        <w:spacing w:before="7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spacing w:before="7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spacing w:before="70"/>
      </w:pPr>
      <w:r>
        <w:tab/>
      </w:r>
      <w:r>
        <w:tab/>
        <w:t>or</w:t>
      </w:r>
    </w:p>
    <w:p>
      <w:pPr>
        <w:pStyle w:val="Indenti"/>
        <w:spacing w:before="70"/>
      </w:pPr>
      <w:r>
        <w:tab/>
        <w:t>(iii)</w:t>
      </w:r>
      <w:r>
        <w:tab/>
        <w:t>is more than 3.5 m but not more than 6 m wide and not more than 4.3 m high and 12 m long and —</w:t>
      </w:r>
    </w:p>
    <w:p>
      <w:pPr>
        <w:pStyle w:val="IndentI0"/>
        <w:spacing w:before="70"/>
      </w:pPr>
      <w:r>
        <w:tab/>
        <w:t>(I)</w:t>
      </w:r>
      <w:r>
        <w:tab/>
        <w:t xml:space="preserve">complies with the </w:t>
      </w:r>
      <w:r>
        <w:rPr>
          <w:i/>
        </w:rPr>
        <w:t>Road Traffic (Vehicle Standards) Regulations 2002</w:t>
      </w:r>
      <w:r>
        <w:t xml:space="preserve"> Schedule 2; and</w:t>
      </w:r>
    </w:p>
    <w:p>
      <w:pPr>
        <w:pStyle w:val="IndentI0"/>
        <w:spacing w:before="70"/>
      </w:pPr>
      <w:r>
        <w:tab/>
        <w:t>(II)</w:t>
      </w:r>
      <w:r>
        <w:tab/>
        <w:t>is not used on a road without the prior written approval of the Commissioner of Main Roads;</w:t>
      </w:r>
    </w:p>
    <w:p>
      <w:pPr>
        <w:pStyle w:val="Indenti"/>
        <w:spacing w:before="70"/>
      </w:pPr>
      <w:r>
        <w:tab/>
      </w:r>
      <w:r>
        <w:tab/>
        <w:t>or</w:t>
      </w:r>
    </w:p>
    <w:p>
      <w:pPr>
        <w:pStyle w:val="Indenti"/>
        <w:spacing w:before="70"/>
      </w:pPr>
      <w:r>
        <w:tab/>
        <w:t>(iv)</w:t>
      </w:r>
      <w:r>
        <w:tab/>
        <w:t>is more than 4.3 m but not more than 4.6 m high and is not used on a road without the prior written approval of Western Power Corporation;</w:t>
      </w:r>
    </w:p>
    <w:p>
      <w:pPr>
        <w:pStyle w:val="Indenta"/>
        <w:spacing w:before="70"/>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spacing w:before="70"/>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spacing w:before="70"/>
        <w:rPr>
          <w:snapToGrid w:val="0"/>
        </w:rPr>
      </w:pPr>
      <w:r>
        <w:rPr>
          <w:snapToGrid w:val="0"/>
        </w:rPr>
        <w:tab/>
        <w:t>(e)</w:t>
      </w:r>
      <w:r>
        <w:rPr>
          <w:snapToGrid w:val="0"/>
        </w:rPr>
        <w:tab/>
        <w:t>the vehicle is not used to carry goods other than —</w:t>
      </w:r>
    </w:p>
    <w:p>
      <w:pPr>
        <w:pStyle w:val="Indenti"/>
        <w:spacing w:before="70"/>
        <w:rPr>
          <w:snapToGrid w:val="0"/>
        </w:rPr>
      </w:pPr>
      <w:r>
        <w:rPr>
          <w:snapToGrid w:val="0"/>
        </w:rPr>
        <w:tab/>
        <w:t>(i)</w:t>
      </w:r>
      <w:r>
        <w:rPr>
          <w:snapToGrid w:val="0"/>
        </w:rPr>
        <w:tab/>
        <w:t>goods essential for the operation of the vehicle;</w:t>
      </w:r>
    </w:p>
    <w:p>
      <w:pPr>
        <w:pStyle w:val="Indenti"/>
        <w:spacing w:before="70"/>
        <w:rPr>
          <w:snapToGrid w:val="0"/>
        </w:rPr>
      </w:pPr>
      <w:r>
        <w:rPr>
          <w:snapToGrid w:val="0"/>
        </w:rPr>
        <w:tab/>
        <w:t>(ii)</w:t>
      </w:r>
      <w:r>
        <w:rPr>
          <w:snapToGrid w:val="0"/>
        </w:rPr>
        <w:tab/>
        <w:t>goods for the comfort of the person or persons travelling in the vehicle;</w:t>
      </w:r>
    </w:p>
    <w:p>
      <w:pPr>
        <w:pStyle w:val="Indenti"/>
        <w:spacing w:before="70"/>
      </w:pPr>
      <w:r>
        <w:rPr>
          <w:snapToGrid w:val="0"/>
        </w:rPr>
        <w:tab/>
        <w:t>(iii)</w:t>
      </w:r>
      <w:r>
        <w:rPr>
          <w:snapToGrid w:val="0"/>
        </w:rPr>
        <w:tab/>
        <w:t xml:space="preserve">other vehicles in accordance with </w:t>
      </w:r>
      <w:r>
        <w:t>subregulation (2)(g);</w:t>
      </w:r>
    </w:p>
    <w:p>
      <w:pPr>
        <w:pStyle w:val="Indenti"/>
        <w:spacing w:before="70"/>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 or</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80" w:name="_Toc403052524"/>
      <w:r>
        <w:rPr>
          <w:rStyle w:val="CharSectno"/>
        </w:rPr>
        <w:t>26D</w:t>
      </w:r>
      <w:r>
        <w:rPr>
          <w:snapToGrid w:val="0"/>
        </w:rPr>
        <w:t>.</w:t>
      </w:r>
      <w:r>
        <w:rPr>
          <w:snapToGrid w:val="0"/>
        </w:rPr>
        <w:tab/>
        <w:t>Terms used</w:t>
      </w:r>
      <w:bookmarkEnd w:id="80"/>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81" w:name="_Toc403052525"/>
      <w:r>
        <w:rPr>
          <w:rStyle w:val="CharSectno"/>
        </w:rPr>
        <w:t>26E</w:t>
      </w:r>
      <w:r>
        <w:t>.</w:t>
      </w:r>
      <w:r>
        <w:tab/>
        <w:t>Transitional</w:t>
      </w:r>
      <w:bookmarkEnd w:id="81"/>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rPr>
          <w:iCs/>
          <w:vertAlign w:val="superscript"/>
        </w:rPr>
        <w:t> 1</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rPr>
          <w:snapToGrid w:val="0"/>
        </w:rPr>
      </w:pPr>
      <w:bookmarkStart w:id="82" w:name="_Toc403052526"/>
      <w:r>
        <w:rPr>
          <w:rStyle w:val="CharSectno"/>
        </w:rPr>
        <w:t>27</w:t>
      </w:r>
      <w:r>
        <w:rPr>
          <w:snapToGrid w:val="0"/>
        </w:rPr>
        <w:t>.</w:t>
      </w:r>
      <w:r>
        <w:rPr>
          <w:snapToGrid w:val="0"/>
        </w:rPr>
        <w:tab/>
        <w:t>Prohibition on painting or interfering with number plates</w:t>
      </w:r>
      <w:bookmarkEnd w:id="82"/>
    </w:p>
    <w:p>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pPr>
      <w:r>
        <w:tab/>
        <w:t>[Regulation 27 amended in Gazette 2 Feb 1982 p. 402; 25 Feb 1983 p. 654; 28 Sep 1990 p. 5072</w:t>
      </w:r>
      <w:r>
        <w:noBreakHyphen/>
        <w:t>3; 31 Jan 1997 p. 683</w:t>
      </w:r>
      <w:r>
        <w:noBreakHyphen/>
        <w:t>4; 1 Nov 2002 p. 5393.]</w:t>
      </w:r>
    </w:p>
    <w:p>
      <w:pPr>
        <w:pStyle w:val="Heading5"/>
        <w:rPr>
          <w:snapToGrid w:val="0"/>
        </w:rPr>
      </w:pPr>
      <w:bookmarkStart w:id="83" w:name="_Toc403052527"/>
      <w:r>
        <w:rPr>
          <w:rStyle w:val="CharSectno"/>
        </w:rPr>
        <w:t>27A</w:t>
      </w:r>
      <w:r>
        <w:rPr>
          <w:snapToGrid w:val="0"/>
        </w:rPr>
        <w:t>.</w:t>
      </w:r>
      <w:r>
        <w:rPr>
          <w:snapToGrid w:val="0"/>
        </w:rPr>
        <w:tab/>
        <w:t xml:space="preserve">Term used: </w:t>
      </w:r>
      <w:r>
        <w:t>imitation plate</w:t>
      </w:r>
      <w:bookmarkEnd w:id="83"/>
    </w:p>
    <w:p>
      <w:pPr>
        <w:pStyle w:val="Subsection"/>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pPr>
      <w:r>
        <w:tab/>
        <w:t>[Regulation 27A inserted in Gazette 2 Jun 1989 p. 1611.]</w:t>
      </w:r>
    </w:p>
    <w:p>
      <w:pPr>
        <w:pStyle w:val="Heading5"/>
        <w:rPr>
          <w:snapToGrid w:val="0"/>
        </w:rPr>
      </w:pPr>
      <w:bookmarkStart w:id="84" w:name="_Toc403052528"/>
      <w:r>
        <w:rPr>
          <w:rStyle w:val="CharSectno"/>
        </w:rPr>
        <w:t>27B</w:t>
      </w:r>
      <w:r>
        <w:rPr>
          <w:snapToGrid w:val="0"/>
        </w:rPr>
        <w:t>.</w:t>
      </w:r>
      <w:r>
        <w:rPr>
          <w:snapToGrid w:val="0"/>
        </w:rPr>
        <w:tab/>
        <w:t>Restriction on manufacture, sale or supply of imitation plates</w:t>
      </w:r>
      <w:bookmarkEnd w:id="84"/>
    </w:p>
    <w:p>
      <w:pPr>
        <w:pStyle w:val="Subsection"/>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pPr>
      <w:r>
        <w:tab/>
        <w:t>[Regulation 27B inserted in Gazette 2 Jun 1989 p. 1611; amended in Gazette 31 Jan 1997 p. 683</w:t>
      </w:r>
      <w:r>
        <w:noBreakHyphen/>
        <w:t>4.]</w:t>
      </w:r>
    </w:p>
    <w:p>
      <w:pPr>
        <w:pStyle w:val="Heading5"/>
        <w:rPr>
          <w:snapToGrid w:val="0"/>
        </w:rPr>
      </w:pPr>
      <w:bookmarkStart w:id="85" w:name="_Toc403052529"/>
      <w:r>
        <w:rPr>
          <w:rStyle w:val="CharSectno"/>
        </w:rPr>
        <w:t>27C</w:t>
      </w:r>
      <w:r>
        <w:rPr>
          <w:snapToGrid w:val="0"/>
        </w:rPr>
        <w:t>.</w:t>
      </w:r>
      <w:r>
        <w:rPr>
          <w:snapToGrid w:val="0"/>
        </w:rPr>
        <w:tab/>
        <w:t>Confiscation and disposal of imitation plates</w:t>
      </w:r>
      <w:bookmarkEnd w:id="85"/>
    </w:p>
    <w:p>
      <w:pPr>
        <w:pStyle w:val="Subsection"/>
        <w:rPr>
          <w:snapToGrid w:val="0"/>
        </w:rPr>
      </w:pPr>
      <w:r>
        <w:rPr>
          <w:snapToGrid w:val="0"/>
        </w:rPr>
        <w:tab/>
        <w:t>(1)</w:t>
      </w:r>
      <w:r>
        <w:rPr>
          <w:snapToGrid w:val="0"/>
        </w:rPr>
        <w:tab/>
        <w:t>A member of the Police Force may seize and take possession of —</w:t>
      </w:r>
    </w:p>
    <w:p>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60"/>
        <w:rPr>
          <w:snapToGrid w:val="0"/>
        </w:rPr>
      </w:pPr>
      <w:r>
        <w:rPr>
          <w:snapToGrid w:val="0"/>
        </w:rPr>
        <w:tab/>
        <w:t>(a)</w:t>
      </w:r>
      <w:r>
        <w:rPr>
          <w:snapToGrid w:val="0"/>
        </w:rPr>
        <w:tab/>
        <w:t>that the plate is liable to be destroyed; and</w:t>
      </w:r>
    </w:p>
    <w:p>
      <w:pPr>
        <w:pStyle w:val="Indenta"/>
        <w:spacing w:before="6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rPr>
          <w:snapToGrid w:val="0"/>
        </w:rPr>
      </w:pPr>
      <w:r>
        <w:rPr>
          <w:snapToGrid w:val="0"/>
        </w:rPr>
        <w:tab/>
        <w:t>(5)</w:t>
      </w:r>
      <w:r>
        <w:rPr>
          <w:snapToGrid w:val="0"/>
        </w:rPr>
        <w:tab/>
        <w:t xml:space="preserve">For the purposes of subregulation (4) an imitation plate that was fixed to a vehicle shall be deemed to have been seized from the person who is the owner of the vehicle within the meaning of paragraph (d) of the definition of </w:t>
      </w:r>
      <w:r>
        <w:rPr>
          <w:b/>
          <w:i/>
          <w:snapToGrid w:val="0"/>
        </w:rPr>
        <w:t>owner</w:t>
      </w:r>
      <w:r>
        <w:rPr>
          <w:snapToGrid w:val="0"/>
        </w:rPr>
        <w:t xml:space="preserve"> in section 5(1)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spacing w:before="60"/>
        <w:rPr>
          <w:snapToGrid w:val="0"/>
        </w:rPr>
      </w:pPr>
      <w:r>
        <w:rPr>
          <w:snapToGrid w:val="0"/>
        </w:rPr>
        <w:tab/>
        <w:t>(a)</w:t>
      </w:r>
      <w:r>
        <w:rPr>
          <w:snapToGrid w:val="0"/>
        </w:rPr>
        <w:tab/>
        <w:t>approve of the destruction of the plate; or</w:t>
      </w:r>
    </w:p>
    <w:p>
      <w:pPr>
        <w:pStyle w:val="Indenta"/>
        <w:spacing w:before="60"/>
        <w:rPr>
          <w:snapToGrid w:val="0"/>
        </w:rPr>
      </w:pPr>
      <w:r>
        <w:rPr>
          <w:snapToGrid w:val="0"/>
        </w:rPr>
        <w:tab/>
        <w:t>(b)</w:t>
      </w:r>
      <w:r>
        <w:rPr>
          <w:snapToGrid w:val="0"/>
        </w:rPr>
        <w:tab/>
        <w:t>direct that the plate be returned to the person from whom it was seized; or</w:t>
      </w:r>
    </w:p>
    <w:p>
      <w:pPr>
        <w:pStyle w:val="Indenta"/>
        <w:spacing w:before="60"/>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86" w:name="_Toc403052530"/>
      <w:r>
        <w:rPr>
          <w:rStyle w:val="CharSectno"/>
        </w:rPr>
        <w:t>28</w:t>
      </w:r>
      <w:r>
        <w:rPr>
          <w:snapToGrid w:val="0"/>
        </w:rPr>
        <w:t>.</w:t>
      </w:r>
      <w:r>
        <w:rPr>
          <w:snapToGrid w:val="0"/>
        </w:rPr>
        <w:tab/>
        <w:t>Engine identification marks</w:t>
      </w:r>
      <w:bookmarkEnd w:id="86"/>
    </w:p>
    <w:p>
      <w:pPr>
        <w:pStyle w:val="Subsection"/>
        <w:rPr>
          <w:snapToGrid w:val="0"/>
        </w:rPr>
      </w:pPr>
      <w:r>
        <w:rPr>
          <w:snapToGrid w:val="0"/>
        </w:rPr>
        <w:tab/>
        <w:t>(1)</w:t>
      </w:r>
      <w:r>
        <w:rPr>
          <w:snapToGrid w:val="0"/>
        </w:rPr>
        <w:tab/>
        <w:t>Upon an application to license a motor vehicle under these regulations, the Director General shall not grant the licence —</w:t>
      </w:r>
    </w:p>
    <w:p>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rPr>
          <w:snapToGrid w:val="0"/>
        </w:rPr>
      </w:pPr>
      <w:r>
        <w:rPr>
          <w:snapToGrid w:val="0"/>
        </w:rPr>
        <w:tab/>
        <w:t>(a)</w:t>
      </w:r>
      <w:r>
        <w:rPr>
          <w:snapToGrid w:val="0"/>
        </w:rPr>
        <w:tab/>
        <w:t>the date of the change or replacement of the engine or engine part; and</w:t>
      </w:r>
    </w:p>
    <w:p>
      <w:pPr>
        <w:pStyle w:val="Indenta"/>
        <w:rPr>
          <w:snapToGrid w:val="0"/>
        </w:rPr>
      </w:pPr>
      <w:r>
        <w:rPr>
          <w:snapToGrid w:val="0"/>
        </w:rPr>
        <w:tab/>
        <w:t>(b)</w:t>
      </w:r>
      <w:r>
        <w:rPr>
          <w:snapToGrid w:val="0"/>
        </w:rPr>
        <w:tab/>
        <w:t>the make and the registered number of the motor vehicle; and</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 and</w:t>
      </w:r>
    </w:p>
    <w:p>
      <w:pPr>
        <w:pStyle w:val="Indenta"/>
        <w:rPr>
          <w:snapToGrid w:val="0"/>
        </w:rPr>
      </w:pPr>
      <w:r>
        <w:rPr>
          <w:snapToGrid w:val="0"/>
        </w:rPr>
        <w:tab/>
        <w:t>(d)</w:t>
      </w:r>
      <w:r>
        <w:rPr>
          <w:snapToGrid w:val="0"/>
        </w:rPr>
        <w:tab/>
        <w:t>the identification mark on the engine or engine part so changed or replaced; and</w:t>
      </w:r>
    </w:p>
    <w:p>
      <w:pPr>
        <w:pStyle w:val="Indenta"/>
        <w:rPr>
          <w:snapToGrid w:val="0"/>
        </w:rPr>
      </w:pPr>
      <w:r>
        <w:rPr>
          <w:snapToGrid w:val="0"/>
        </w:rPr>
        <w:tab/>
        <w:t>(e)</w:t>
      </w:r>
      <w:r>
        <w:rPr>
          <w:snapToGrid w:val="0"/>
        </w:rPr>
        <w:tab/>
        <w:t>the identification mark (if any) on the engine or engine part substituted for that changed or replaced; and</w:t>
      </w:r>
    </w:p>
    <w:p>
      <w:pPr>
        <w:pStyle w:val="Indenta"/>
        <w:rPr>
          <w:snapToGrid w:val="0"/>
        </w:rPr>
      </w:pPr>
      <w:r>
        <w:rPr>
          <w:snapToGrid w:val="0"/>
        </w:rPr>
        <w:tab/>
        <w:t>(f)</w:t>
      </w:r>
      <w:r>
        <w:rPr>
          <w:snapToGrid w:val="0"/>
        </w:rPr>
        <w:tab/>
        <w:t>the name and address of the person from whom the substituted engine or engine part was obtained.</w:t>
      </w:r>
    </w:p>
    <w:p>
      <w:pPr>
        <w:pStyle w:val="Subsection"/>
        <w:keepNext/>
        <w:rPr>
          <w:snapToGrid w:val="0"/>
        </w:rPr>
      </w:pPr>
      <w:r>
        <w:rPr>
          <w:snapToGrid w:val="0"/>
        </w:rPr>
        <w:tab/>
        <w:t>(3)</w:t>
      </w:r>
      <w:r>
        <w:rPr>
          <w:snapToGrid w:val="0"/>
        </w:rPr>
        <w:tab/>
        <w:t>The Director General may allot an identification mark, where —</w:t>
      </w:r>
    </w:p>
    <w:p>
      <w:pPr>
        <w:pStyle w:val="Indenta"/>
        <w:spacing w:before="60"/>
        <w:rPr>
          <w:snapToGrid w:val="0"/>
        </w:rPr>
      </w:pPr>
      <w:r>
        <w:rPr>
          <w:snapToGrid w:val="0"/>
        </w:rPr>
        <w:tab/>
        <w:t>(a)</w:t>
      </w:r>
      <w:r>
        <w:rPr>
          <w:snapToGrid w:val="0"/>
        </w:rPr>
        <w:tab/>
        <w:t>there is no identification mark on the engine of a motor vehicle; or</w:t>
      </w:r>
    </w:p>
    <w:p>
      <w:pPr>
        <w:pStyle w:val="Indenta"/>
        <w:keepNext/>
        <w:spacing w:before="60"/>
        <w:rPr>
          <w:snapToGrid w:val="0"/>
        </w:rPr>
      </w:pPr>
      <w:r>
        <w:rPr>
          <w:snapToGrid w:val="0"/>
        </w:rPr>
        <w:tab/>
        <w:t>(b)</w:t>
      </w:r>
      <w:r>
        <w:rPr>
          <w:snapToGrid w:val="0"/>
        </w:rPr>
        <w:tab/>
        <w:t>the identification mark on the engine has been or appears to have been, altered, defaced, obliterated or removed,</w:t>
      </w:r>
    </w:p>
    <w:p>
      <w:pPr>
        <w:pStyle w:val="Subsection"/>
        <w:spacing w:before="120"/>
        <w:rPr>
          <w:snapToGrid w:val="0"/>
        </w:rPr>
      </w:pPr>
      <w:r>
        <w:rPr>
          <w:snapToGrid w:val="0"/>
        </w:rPr>
        <w:tab/>
      </w:r>
      <w:r>
        <w:rPr>
          <w:snapToGrid w:val="0"/>
        </w:rPr>
        <w:tab/>
        <w:t>if it is satisfied that an identification mark is necessary for identifying the engine of the motor vehicle.</w:t>
      </w:r>
    </w:p>
    <w:p>
      <w:pPr>
        <w:pStyle w:val="Subsection"/>
        <w:spacing w:before="130"/>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spacing w:before="130"/>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spacing w:before="60"/>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spacing w:before="60"/>
        <w:rPr>
          <w:snapToGrid w:val="0"/>
        </w:rPr>
      </w:pPr>
      <w:r>
        <w:rPr>
          <w:snapToGrid w:val="0"/>
        </w:rPr>
        <w:tab/>
        <w:t>(b)</w:t>
      </w:r>
      <w:r>
        <w:rPr>
          <w:snapToGrid w:val="0"/>
        </w:rPr>
        <w:tab/>
        <w:t>the identification on the engine has been, or appears to have been, altered, defaced, obliterated or removed.</w:t>
      </w:r>
    </w:p>
    <w:p>
      <w:pPr>
        <w:pStyle w:val="Subsection"/>
        <w:spacing w:before="130"/>
        <w:rPr>
          <w:snapToGrid w:val="0"/>
        </w:rPr>
      </w:pPr>
      <w:r>
        <w:rPr>
          <w:snapToGrid w:val="0"/>
        </w:rPr>
        <w:tab/>
        <w:t>(6)</w:t>
      </w:r>
      <w:r>
        <w:rPr>
          <w:snapToGrid w:val="0"/>
        </w:rPr>
        <w:tab/>
        <w:t>Except with the approval, in writing, of the Director General, a person shall not —</w:t>
      </w:r>
    </w:p>
    <w:p>
      <w:pPr>
        <w:pStyle w:val="Indenta"/>
        <w:spacing w:before="60"/>
        <w:rPr>
          <w:snapToGrid w:val="0"/>
        </w:rPr>
      </w:pPr>
      <w:r>
        <w:rPr>
          <w:snapToGrid w:val="0"/>
        </w:rPr>
        <w:tab/>
        <w:t>(a)</w:t>
      </w:r>
      <w:r>
        <w:rPr>
          <w:snapToGrid w:val="0"/>
        </w:rPr>
        <w:tab/>
        <w:t>alter, deface, obliterate or remove an identification mark from the engine of a motor vehicle; or</w:t>
      </w:r>
    </w:p>
    <w:p>
      <w:pPr>
        <w:pStyle w:val="Indenta"/>
        <w:spacing w:before="60"/>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spacing w:before="100"/>
      </w:pPr>
      <w:r>
        <w:tab/>
        <w:t>[Regulation 28 amended in Gazette 2 Feb 1982 p. 402</w:t>
      </w:r>
      <w:r>
        <w:noBreakHyphen/>
        <w:t>3; 31 Jan 1997 p. 683</w:t>
      </w:r>
      <w:r>
        <w:noBreakHyphen/>
        <w:t>4; 23 Dec 2005 p. 6284</w:t>
      </w:r>
      <w:r>
        <w:noBreakHyphen/>
        <w:t>5.]</w:t>
      </w:r>
    </w:p>
    <w:p>
      <w:pPr>
        <w:pStyle w:val="Heading5"/>
        <w:rPr>
          <w:snapToGrid w:val="0"/>
        </w:rPr>
      </w:pPr>
      <w:bookmarkStart w:id="87" w:name="_Toc403052531"/>
      <w:r>
        <w:rPr>
          <w:rStyle w:val="CharSectno"/>
        </w:rPr>
        <w:t>28A</w:t>
      </w:r>
      <w:r>
        <w:rPr>
          <w:snapToGrid w:val="0"/>
        </w:rPr>
        <w:t>.</w:t>
      </w:r>
      <w:r>
        <w:rPr>
          <w:snapToGrid w:val="0"/>
        </w:rPr>
        <w:tab/>
        <w:t>Vehicle identification number</w:t>
      </w:r>
      <w:bookmarkEnd w:id="87"/>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pPr>
      <w:r>
        <w:tab/>
        <w:t>[Regulation 28A inserted in Gazette 31 Mar 1989 p. 856; amended in Gazette 28 Sep 1990 p. 5072</w:t>
      </w:r>
      <w:r>
        <w:noBreakHyphen/>
        <w:t>3; 31 Jan 1997 p. 683</w:t>
      </w:r>
      <w:r>
        <w:noBreakHyphen/>
        <w:t>4; 1 Nov 2002 p. 5393; 31 Dec 2009 p. 5408.]</w:t>
      </w:r>
    </w:p>
    <w:p>
      <w:pPr>
        <w:pStyle w:val="Heading2"/>
      </w:pPr>
      <w:bookmarkStart w:id="88" w:name="_Toc397323526"/>
      <w:bookmarkStart w:id="89" w:name="_Toc397323659"/>
      <w:bookmarkStart w:id="90" w:name="_Toc397323731"/>
      <w:bookmarkStart w:id="91" w:name="_Toc397323804"/>
      <w:bookmarkStart w:id="92" w:name="_Toc397323877"/>
      <w:bookmarkStart w:id="93" w:name="_Toc400970380"/>
      <w:bookmarkStart w:id="94" w:name="_Toc403052532"/>
      <w:r>
        <w:rPr>
          <w:rStyle w:val="CharPartNo"/>
        </w:rPr>
        <w:t>Part V</w:t>
      </w:r>
      <w:r>
        <w:t> — </w:t>
      </w:r>
      <w:r>
        <w:rPr>
          <w:rStyle w:val="CharPartText"/>
        </w:rPr>
        <w:t>Labels issued on grant or renewal of licence</w:t>
      </w:r>
      <w:bookmarkEnd w:id="88"/>
      <w:bookmarkEnd w:id="89"/>
      <w:bookmarkEnd w:id="90"/>
      <w:bookmarkEnd w:id="91"/>
      <w:bookmarkEnd w:id="92"/>
      <w:bookmarkEnd w:id="93"/>
      <w:bookmarkEnd w:id="94"/>
    </w:p>
    <w:p>
      <w:pPr>
        <w:pStyle w:val="Footnoteheading"/>
        <w:spacing w:before="100"/>
      </w:pPr>
      <w:r>
        <w:tab/>
        <w:t>[Heading inserted in Gazette 31 Dec 2009 p. 5408.]</w:t>
      </w:r>
    </w:p>
    <w:p>
      <w:pPr>
        <w:pStyle w:val="Heading5"/>
      </w:pPr>
      <w:bookmarkStart w:id="95" w:name="_Toc403052533"/>
      <w:r>
        <w:rPr>
          <w:rStyle w:val="CharSectno"/>
        </w:rPr>
        <w:t>29</w:t>
      </w:r>
      <w:r>
        <w:t>.</w:t>
      </w:r>
      <w:r>
        <w:tab/>
        <w:t>Labels to be issued for heavy vehicles</w:t>
      </w:r>
      <w:bookmarkEnd w:id="95"/>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pPr>
      <w:r>
        <w:tab/>
        <w:t>[Regulation 29 inserted in Gazette 31 Dec 2009 p. 5408.]</w:t>
      </w:r>
    </w:p>
    <w:p>
      <w:pPr>
        <w:pStyle w:val="Heading5"/>
        <w:spacing w:before="200"/>
      </w:pPr>
      <w:bookmarkStart w:id="96" w:name="_Toc403052534"/>
      <w:r>
        <w:rPr>
          <w:rStyle w:val="CharSectno"/>
        </w:rPr>
        <w:t>30</w:t>
      </w:r>
      <w:r>
        <w:t>.</w:t>
      </w:r>
      <w:r>
        <w:tab/>
        <w:t>Information to be contained in or on labels</w:t>
      </w:r>
      <w:bookmarkEnd w:id="96"/>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pPr>
      <w:r>
        <w:tab/>
        <w:t>[Regulation 30 inserted in Gazette 31 Dec 2009 p. 5408</w:t>
      </w:r>
      <w:r>
        <w:noBreakHyphen/>
        <w:t>9.]</w:t>
      </w:r>
    </w:p>
    <w:p>
      <w:pPr>
        <w:pStyle w:val="Heading5"/>
      </w:pPr>
      <w:bookmarkStart w:id="97" w:name="_Toc403052535"/>
      <w:r>
        <w:rPr>
          <w:rStyle w:val="CharSectno"/>
        </w:rPr>
        <w:t>31</w:t>
      </w:r>
      <w:r>
        <w:t>.</w:t>
      </w:r>
      <w:r>
        <w:tab/>
        <w:t>Affixing, display of, labels</w:t>
      </w:r>
      <w:bookmarkEnd w:id="97"/>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98" w:name="_Toc403052536"/>
      <w:r>
        <w:rPr>
          <w:rStyle w:val="CharSectno"/>
        </w:rPr>
        <w:t>32</w:t>
      </w:r>
      <w:r>
        <w:t>.</w:t>
      </w:r>
      <w:r>
        <w:tab/>
        <w:t>Affixing, display of, registration labels issued 10 to 31 December 2009 for heavy vehicles</w:t>
      </w:r>
      <w:bookmarkEnd w:id="98"/>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99" w:name="_Toc403052537"/>
      <w:r>
        <w:rPr>
          <w:rStyle w:val="CharSectno"/>
        </w:rPr>
        <w:t>33</w:t>
      </w:r>
      <w:r>
        <w:t>.</w:t>
      </w:r>
      <w:r>
        <w:tab/>
        <w:t>Keeping affixed registration labels issued before 1 January 2010 for heavy vehicles</w:t>
      </w:r>
      <w:bookmarkEnd w:id="99"/>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100" w:name="_Toc397323532"/>
      <w:bookmarkStart w:id="101" w:name="_Toc397323665"/>
      <w:bookmarkStart w:id="102" w:name="_Toc397323737"/>
      <w:bookmarkStart w:id="103" w:name="_Toc397323810"/>
      <w:bookmarkStart w:id="104" w:name="_Toc397323883"/>
      <w:bookmarkStart w:id="105" w:name="_Toc400970386"/>
      <w:bookmarkStart w:id="106" w:name="_Toc403052538"/>
      <w:r>
        <w:rPr>
          <w:rStyle w:val="CharPartNo"/>
        </w:rPr>
        <w:t>Part VI</w:t>
      </w:r>
      <w:r>
        <w:rPr>
          <w:rStyle w:val="CharDivNo"/>
        </w:rPr>
        <w:t> </w:t>
      </w:r>
      <w:r>
        <w:t>—</w:t>
      </w:r>
      <w:r>
        <w:rPr>
          <w:rStyle w:val="CharDivText"/>
        </w:rPr>
        <w:t> </w:t>
      </w:r>
      <w:r>
        <w:rPr>
          <w:rStyle w:val="CharPartText"/>
        </w:rPr>
        <w:t>Traffic inspectors</w:t>
      </w:r>
      <w:bookmarkEnd w:id="100"/>
      <w:bookmarkEnd w:id="101"/>
      <w:bookmarkEnd w:id="102"/>
      <w:bookmarkEnd w:id="103"/>
      <w:bookmarkEnd w:id="104"/>
      <w:bookmarkEnd w:id="105"/>
      <w:bookmarkEnd w:id="106"/>
    </w:p>
    <w:p>
      <w:pPr>
        <w:pStyle w:val="Heading5"/>
        <w:rPr>
          <w:snapToGrid w:val="0"/>
        </w:rPr>
      </w:pPr>
      <w:bookmarkStart w:id="107" w:name="_Toc403052539"/>
      <w:r>
        <w:rPr>
          <w:rStyle w:val="CharSectno"/>
        </w:rPr>
        <w:t>35</w:t>
      </w:r>
      <w:r>
        <w:rPr>
          <w:snapToGrid w:val="0"/>
        </w:rPr>
        <w:t>.</w:t>
      </w:r>
      <w:r>
        <w:rPr>
          <w:snapToGrid w:val="0"/>
        </w:rPr>
        <w:tab/>
        <w:t>Application of Part</w:t>
      </w:r>
      <w:bookmarkEnd w:id="107"/>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108" w:name="_Toc403052540"/>
      <w:r>
        <w:rPr>
          <w:rStyle w:val="CharSectno"/>
        </w:rPr>
        <w:t>36</w:t>
      </w:r>
      <w:r>
        <w:rPr>
          <w:snapToGrid w:val="0"/>
        </w:rPr>
        <w:t>.</w:t>
      </w:r>
      <w:r>
        <w:rPr>
          <w:snapToGrid w:val="0"/>
        </w:rPr>
        <w:tab/>
        <w:t>Certificate of appointment, badge of authority, uniform etc.</w:t>
      </w:r>
      <w:bookmarkEnd w:id="108"/>
    </w:p>
    <w:p>
      <w:pPr>
        <w:pStyle w:val="Subsection"/>
        <w:rPr>
          <w:snapToGrid w:val="0"/>
        </w:rPr>
      </w:pPr>
      <w:r>
        <w:rPr>
          <w:snapToGrid w:val="0"/>
        </w:rPr>
        <w:tab/>
        <w:t>(1)</w:t>
      </w:r>
      <w:r>
        <w:rPr>
          <w:snapToGrid w:val="0"/>
        </w:rPr>
        <w:tab/>
        <w:t>A certificate of the appointment of a traffic inspector shall be in the form of Form 1 in Schedule 1.</w:t>
      </w:r>
    </w:p>
    <w:p>
      <w:pPr>
        <w:pStyle w:val="Subsection"/>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pPr>
      <w:r>
        <w:t>[Part VII (r. 37, 38) deleted in Gazette 28 Nov 1986 p. 4382.]</w:t>
      </w:r>
    </w:p>
    <w:p>
      <w:pPr>
        <w:pStyle w:val="Heading2"/>
      </w:pPr>
      <w:bookmarkStart w:id="109" w:name="_Toc397323535"/>
      <w:bookmarkStart w:id="110" w:name="_Toc397323668"/>
      <w:bookmarkStart w:id="111" w:name="_Toc397323740"/>
      <w:bookmarkStart w:id="112" w:name="_Toc397323813"/>
      <w:bookmarkStart w:id="113" w:name="_Toc397323886"/>
      <w:bookmarkStart w:id="114" w:name="_Toc400970389"/>
      <w:bookmarkStart w:id="115" w:name="_Toc403052541"/>
      <w:r>
        <w:rPr>
          <w:rStyle w:val="CharPartNo"/>
        </w:rPr>
        <w:t>Part VIII</w:t>
      </w:r>
      <w:r>
        <w:rPr>
          <w:rStyle w:val="CharDivNo"/>
        </w:rPr>
        <w:t> </w:t>
      </w:r>
      <w:r>
        <w:t>—</w:t>
      </w:r>
      <w:r>
        <w:rPr>
          <w:rStyle w:val="CharDivText"/>
        </w:rPr>
        <w:t> </w:t>
      </w:r>
      <w:r>
        <w:rPr>
          <w:rStyle w:val="CharPartText"/>
        </w:rPr>
        <w:t>Miscellaneous</w:t>
      </w:r>
      <w:bookmarkEnd w:id="109"/>
      <w:bookmarkEnd w:id="110"/>
      <w:bookmarkEnd w:id="111"/>
      <w:bookmarkEnd w:id="112"/>
      <w:bookmarkEnd w:id="113"/>
      <w:bookmarkEnd w:id="114"/>
      <w:bookmarkEnd w:id="115"/>
    </w:p>
    <w:p>
      <w:pPr>
        <w:pStyle w:val="Footnoteheading"/>
      </w:pPr>
      <w:r>
        <w:tab/>
        <w:t>[Heading amended in Gazette 24 Nov 1995 p. 5454.]</w:t>
      </w:r>
    </w:p>
    <w:p>
      <w:pPr>
        <w:pStyle w:val="Ednotesection"/>
      </w:pPr>
      <w:r>
        <w:t>[</w:t>
      </w:r>
      <w:r>
        <w:rPr>
          <w:b/>
        </w:rPr>
        <w:t>38A, 38B.</w:t>
      </w:r>
      <w:r>
        <w:tab/>
        <w:t>Deleted in Gazette 28 Nov 2006 p. 4909.]</w:t>
      </w:r>
    </w:p>
    <w:p>
      <w:pPr>
        <w:pStyle w:val="Heading5"/>
        <w:rPr>
          <w:snapToGrid w:val="0"/>
        </w:rPr>
      </w:pPr>
      <w:bookmarkStart w:id="116" w:name="_Toc403052542"/>
      <w:r>
        <w:rPr>
          <w:rStyle w:val="CharSectno"/>
        </w:rPr>
        <w:t>39</w:t>
      </w:r>
      <w:r>
        <w:rPr>
          <w:snapToGrid w:val="0"/>
        </w:rPr>
        <w:t>.</w:t>
      </w:r>
      <w:r>
        <w:rPr>
          <w:snapToGrid w:val="0"/>
        </w:rPr>
        <w:tab/>
        <w:t>Penalty for breach of regulation</w:t>
      </w:r>
      <w:bookmarkEnd w:id="116"/>
    </w:p>
    <w:p>
      <w:pPr>
        <w:pStyle w:val="Subsection"/>
        <w:rPr>
          <w:snapToGrid w:val="0"/>
        </w:rPr>
      </w:pPr>
      <w:r>
        <w:rPr>
          <w:snapToGrid w:val="0"/>
        </w:rPr>
        <w:tab/>
        <w:t>(1)</w:t>
      </w:r>
      <w:r>
        <w:rPr>
          <w:snapToGrid w:val="0"/>
        </w:rPr>
        <w:tab/>
        <w:t xml:space="preserve">A person committing a breach of any of these </w:t>
      </w:r>
      <w:r>
        <w:t xml:space="preserve">regulations, except regulations 25AA(2), (3), (4), (5), (6), (7), (8) and (9),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3</w:t>
      </w:r>
      <w:r>
        <w:rPr>
          <w:snapToGrid w:val="0"/>
        </w:rPr>
        <w:t xml:space="preserve">, as amended at any time or against the </w:t>
      </w:r>
      <w:r>
        <w:rPr>
          <w:i/>
          <w:snapToGrid w:val="0"/>
        </w:rPr>
        <w:t>Traffic (Licensing Authorities) Regulations 1974</w:t>
      </w:r>
      <w:r>
        <w:rPr>
          <w:snapToGrid w:val="0"/>
          <w:vertAlign w:val="superscript"/>
        </w:rPr>
        <w:t> 4</w:t>
      </w:r>
      <w:r>
        <w:rPr>
          <w:snapToGrid w:val="0"/>
        </w:rPr>
        <w:t>, as amended at any time.</w:t>
      </w:r>
    </w:p>
    <w:p>
      <w:pPr>
        <w:pStyle w:val="Footnotesection"/>
      </w:pPr>
      <w:r>
        <w:tab/>
        <w:t>[Regulation 39 amended in Gazette 23 Dec 1997 p. 7444; 31 Dec 2009 p. 5412</w:t>
      </w:r>
      <w:r>
        <w:noBreakHyphen/>
        <w:t>13; 9 Sep 2014 p. 3252.]</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117" w:name="_Toc397323537"/>
      <w:bookmarkStart w:id="118" w:name="_Toc397323670"/>
      <w:bookmarkStart w:id="119" w:name="_Toc397323742"/>
      <w:bookmarkStart w:id="120" w:name="_Toc397323815"/>
      <w:bookmarkStart w:id="121" w:name="_Toc397323888"/>
      <w:bookmarkStart w:id="122" w:name="_Toc400970391"/>
      <w:bookmarkStart w:id="123" w:name="_Toc403052543"/>
      <w:r>
        <w:rPr>
          <w:rStyle w:val="CharSchNo"/>
        </w:rPr>
        <w:t>Schedule 1</w:t>
      </w:r>
      <w:bookmarkEnd w:id="117"/>
      <w:bookmarkEnd w:id="118"/>
      <w:bookmarkEnd w:id="119"/>
      <w:bookmarkEnd w:id="120"/>
      <w:bookmarkEnd w:id="121"/>
      <w:bookmarkEnd w:id="122"/>
      <w:bookmarkEnd w:id="123"/>
    </w:p>
    <w:p>
      <w:pPr>
        <w:pStyle w:val="yFootnoteheading"/>
        <w:rPr>
          <w:snapToGrid w:val="0"/>
        </w:rPr>
      </w:pPr>
      <w:r>
        <w:rPr>
          <w:snapToGrid w:val="0"/>
        </w:rPr>
        <w:tab/>
        <w:t>[Heading amended in Gazette 17 Aug 1993 p. 4432.]</w:t>
      </w:r>
    </w:p>
    <w:p>
      <w:pPr>
        <w:pStyle w:val="yMiscellaneousHeading"/>
      </w:pPr>
      <w:r>
        <w:rPr>
          <w:rStyle w:val="CharSClsNo"/>
          <w:b/>
        </w:rPr>
        <w:t>Form 1</w:t>
      </w:r>
    </w:p>
    <w:p>
      <w:pPr>
        <w:pStyle w:val="yMiscellaneousHeading"/>
        <w:rPr>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snapToGrid w:val="0"/>
          <w:vertAlign w:val="superscript"/>
        </w:rPr>
        <w:t> 5</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snapToGrid w:val="0"/>
          <w:vertAlign w:val="superscript"/>
        </w:rPr>
        <w:t> 5</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spacing w:before="0"/>
        <w:rPr>
          <w:b/>
          <w:snapToGrid w:val="0"/>
        </w:rPr>
      </w:pPr>
      <w:r>
        <w:rPr>
          <w:rStyle w:val="CharSClsNo"/>
          <w:b/>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spacing w:before="0"/>
        <w:rPr>
          <w:b/>
          <w:snapToGrid w:val="0"/>
        </w:rPr>
      </w:pPr>
      <w:r>
        <w:rPr>
          <w:rStyle w:val="CharSClsNo"/>
          <w:b/>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rPr>
            </w:pPr>
            <w:r>
              <w:rPr>
                <w:snapToGrid w:val="0"/>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r>
        <w:t>[Schedule 2 deleted in Gazette 28 Nov 2006 p. 4909.]</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124" w:name="_Toc397323538"/>
      <w:bookmarkStart w:id="125" w:name="_Toc397323671"/>
      <w:bookmarkStart w:id="126" w:name="_Toc397323743"/>
      <w:bookmarkStart w:id="127" w:name="_Toc397323816"/>
      <w:bookmarkStart w:id="128" w:name="_Toc397323889"/>
      <w:bookmarkStart w:id="129" w:name="_Toc400970392"/>
      <w:bookmarkStart w:id="130" w:name="_Toc403052544"/>
      <w:r>
        <w:rPr>
          <w:rStyle w:val="CharSchNo"/>
        </w:rPr>
        <w:t>Schedule 3</w:t>
      </w:r>
      <w:bookmarkEnd w:id="124"/>
      <w:bookmarkEnd w:id="125"/>
      <w:bookmarkEnd w:id="126"/>
      <w:bookmarkEnd w:id="127"/>
      <w:bookmarkEnd w:id="128"/>
      <w:bookmarkEnd w:id="129"/>
      <w:bookmarkEnd w:id="130"/>
    </w:p>
    <w:p>
      <w:pPr>
        <w:pStyle w:val="yScheduleHeading"/>
        <w:pageBreakBefore w:val="0"/>
        <w:spacing w:before="160"/>
      </w:pPr>
      <w:bookmarkStart w:id="131" w:name="_Toc397323817"/>
      <w:bookmarkStart w:id="132" w:name="_Toc397323890"/>
      <w:bookmarkStart w:id="133" w:name="_Toc400970393"/>
      <w:bookmarkStart w:id="134" w:name="_Toc403052545"/>
      <w:r>
        <w:rPr>
          <w:rStyle w:val="CharSchText"/>
        </w:rPr>
        <w:t>Classes of licences for heavy vehicles</w:t>
      </w:r>
      <w:bookmarkEnd w:id="131"/>
      <w:bookmarkEnd w:id="132"/>
      <w:bookmarkEnd w:id="133"/>
      <w:bookmarkEnd w:id="134"/>
    </w:p>
    <w:p>
      <w:pPr>
        <w:pStyle w:val="yShoulderClause"/>
        <w:rPr>
          <w:snapToGrid w:val="0"/>
        </w:rPr>
      </w:pPr>
      <w:r>
        <w:rPr>
          <w:snapToGrid w:val="0"/>
        </w:rPr>
        <w:t>[Regulation 9A]</w:t>
      </w:r>
    </w:p>
    <w:p>
      <w:pPr>
        <w:pStyle w:val="yHeading5"/>
        <w:outlineLvl w:val="9"/>
        <w:rPr>
          <w:snapToGrid w:val="0"/>
        </w:rPr>
      </w:pPr>
      <w:bookmarkStart w:id="135" w:name="_Toc403052546"/>
      <w:r>
        <w:rPr>
          <w:snapToGrid w:val="0"/>
        </w:rPr>
        <w:t>1.</w:t>
      </w:r>
      <w:r>
        <w:rPr>
          <w:snapToGrid w:val="0"/>
        </w:rPr>
        <w:tab/>
        <w:t>Terms used</w:t>
      </w:r>
      <w:bookmarkEnd w:id="135"/>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1"/>
        <w:gridCol w:w="1265"/>
        <w:gridCol w:w="17"/>
        <w:gridCol w:w="11"/>
        <w:gridCol w:w="1487"/>
        <w:gridCol w:w="44"/>
        <w:gridCol w:w="17"/>
        <w:gridCol w:w="2394"/>
        <w:gridCol w:w="8"/>
        <w:gridCol w:w="36"/>
      </w:tblGrid>
      <w:tr>
        <w:trPr>
          <w:trHeight w:val="240"/>
          <w:tblHeader/>
        </w:trPr>
        <w:tc>
          <w:tcPr>
            <w:tcW w:w="840" w:type="dxa"/>
            <w:gridSpan w:val="2"/>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gridSpan w:val="2"/>
          </w:tcPr>
          <w:p>
            <w:pPr>
              <w:pStyle w:val="yTableNAm"/>
              <w:spacing w:before="0"/>
              <w:jc w:val="center"/>
              <w:rPr>
                <w:b/>
                <w:bCs/>
                <w:sz w:val="18"/>
              </w:rPr>
            </w:pPr>
            <w:r>
              <w:rPr>
                <w:b/>
                <w:bCs/>
                <w:sz w:val="18"/>
              </w:rPr>
              <w:t>Column 2</w:t>
            </w:r>
          </w:p>
        </w:tc>
        <w:tc>
          <w:tcPr>
            <w:tcW w:w="1559" w:type="dxa"/>
            <w:gridSpan w:val="4"/>
          </w:tcPr>
          <w:p>
            <w:pPr>
              <w:pStyle w:val="yTableNAm"/>
              <w:spacing w:before="0"/>
              <w:jc w:val="center"/>
              <w:rPr>
                <w:b/>
                <w:bCs/>
                <w:sz w:val="18"/>
              </w:rPr>
            </w:pPr>
            <w:r>
              <w:rPr>
                <w:b/>
                <w:bCs/>
                <w:sz w:val="18"/>
              </w:rPr>
              <w:t>Column 3</w:t>
            </w:r>
          </w:p>
        </w:tc>
        <w:tc>
          <w:tcPr>
            <w:tcW w:w="2411" w:type="dxa"/>
            <w:gridSpan w:val="3"/>
          </w:tcPr>
          <w:p>
            <w:pPr>
              <w:pStyle w:val="yTableNAm"/>
              <w:spacing w:before="0"/>
              <w:jc w:val="center"/>
              <w:rPr>
                <w:b/>
                <w:bCs/>
                <w:sz w:val="18"/>
              </w:rPr>
            </w:pPr>
            <w:r>
              <w:rPr>
                <w:b/>
                <w:bCs/>
                <w:sz w:val="18"/>
              </w:rPr>
              <w:t>Column 4</w:t>
            </w:r>
          </w:p>
        </w:tc>
      </w:tr>
      <w:tr>
        <w:trPr>
          <w:trHeight w:val="240"/>
          <w:tblHeader/>
        </w:trPr>
        <w:tc>
          <w:tcPr>
            <w:tcW w:w="840" w:type="dxa"/>
            <w:gridSpan w:val="2"/>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gridSpan w:val="2"/>
          </w:tcPr>
          <w:p>
            <w:pPr>
              <w:pStyle w:val="yTableNAm"/>
              <w:jc w:val="center"/>
              <w:rPr>
                <w:b/>
                <w:bCs/>
                <w:sz w:val="18"/>
              </w:rPr>
            </w:pPr>
            <w:r>
              <w:rPr>
                <w:b/>
                <w:bCs/>
                <w:sz w:val="18"/>
              </w:rPr>
              <w:t>No. of axles</w:t>
            </w:r>
          </w:p>
        </w:tc>
        <w:tc>
          <w:tcPr>
            <w:tcW w:w="1559" w:type="dxa"/>
            <w:gridSpan w:val="4"/>
          </w:tcPr>
          <w:p>
            <w:pPr>
              <w:pStyle w:val="yTableNAm"/>
              <w:jc w:val="center"/>
              <w:rPr>
                <w:b/>
                <w:bCs/>
                <w:sz w:val="18"/>
              </w:rPr>
            </w:pPr>
            <w:r>
              <w:rPr>
                <w:b/>
                <w:bCs/>
                <w:sz w:val="18"/>
              </w:rPr>
              <w:t>MRC</w:t>
            </w:r>
          </w:p>
        </w:tc>
        <w:tc>
          <w:tcPr>
            <w:tcW w:w="2411" w:type="dxa"/>
            <w:gridSpan w:val="3"/>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(not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AB3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Goods vehicle or motor home</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16 500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over 16 500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 xml:space="preserve">Prime mover  </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Trailer, not being a towed special purpose vehicle</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HT</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rPr>
          <w:cantSplit/>
        </w:trPr>
        <w:tc>
          <w:tcPr>
            <w:tcW w:w="7089" w:type="dxa"/>
            <w:gridSpan w:val="13"/>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gridSpan w:val="2"/>
          </w:tcPr>
          <w:p>
            <w:pPr>
              <w:pStyle w:val="yTableNAm"/>
              <w:jc w:val="center"/>
              <w:rPr>
                <w:sz w:val="18"/>
              </w:rPr>
            </w:pPr>
            <w:r>
              <w:rPr>
                <w:sz w:val="18"/>
              </w:rPr>
              <w:t>one or 2</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gridSpan w:val="2"/>
          </w:tcPr>
          <w:p>
            <w:pPr>
              <w:pStyle w:val="yTableNAm"/>
              <w:jc w:val="center"/>
              <w:rPr>
                <w:sz w:val="18"/>
              </w:rPr>
            </w:pPr>
            <w:r>
              <w:rPr>
                <w:sz w:val="18"/>
              </w:rPr>
              <w:t>6</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gridSpan w:val="2"/>
          </w:tcPr>
          <w:p>
            <w:pPr>
              <w:pStyle w:val="yTableNAm"/>
              <w:jc w:val="center"/>
              <w:rPr>
                <w:sz w:val="18"/>
              </w:rPr>
            </w:pPr>
            <w:r>
              <w:rPr>
                <w:sz w:val="18"/>
              </w:rPr>
              <w:t>7</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gridSpan w:val="2"/>
          </w:tcPr>
          <w:p>
            <w:pPr>
              <w:pStyle w:val="yTableNAm"/>
              <w:jc w:val="center"/>
              <w:rPr>
                <w:sz w:val="18"/>
              </w:rPr>
            </w:pPr>
            <w:r>
              <w:rPr>
                <w:sz w:val="18"/>
              </w:rPr>
              <w:t>8</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gridSpan w:val="2"/>
          </w:tcPr>
          <w:p>
            <w:pPr>
              <w:pStyle w:val="yTableNAm"/>
              <w:jc w:val="center"/>
              <w:rPr>
                <w:sz w:val="18"/>
              </w:rPr>
            </w:pPr>
            <w:r>
              <w:rPr>
                <w:sz w:val="18"/>
              </w:rPr>
              <w:t>9</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36" w:name="_Toc397323540"/>
      <w:bookmarkStart w:id="137" w:name="_Toc397323673"/>
      <w:bookmarkStart w:id="138" w:name="_Toc397323745"/>
      <w:bookmarkStart w:id="139" w:name="_Toc397323819"/>
      <w:bookmarkStart w:id="140" w:name="_Toc397323892"/>
      <w:bookmarkStart w:id="141" w:name="_Toc400970395"/>
      <w:bookmarkStart w:id="142" w:name="_Toc403052547"/>
      <w:r>
        <w:t>Notes</w:t>
      </w:r>
      <w:bookmarkEnd w:id="136"/>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reprint is a compilation as at 17 October 2014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143" w:name="_Toc403052548"/>
      <w:r>
        <w:t>Compilation table</w:t>
      </w:r>
      <w:bookmarkEnd w:id="14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6</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8"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8"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8"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8"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8"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8"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8"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rFonts w:ascii="Arial" w:hAnsi="Arial"/>
                <w:b/>
                <w:i/>
                <w:sz w:val="19"/>
                <w:vertAlign w:val="superscript"/>
              </w:rPr>
            </w:pPr>
            <w:r>
              <w:rPr>
                <w:i/>
                <w:sz w:val="19"/>
              </w:rPr>
              <w:t>Road Traffic (Licensing) Amendment Regulations (No. 2) 1984 </w:t>
            </w:r>
            <w:r>
              <w:rPr>
                <w:sz w:val="19"/>
                <w:vertAlign w:val="superscript"/>
              </w:rPr>
              <w:t>7</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8"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8"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8"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8"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8"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8"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8"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8"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8"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8"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8"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8"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8"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8"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8"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8"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8"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8"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8"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8"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8"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8"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8"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8"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8"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8"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8"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8" w:type="dxa"/>
          </w:tcPr>
          <w:p>
            <w:pPr>
              <w:pStyle w:val="nTable"/>
              <w:spacing w:after="40"/>
              <w:ind w:right="113"/>
              <w:rPr>
                <w:rFonts w:ascii="Arial" w:hAnsi="Arial"/>
                <w:b/>
                <w:sz w:val="19"/>
                <w:vertAlign w:val="superscript"/>
              </w:rPr>
            </w:pPr>
            <w:r>
              <w:rPr>
                <w:i/>
                <w:sz w:val="19"/>
              </w:rPr>
              <w:t>Road Traffic (Licensing) Amendment Regulations 1996</w:t>
            </w:r>
            <w:r>
              <w:rPr>
                <w:sz w:val="19"/>
                <w:vertAlign w:val="superscript"/>
              </w:rPr>
              <w:t> 8</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Regulations other than r. 6, 7 and 13: 1 Jun 1996 (see r. 2(2));</w:t>
            </w:r>
            <w:r>
              <w:rPr>
                <w:sz w:val="19"/>
              </w:rPr>
              <w:br/>
              <w:t>r. 6, 7 and 13: 1 Jul 1996 (see r. 2(1))</w:t>
            </w:r>
          </w:p>
        </w:tc>
      </w:tr>
      <w:tr>
        <w:trPr>
          <w:cantSplit/>
        </w:trPr>
        <w:tc>
          <w:tcPr>
            <w:tcW w:w="3118" w:type="dxa"/>
          </w:tcPr>
          <w:p>
            <w:pPr>
              <w:pStyle w:val="nTable"/>
              <w:spacing w:after="40"/>
              <w:ind w:right="113"/>
              <w:rPr>
                <w:rFonts w:ascii="Arial" w:hAnsi="Arial"/>
                <w:b/>
                <w:sz w:val="19"/>
                <w:vertAlign w:val="superscript"/>
              </w:rPr>
            </w:pPr>
            <w:r>
              <w:rPr>
                <w:i/>
                <w:sz w:val="19"/>
              </w:rPr>
              <w:t>Road Traffic (Licensing) Amendment Regulations (No. 3) 1996</w:t>
            </w:r>
            <w:r>
              <w:rPr>
                <w:sz w:val="19"/>
                <w:vertAlign w:val="superscript"/>
              </w:rPr>
              <w:t> 9</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8"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8" w:type="dxa"/>
          </w:tcPr>
          <w:p>
            <w:pPr>
              <w:pStyle w:val="nTable"/>
              <w:spacing w:after="40"/>
              <w:ind w:right="113"/>
              <w:rPr>
                <w:rFonts w:ascii="Arial" w:hAnsi="Arial"/>
                <w:b/>
                <w:sz w:val="19"/>
                <w:vertAlign w:val="superscript"/>
              </w:rPr>
            </w:pPr>
            <w:r>
              <w:rPr>
                <w:i/>
                <w:sz w:val="19"/>
              </w:rPr>
              <w:t>Road Traffic (Licensing) Amendment Regulations (No. 2) 1997</w:t>
            </w:r>
            <w:r>
              <w:rPr>
                <w:iCs/>
                <w:sz w:val="19"/>
                <w:vertAlign w:val="superscript"/>
              </w:rPr>
              <w:t> 10</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8"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8"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8"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8" w:type="dxa"/>
          </w:tcPr>
          <w:p>
            <w:pPr>
              <w:pStyle w:val="nTable"/>
              <w:spacing w:after="40"/>
              <w:ind w:right="113"/>
              <w:rPr>
                <w:rFonts w:ascii="Arial" w:hAnsi="Arial"/>
                <w:b/>
                <w:i/>
                <w:sz w:val="19"/>
                <w:vertAlign w:val="superscript"/>
              </w:rPr>
            </w:pPr>
            <w:r>
              <w:rPr>
                <w:i/>
                <w:sz w:val="19"/>
              </w:rPr>
              <w:t>Road Traffic (Licensing) Amendment Regulations (No. 3) 2000 </w:t>
            </w:r>
            <w:r>
              <w:rPr>
                <w:sz w:val="19"/>
                <w:vertAlign w:val="superscript"/>
              </w:rPr>
              <w:t>11</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8"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8"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8"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8"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8"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7"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8"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8"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8"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8"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7"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8"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7"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r>
              <w:rPr>
                <w:sz w:val="19"/>
              </w:rPr>
              <w:br/>
              <w:t xml:space="preserve">Regulations other than r. 1 and 2: 23 Jun 2007 (see r. (2(b)) </w:t>
            </w:r>
          </w:p>
        </w:tc>
      </w:tr>
      <w:tr>
        <w:trPr>
          <w:cantSplit/>
        </w:trPr>
        <w:tc>
          <w:tcPr>
            <w:tcW w:w="3118"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8"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8"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z w:val="19"/>
              </w:rPr>
              <w:t>r. 1 and 2: 31 Dec 2009 (see r. 2(a));</w:t>
            </w:r>
            <w:r>
              <w:rPr>
                <w:snapToGrid w:val="0"/>
                <w:sz w:val="19"/>
              </w:rPr>
              <w:br/>
              <w:t>Regulations other than r. 1 and 2: 1 Jan 2010 (see r. 2(b))</w:t>
            </w:r>
          </w:p>
        </w:tc>
      </w:tr>
      <w:tr>
        <w:trPr>
          <w:cantSplit/>
        </w:trPr>
        <w:tc>
          <w:tcPr>
            <w:tcW w:w="7087" w:type="dxa"/>
            <w:gridSpan w:val="3"/>
          </w:tcPr>
          <w:p>
            <w:pPr>
              <w:pStyle w:val="nTable"/>
              <w:spacing w:after="40"/>
              <w:rPr>
                <w:snapToGrid w:val="0"/>
                <w:spacing w:val="-2"/>
                <w:sz w:val="19"/>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Road Traffic (Licensing) Amendment Regulations 2010</w:t>
            </w:r>
          </w:p>
        </w:tc>
        <w:tc>
          <w:tcPr>
            <w:tcW w:w="1276" w:type="dxa"/>
          </w:tcPr>
          <w:p>
            <w:pPr>
              <w:pStyle w:val="nTable"/>
              <w:spacing w:after="40"/>
              <w:rPr>
                <w:sz w:val="19"/>
              </w:rPr>
            </w:pPr>
            <w:r>
              <w:rPr>
                <w:sz w:val="19"/>
              </w:rPr>
              <w:t>24 Sep 2010 p. 5017</w:t>
            </w:r>
            <w:r>
              <w:rPr>
                <w:sz w:val="19"/>
              </w:rPr>
              <w:noBreakHyphen/>
              <w:t>22</w:t>
            </w:r>
          </w:p>
        </w:tc>
        <w:tc>
          <w:tcPr>
            <w:tcW w:w="2693" w:type="dxa"/>
          </w:tcPr>
          <w:p>
            <w:pPr>
              <w:pStyle w:val="nTable"/>
              <w:spacing w:after="40"/>
              <w:rPr>
                <w:sz w:val="19"/>
              </w:rPr>
            </w:pPr>
            <w:r>
              <w:rPr>
                <w:snapToGrid w:val="0"/>
                <w:sz w:val="19"/>
              </w:rPr>
              <w:t>r. 1 and 2: 24 Sep 2010 (see r. 2(a));</w:t>
            </w:r>
            <w:r>
              <w:rPr>
                <w:snapToGrid w:val="0"/>
                <w:sz w:val="19"/>
              </w:rPr>
              <w:br/>
              <w:t>Regulations other than r. 1 and 2: 25 Sep 2010 (see r. 2(b))</w:t>
            </w:r>
          </w:p>
        </w:tc>
      </w:tr>
      <w:tr>
        <w:trPr>
          <w:cantSplit/>
        </w:trPr>
        <w:tc>
          <w:tcPr>
            <w:tcW w:w="3118" w:type="dxa"/>
          </w:tcPr>
          <w:p>
            <w:pPr>
              <w:pStyle w:val="nTable"/>
              <w:spacing w:after="40"/>
              <w:ind w:right="113"/>
              <w:rPr>
                <w:i/>
                <w:sz w:val="19"/>
              </w:rPr>
            </w:pPr>
            <w:r>
              <w:rPr>
                <w:i/>
                <w:sz w:val="19"/>
              </w:rPr>
              <w:t>Road Traffic (Licensing) Amendment Regulations 2011</w:t>
            </w:r>
          </w:p>
        </w:tc>
        <w:tc>
          <w:tcPr>
            <w:tcW w:w="1276" w:type="dxa"/>
          </w:tcPr>
          <w:p>
            <w:pPr>
              <w:pStyle w:val="nTable"/>
              <w:spacing w:after="40"/>
              <w:rPr>
                <w:sz w:val="19"/>
              </w:rPr>
            </w:pPr>
            <w:r>
              <w:rPr>
                <w:sz w:val="19"/>
              </w:rPr>
              <w:t>25 Feb 2011 p. 657-8</w:t>
            </w:r>
          </w:p>
        </w:tc>
        <w:tc>
          <w:tcPr>
            <w:tcW w:w="2693" w:type="dxa"/>
          </w:tcPr>
          <w:p>
            <w:pPr>
              <w:pStyle w:val="nTable"/>
              <w:spacing w:after="40"/>
              <w:rPr>
                <w:snapToGrid w:val="0"/>
                <w:sz w:val="19"/>
              </w:rPr>
            </w:pPr>
            <w:r>
              <w:rPr>
                <w:snapToGrid w:val="0"/>
                <w:sz w:val="19"/>
              </w:rPr>
              <w:t>r. 1 and 2: 25 Feb 2011 (see r. 2(a));</w:t>
            </w:r>
            <w:r>
              <w:rPr>
                <w:snapToGrid w:val="0"/>
                <w:sz w:val="19"/>
              </w:rPr>
              <w:br/>
              <w:t>Regulations other than r. 1 and 2: 26 Feb 2011 (see r. 2(b))</w:t>
            </w:r>
          </w:p>
        </w:tc>
      </w:tr>
      <w:tr>
        <w:trPr>
          <w:cantSplit/>
        </w:trPr>
        <w:tc>
          <w:tcPr>
            <w:tcW w:w="3118" w:type="dxa"/>
          </w:tcPr>
          <w:p>
            <w:pPr>
              <w:pStyle w:val="nTable"/>
              <w:spacing w:after="40"/>
              <w:ind w:right="113"/>
              <w:rPr>
                <w:i/>
                <w:sz w:val="19"/>
              </w:rPr>
            </w:pPr>
            <w:r>
              <w:rPr>
                <w:i/>
                <w:sz w:val="19"/>
              </w:rPr>
              <w:t>Road Traffic (Licensing) Amendment Regulations (No. 3) 2011</w:t>
            </w:r>
          </w:p>
        </w:tc>
        <w:tc>
          <w:tcPr>
            <w:tcW w:w="1276" w:type="dxa"/>
          </w:tcPr>
          <w:p>
            <w:pPr>
              <w:pStyle w:val="nTable"/>
              <w:spacing w:after="40"/>
              <w:rPr>
                <w:sz w:val="19"/>
              </w:rPr>
            </w:pPr>
            <w:r>
              <w:rPr>
                <w:sz w:val="19"/>
              </w:rPr>
              <w:t>2 Dec 2011 p. 5073-4</w:t>
            </w:r>
          </w:p>
        </w:tc>
        <w:tc>
          <w:tcPr>
            <w:tcW w:w="2693" w:type="dxa"/>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rPr>
          <w:cantSplit/>
        </w:trPr>
        <w:tc>
          <w:tcPr>
            <w:tcW w:w="3118" w:type="dxa"/>
          </w:tcPr>
          <w:p>
            <w:pPr>
              <w:pStyle w:val="nTable"/>
              <w:spacing w:after="40"/>
              <w:ind w:right="113"/>
              <w:rPr>
                <w:i/>
                <w:sz w:val="19"/>
              </w:rPr>
            </w:pPr>
            <w:r>
              <w:rPr>
                <w:i/>
                <w:sz w:val="19"/>
              </w:rPr>
              <w:t>Road Traffic (Licensing) Amendment Regulations (No. 2) 2011</w:t>
            </w:r>
          </w:p>
        </w:tc>
        <w:tc>
          <w:tcPr>
            <w:tcW w:w="1276" w:type="dxa"/>
          </w:tcPr>
          <w:p>
            <w:pPr>
              <w:pStyle w:val="nTable"/>
              <w:spacing w:after="40"/>
              <w:rPr>
                <w:sz w:val="19"/>
              </w:rPr>
            </w:pPr>
            <w:r>
              <w:rPr>
                <w:sz w:val="19"/>
              </w:rPr>
              <w:t>2 Dec 2011 p. 5075</w:t>
            </w:r>
          </w:p>
        </w:tc>
        <w:tc>
          <w:tcPr>
            <w:tcW w:w="2693" w:type="dxa"/>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rPr>
          <w:cantSplit/>
        </w:trPr>
        <w:tc>
          <w:tcPr>
            <w:tcW w:w="3118" w:type="dxa"/>
          </w:tcPr>
          <w:p>
            <w:pPr>
              <w:pStyle w:val="nTable"/>
              <w:spacing w:after="40"/>
              <w:ind w:right="113"/>
              <w:rPr>
                <w:i/>
                <w:sz w:val="19"/>
              </w:rPr>
            </w:pPr>
            <w:r>
              <w:rPr>
                <w:i/>
                <w:sz w:val="19"/>
              </w:rPr>
              <w:t>Road Traffic (Licensing) Amendment Regulations 2012</w:t>
            </w:r>
          </w:p>
        </w:tc>
        <w:tc>
          <w:tcPr>
            <w:tcW w:w="1276" w:type="dxa"/>
          </w:tcPr>
          <w:p>
            <w:pPr>
              <w:pStyle w:val="nTable"/>
              <w:spacing w:after="40"/>
              <w:rPr>
                <w:sz w:val="19"/>
              </w:rPr>
            </w:pPr>
            <w:r>
              <w:rPr>
                <w:sz w:val="19"/>
              </w:rPr>
              <w:t>14 Dec 2012 p. 6207</w:t>
            </w:r>
            <w:r>
              <w:rPr>
                <w:sz w:val="19"/>
              </w:rPr>
              <w:noBreakHyphen/>
              <w:t>8</w:t>
            </w:r>
          </w:p>
        </w:tc>
        <w:tc>
          <w:tcPr>
            <w:tcW w:w="2693" w:type="dxa"/>
          </w:tcPr>
          <w:p>
            <w:pPr>
              <w:pStyle w:val="nTable"/>
              <w:spacing w:after="40"/>
              <w:rPr>
                <w:snapToGrid w:val="0"/>
                <w:sz w:val="19"/>
              </w:rPr>
            </w:pPr>
            <w:r>
              <w:rPr>
                <w:snapToGrid w:val="0"/>
                <w:sz w:val="19"/>
              </w:rPr>
              <w:t>r. 1 and 2: 14 Dec 2012 (see r. 2(a));</w:t>
            </w:r>
            <w:r>
              <w:rPr>
                <w:snapToGrid w:val="0"/>
                <w:sz w:val="19"/>
              </w:rPr>
              <w:br/>
              <w:t>Regulations other than r. 1 and 2: 15 Dec 2012 (see r. 2(b))</w:t>
            </w:r>
          </w:p>
        </w:tc>
      </w:tr>
      <w:tr>
        <w:trPr>
          <w:cantSplit/>
        </w:trPr>
        <w:tc>
          <w:tcPr>
            <w:tcW w:w="3118" w:type="dxa"/>
            <w:shd w:val="clear" w:color="auto" w:fill="auto"/>
          </w:tcPr>
          <w:p>
            <w:pPr>
              <w:pStyle w:val="nTable"/>
              <w:spacing w:after="40"/>
              <w:ind w:right="113"/>
              <w:rPr>
                <w:i/>
                <w:sz w:val="19"/>
              </w:rPr>
            </w:pPr>
            <w:r>
              <w:rPr>
                <w:i/>
                <w:sz w:val="19"/>
              </w:rPr>
              <w:t>Road Traffic (Licensing) Amendment Regulations (No. 2) 2013</w:t>
            </w:r>
          </w:p>
        </w:tc>
        <w:tc>
          <w:tcPr>
            <w:tcW w:w="1276" w:type="dxa"/>
            <w:shd w:val="clear" w:color="auto" w:fill="auto"/>
          </w:tcPr>
          <w:p>
            <w:pPr>
              <w:pStyle w:val="nTable"/>
              <w:spacing w:after="40"/>
              <w:rPr>
                <w:sz w:val="19"/>
              </w:rPr>
            </w:pPr>
            <w:r>
              <w:rPr>
                <w:sz w:val="19"/>
              </w:rPr>
              <w:t>12 Apr 2013 p. 1540</w:t>
            </w:r>
          </w:p>
        </w:tc>
        <w:tc>
          <w:tcPr>
            <w:tcW w:w="2693" w:type="dxa"/>
            <w:shd w:val="clear" w:color="auto" w:fill="auto"/>
          </w:tcPr>
          <w:p>
            <w:pPr>
              <w:pStyle w:val="nTable"/>
              <w:spacing w:after="40"/>
              <w:rPr>
                <w:snapToGrid w:val="0"/>
                <w:spacing w:val="-2"/>
                <w:sz w:val="19"/>
              </w:rPr>
            </w:pPr>
            <w:r>
              <w:rPr>
                <w:snapToGrid w:val="0"/>
                <w:sz w:val="19"/>
              </w:rPr>
              <w:t>r. 1 and 2: 12 Apr 2013 (see r. 2(a));</w:t>
            </w:r>
            <w:r>
              <w:rPr>
                <w:snapToGrid w:val="0"/>
                <w:sz w:val="19"/>
              </w:rPr>
              <w:br/>
              <w:t xml:space="preserve">Regulations other than r. 1 and 2: 13 Apr  2013 (see r. 2(b) and </w:t>
            </w:r>
            <w:r>
              <w:rPr>
                <w:i/>
                <w:snapToGrid w:val="0"/>
                <w:sz w:val="19"/>
              </w:rPr>
              <w:t xml:space="preserve">Gazette </w:t>
            </w:r>
            <w:r>
              <w:rPr>
                <w:snapToGrid w:val="0"/>
                <w:sz w:val="19"/>
              </w:rPr>
              <w:t>12 Apr 2013 p. 1533)</w:t>
            </w:r>
          </w:p>
        </w:tc>
      </w:tr>
      <w:tr>
        <w:trPr>
          <w:cantSplit/>
        </w:trPr>
        <w:tc>
          <w:tcPr>
            <w:tcW w:w="3118" w:type="dxa"/>
            <w:shd w:val="clear" w:color="auto" w:fill="auto"/>
          </w:tcPr>
          <w:p>
            <w:pPr>
              <w:pStyle w:val="nTable"/>
              <w:spacing w:after="40"/>
              <w:ind w:right="113"/>
              <w:rPr>
                <w:i/>
                <w:sz w:val="19"/>
              </w:rPr>
            </w:pPr>
            <w:r>
              <w:rPr>
                <w:i/>
                <w:sz w:val="19"/>
              </w:rPr>
              <w:t>Road Traffic (Licensing) Amendment Regulations (No. 2) 2014</w:t>
            </w:r>
          </w:p>
        </w:tc>
        <w:tc>
          <w:tcPr>
            <w:tcW w:w="1276" w:type="dxa"/>
            <w:shd w:val="clear" w:color="auto" w:fill="auto"/>
          </w:tcPr>
          <w:p>
            <w:pPr>
              <w:pStyle w:val="nTable"/>
              <w:spacing w:after="40"/>
              <w:rPr>
                <w:sz w:val="19"/>
              </w:rPr>
            </w:pPr>
            <w:r>
              <w:rPr>
                <w:sz w:val="19"/>
              </w:rPr>
              <w:t>9 Sep 2014 p. 3249</w:t>
            </w:r>
            <w:r>
              <w:rPr>
                <w:sz w:val="19"/>
              </w:rPr>
              <w:noBreakHyphen/>
              <w:t>52</w:t>
            </w:r>
          </w:p>
        </w:tc>
        <w:tc>
          <w:tcPr>
            <w:tcW w:w="2693" w:type="dxa"/>
            <w:shd w:val="clear" w:color="auto" w:fill="auto"/>
          </w:tcPr>
          <w:p>
            <w:pPr>
              <w:pStyle w:val="nTable"/>
              <w:spacing w:after="40"/>
              <w:rPr>
                <w:snapToGrid w:val="0"/>
                <w:sz w:val="19"/>
              </w:rPr>
            </w:pPr>
            <w:r>
              <w:rPr>
                <w:sz w:val="19"/>
              </w:rPr>
              <w:t>r. 1 and 2: 9 Sep 2014 (see r. 2(a));</w:t>
            </w:r>
            <w:r>
              <w:rPr>
                <w:sz w:val="19"/>
              </w:rPr>
              <w:br/>
              <w:t>Regulations other than r. 1 and 2: 26 Sep 2014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snapToGrid w:val="0"/>
                <w:sz w:val="19"/>
              </w:rPr>
            </w:pPr>
            <w:r>
              <w:rPr>
                <w:b/>
                <w:sz w:val="19"/>
              </w:rPr>
              <w:t xml:space="preserve">Reprint 9: The </w:t>
            </w:r>
            <w:r>
              <w:rPr>
                <w:b/>
                <w:i/>
                <w:sz w:val="19"/>
              </w:rPr>
              <w:t>Road Traffic (Licensing) Regulations 1975</w:t>
            </w:r>
            <w:r>
              <w:rPr>
                <w:b/>
                <w:sz w:val="19"/>
              </w:rPr>
              <w:t xml:space="preserve"> as at 17 Oct 2014</w:t>
            </w:r>
            <w:r>
              <w:rPr>
                <w:b/>
                <w:sz w:val="19"/>
              </w:rPr>
              <w:br/>
            </w:r>
            <w:r>
              <w:rPr>
                <w:sz w:val="19"/>
              </w:rPr>
              <w:t>(includes amendments listed above)</w:t>
            </w:r>
          </w:p>
        </w:tc>
      </w:tr>
    </w:tbl>
    <w:p>
      <w:pPr>
        <w:pStyle w:val="nSubsection"/>
        <w:spacing w:before="100"/>
        <w:rPr>
          <w:snapToGrid w:val="0"/>
        </w:rPr>
      </w:pPr>
      <w:r>
        <w:rPr>
          <w:snapToGrid w:val="0"/>
          <w:vertAlign w:val="superscript"/>
        </w:rPr>
        <w:t>2</w:t>
      </w:r>
      <w:r>
        <w:rPr>
          <w:snapToGrid w:val="0"/>
        </w:rPr>
        <w:tab/>
        <w:t xml:space="preserve">Repealed by the </w:t>
      </w:r>
      <w:r>
        <w:rPr>
          <w:i/>
        </w:rPr>
        <w:t>Motor Vehicle (Third Party Insurance) Regulations 2009</w:t>
      </w:r>
      <w:r>
        <w:rPr>
          <w:snapToGrid w:val="0"/>
        </w:rPr>
        <w:t>.</w:t>
      </w:r>
    </w:p>
    <w:p>
      <w:pPr>
        <w:pStyle w:val="nSubsection"/>
        <w:spacing w:before="100"/>
        <w:rPr>
          <w:snapToGrid w:val="0"/>
        </w:rPr>
      </w:pPr>
      <w:r>
        <w:rPr>
          <w:snapToGrid w:val="0"/>
          <w:vertAlign w:val="superscript"/>
        </w:rPr>
        <w:t>3</w:t>
      </w:r>
      <w:r>
        <w:rPr>
          <w:snapToGrid w:val="0"/>
        </w:rPr>
        <w:tab/>
        <w:t xml:space="preserve">Revoked on 4 Oct 1974 (see </w:t>
      </w:r>
      <w:r>
        <w:rPr>
          <w:i/>
          <w:snapToGrid w:val="0"/>
        </w:rPr>
        <w:t>Gazette</w:t>
      </w:r>
      <w:r>
        <w:rPr>
          <w:snapToGrid w:val="0"/>
        </w:rPr>
        <w:t xml:space="preserve"> 3 Oct 1974 p. 3701).</w:t>
      </w:r>
    </w:p>
    <w:p>
      <w:pPr>
        <w:pStyle w:val="nSubsection"/>
        <w:spacing w:before="100"/>
        <w:rPr>
          <w:snapToGrid w:val="0"/>
        </w:rPr>
      </w:pPr>
      <w:r>
        <w:rPr>
          <w:snapToGrid w:val="0"/>
          <w:vertAlign w:val="superscript"/>
        </w:rPr>
        <w:t>4</w:t>
      </w:r>
      <w:r>
        <w:rPr>
          <w:snapToGrid w:val="0"/>
        </w:rPr>
        <w:tab/>
        <w:t xml:space="preserve">Revoked on 1 Jun 1975 (see </w:t>
      </w:r>
      <w:r>
        <w:rPr>
          <w:i/>
          <w:snapToGrid w:val="0"/>
        </w:rPr>
        <w:t>Gazette</w:t>
      </w:r>
      <w:r>
        <w:rPr>
          <w:snapToGrid w:val="0"/>
        </w:rPr>
        <w:t xml:space="preserve"> 29 May 1975 p. 1577).</w:t>
      </w:r>
    </w:p>
    <w:p>
      <w:pPr>
        <w:pStyle w:val="nSubsection"/>
        <w:spacing w:before="100"/>
      </w:pPr>
      <w:r>
        <w:rPr>
          <w:vertAlign w:val="superscript"/>
        </w:rPr>
        <w:t>5</w:t>
      </w:r>
      <w:r>
        <w:tab/>
        <w:t xml:space="preserve">Under the </w:t>
      </w:r>
      <w:r>
        <w:rPr>
          <w:i/>
        </w:rPr>
        <w:t>Local Government Act 1995</w:t>
      </w:r>
      <w:r>
        <w:t xml:space="preserve"> Sch. 9.3 cl. 3(2) a reference to a municipality or municipal district under the </w:t>
      </w:r>
      <w:r>
        <w:rPr>
          <w:i/>
        </w:rPr>
        <w:t>Local Government Act 1960</w:t>
      </w:r>
      <w:r>
        <w:t xml:space="preserve"> may, when the context requires, be read as if it had been amended to include or be a reference to a local government or local government district under the </w:t>
      </w:r>
      <w:r>
        <w:rPr>
          <w:i/>
        </w:rPr>
        <w:t>Local Government Act 1995</w:t>
      </w:r>
      <w:r>
        <w:t xml:space="preserve">. This reference was changed under the </w:t>
      </w:r>
      <w:r>
        <w:rPr>
          <w:i/>
        </w:rPr>
        <w:t>Reprints Act 1984</w:t>
      </w:r>
      <w:r>
        <w:t xml:space="preserve"> s. 7(5)(a).</w:t>
      </w:r>
    </w:p>
    <w:p>
      <w:pPr>
        <w:pStyle w:val="nSubsection"/>
        <w:spacing w:before="100"/>
      </w:pPr>
      <w:r>
        <w:rPr>
          <w:vertAlign w:val="superscript"/>
        </w:rPr>
        <w:t>6</w:t>
      </w:r>
      <w:r>
        <w:tab/>
        <w:t xml:space="preserve">Now known as the </w:t>
      </w:r>
      <w:r>
        <w:rPr>
          <w:i/>
          <w:iCs/>
        </w:rPr>
        <w:t>Road Traffic (Licensing) Regulations 1975</w:t>
      </w:r>
      <w:r>
        <w:t>; citation changed (see note under r. 1).</w:t>
      </w:r>
    </w:p>
    <w:p>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spacing w:before="100"/>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spacing w:before="100"/>
      </w:pPr>
      <w:r>
        <w:rPr>
          <w:vertAlign w:val="superscript"/>
        </w:rPr>
        <w:t>11</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Pr>
        <w:pStyle w:val="nHeading2"/>
        <w:rPr>
          <w:sz w:val="28"/>
        </w:rPr>
      </w:pPr>
      <w:bookmarkStart w:id="144" w:name="_Toc400970397"/>
      <w:bookmarkStart w:id="145" w:name="_Toc403052549"/>
      <w:r>
        <w:rPr>
          <w:sz w:val="28"/>
        </w:rPr>
        <w:t>Defined terms</w:t>
      </w:r>
      <w:bookmarkEnd w:id="144"/>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6" w:name="DefinedTerms"/>
      <w:bookmarkEnd w:id="146"/>
      <w:r>
        <w:t>agricultural implement</w:t>
      </w:r>
      <w:r>
        <w:tab/>
        <w:t>3(1)</w:t>
      </w:r>
    </w:p>
    <w:p>
      <w:pPr>
        <w:pStyle w:val="DefinedTerms"/>
      </w:pPr>
      <w:r>
        <w:t>agricultural machine</w:t>
      </w:r>
      <w:r>
        <w:tab/>
        <w:t>3(1)</w:t>
      </w:r>
    </w:p>
    <w:p>
      <w:pPr>
        <w:pStyle w:val="DefinedTerms"/>
      </w:pPr>
      <w:r>
        <w:t>agricultural vehicle</w:t>
      </w:r>
      <w:r>
        <w:tab/>
        <w:t>3(1)</w:t>
      </w:r>
    </w:p>
    <w:p>
      <w:pPr>
        <w:pStyle w:val="DefinedTerms"/>
      </w:pPr>
      <w:r>
        <w:t>approved place</w:t>
      </w:r>
      <w:r>
        <w:tab/>
        <w:t>3C(1A)</w:t>
      </w:r>
    </w:p>
    <w:p>
      <w:pPr>
        <w:pStyle w:val="DefinedTerms"/>
      </w:pPr>
      <w:r>
        <w:t>authorised vehicle examiner</w:t>
      </w:r>
      <w:r>
        <w:tab/>
        <w:t>3(1)</w:t>
      </w:r>
    </w:p>
    <w:p>
      <w:pPr>
        <w:pStyle w:val="DefinedTerms"/>
      </w:pPr>
      <w:r>
        <w:t>axle</w:t>
      </w:r>
      <w:r>
        <w:tab/>
        <w:t>3(1)</w:t>
      </w:r>
    </w:p>
    <w:p>
      <w:pPr>
        <w:pStyle w:val="DefinedTerms"/>
      </w:pPr>
      <w:r>
        <w:t>car or bus</w:t>
      </w:r>
      <w:r>
        <w:tab/>
        <w:t>3(1)</w:t>
      </w:r>
    </w:p>
    <w:p>
      <w:pPr>
        <w:pStyle w:val="DefinedTerms"/>
      </w:pPr>
      <w:r>
        <w:t>character</w:t>
      </w:r>
      <w:r>
        <w:tab/>
        <w:t>3(1)</w:t>
      </w:r>
    </w:p>
    <w:p>
      <w:pPr>
        <w:pStyle w:val="DefinedTerms"/>
      </w:pPr>
      <w:r>
        <w:t>commencement day</w:t>
      </w:r>
      <w:r>
        <w:tab/>
        <w:t>26E(1)</w:t>
      </w:r>
    </w:p>
    <w:p>
      <w:pPr>
        <w:pStyle w:val="DefinedTerms"/>
      </w:pPr>
      <w:r>
        <w:t>compliance plate</w:t>
      </w:r>
      <w:r>
        <w:tab/>
        <w:t>3(1)</w:t>
      </w:r>
    </w:p>
    <w:p>
      <w:pPr>
        <w:pStyle w:val="DefinedTerms"/>
      </w:pPr>
      <w:r>
        <w:t>converter dolly</w:t>
      </w:r>
      <w:r>
        <w:tab/>
        <w:t>3(1)</w:t>
      </w:r>
    </w:p>
    <w:p>
      <w:pPr>
        <w:pStyle w:val="DefinedTerms"/>
      </w:pPr>
      <w:r>
        <w:t>electric personal transporter</w:t>
      </w:r>
      <w:r>
        <w:tab/>
        <w:t>3(1)</w:t>
      </w:r>
    </w:p>
    <w:p>
      <w:pPr>
        <w:pStyle w:val="DefinedTerms"/>
      </w:pPr>
      <w:r>
        <w:t>electric personal transporter use area</w:t>
      </w:r>
      <w:r>
        <w:tab/>
        <w:t>3(1)</w:t>
      </w:r>
    </w:p>
    <w:p>
      <w:pPr>
        <w:pStyle w:val="DefinedTerms"/>
      </w:pPr>
      <w:r>
        <w:t>goods vehicle</w:t>
      </w:r>
      <w:r>
        <w:tab/>
        <w:t>3(1)</w:t>
      </w:r>
    </w:p>
    <w:p>
      <w:pPr>
        <w:pStyle w:val="DefinedTerms"/>
      </w:pPr>
      <w:r>
        <w:t>goods vehicle derivative</w:t>
      </w:r>
      <w:r>
        <w:tab/>
        <w:t>Sch. 3 cl. 1(3)</w:t>
      </w:r>
    </w:p>
    <w:p>
      <w:pPr>
        <w:pStyle w:val="DefinedTerms"/>
      </w:pPr>
      <w:r>
        <w:t>heavy trailer</w:t>
      </w:r>
      <w:r>
        <w:tab/>
        <w:t>3(1)</w:t>
      </w:r>
    </w:p>
    <w:p>
      <w:pPr>
        <w:pStyle w:val="DefinedTerms"/>
      </w:pPr>
      <w:r>
        <w:t>heavy vehicle</w:t>
      </w:r>
      <w:r>
        <w:tab/>
        <w:t>3(1)</w:t>
      </w:r>
    </w:p>
    <w:p>
      <w:pPr>
        <w:pStyle w:val="DefinedTerms"/>
      </w:pPr>
      <w:r>
        <w:t>holder</w:t>
      </w:r>
      <w:r>
        <w:tab/>
        <w:t>26E(2)</w:t>
      </w:r>
    </w:p>
    <w:p>
      <w:pPr>
        <w:pStyle w:val="DefinedTerms"/>
      </w:pPr>
      <w:r>
        <w:t>ID prevention state</w:t>
      </w:r>
      <w:r>
        <w:tab/>
        <w:t>25AA(1)</w:t>
      </w:r>
    </w:p>
    <w:p>
      <w:pPr>
        <w:pStyle w:val="DefinedTerms"/>
      </w:pPr>
      <w:r>
        <w:t>identifier</w:t>
      </w:r>
      <w:r>
        <w:tab/>
        <w:t>3(1)</w:t>
      </w:r>
    </w:p>
    <w:p>
      <w:pPr>
        <w:pStyle w:val="DefinedTerms"/>
      </w:pPr>
      <w:r>
        <w:t>imitation plate</w:t>
      </w:r>
      <w:r>
        <w:tab/>
        <w:t>27A</w:t>
      </w:r>
    </w:p>
    <w:p>
      <w:pPr>
        <w:pStyle w:val="DefinedTerms"/>
      </w:pPr>
      <w:r>
        <w:t>licence holder</w:t>
      </w:r>
      <w:r>
        <w:tab/>
        <w:t>3(1)</w:t>
      </w:r>
    </w:p>
    <w:p>
      <w:pPr>
        <w:pStyle w:val="DefinedTerms"/>
      </w:pPr>
      <w:r>
        <w:t>manufacturer’s gross vehicle mass</w:t>
      </w:r>
      <w:r>
        <w:tab/>
        <w:t>3(1)</w:t>
      </w:r>
    </w:p>
    <w:p>
      <w:pPr>
        <w:pStyle w:val="DefinedTerms"/>
      </w:pPr>
      <w:r>
        <w:t>motor cycle</w:t>
      </w:r>
      <w:r>
        <w:tab/>
        <w:t>3(1)</w:t>
      </w:r>
    </w:p>
    <w:p>
      <w:pPr>
        <w:pStyle w:val="DefinedTerms"/>
      </w:pPr>
      <w:r>
        <w:t>motor home</w:t>
      </w:r>
      <w:r>
        <w:tab/>
        <w:t>3(1)</w:t>
      </w:r>
    </w:p>
    <w:p>
      <w:pPr>
        <w:pStyle w:val="DefinedTerms"/>
      </w:pPr>
      <w:r>
        <w:t>motor vehicle</w:t>
      </w:r>
      <w:r>
        <w:tab/>
        <w:t>3(1)</w:t>
      </w:r>
    </w:p>
    <w:p>
      <w:pPr>
        <w:pStyle w:val="DefinedTerms"/>
      </w:pPr>
      <w:r>
        <w:t>motorised wheelchair</w:t>
      </w:r>
      <w:r>
        <w:tab/>
        <w:t>3(1)</w:t>
      </w:r>
    </w:p>
    <w:p>
      <w:pPr>
        <w:pStyle w:val="DefinedTerms"/>
      </w:pPr>
      <w:r>
        <w:t>MRC</w:t>
      </w:r>
      <w:r>
        <w:tab/>
        <w:t>3(1)</w:t>
      </w:r>
    </w:p>
    <w:p>
      <w:pPr>
        <w:pStyle w:val="DefinedTerms"/>
      </w:pPr>
      <w:r>
        <w:t>name plates</w:t>
      </w:r>
      <w:r>
        <w:tab/>
        <w:t>3(1)</w:t>
      </w:r>
    </w:p>
    <w:p>
      <w:pPr>
        <w:pStyle w:val="DefinedTerms"/>
      </w:pPr>
      <w:r>
        <w:t>new owner</w:t>
      </w:r>
      <w:r>
        <w:tab/>
        <w:t>16A(1)</w:t>
      </w:r>
    </w:p>
    <w:p>
      <w:pPr>
        <w:pStyle w:val="DefinedTerms"/>
      </w:pPr>
      <w:r>
        <w:t>obscuring device</w:t>
      </w:r>
      <w:r>
        <w:tab/>
        <w:t>25AA(1)</w:t>
      </w:r>
    </w:p>
    <w:p>
      <w:pPr>
        <w:pStyle w:val="DefinedTerms"/>
      </w:pPr>
      <w:r>
        <w:t>obscuring device action</w:t>
      </w:r>
      <w:r>
        <w:tab/>
        <w:t>25AA(1)</w:t>
      </w:r>
    </w:p>
    <w:p>
      <w:pPr>
        <w:pStyle w:val="DefinedTerms"/>
      </w:pPr>
      <w:r>
        <w:t>ordinary plates</w:t>
      </w:r>
      <w:r>
        <w:tab/>
        <w:t>3(1)</w:t>
      </w:r>
    </w:p>
    <w:p>
      <w:pPr>
        <w:pStyle w:val="DefinedTerms"/>
      </w:pPr>
      <w:r>
        <w:t>permit</w:t>
      </w:r>
      <w:r>
        <w:tab/>
        <w:t>11(1)</w:t>
      </w:r>
    </w:p>
    <w:p>
      <w:pPr>
        <w:pStyle w:val="DefinedTerms"/>
      </w:pPr>
      <w:r>
        <w:t>personalised plates</w:t>
      </w:r>
      <w:r>
        <w:tab/>
        <w:t>3(1)</w:t>
      </w:r>
    </w:p>
    <w:p>
      <w:pPr>
        <w:pStyle w:val="DefinedTerms"/>
      </w:pPr>
      <w:r>
        <w:t>plate</w:t>
      </w:r>
      <w:r>
        <w:tab/>
        <w:t>25AA(1)</w:t>
      </w:r>
    </w:p>
    <w:p>
      <w:pPr>
        <w:pStyle w:val="DefinedTerms"/>
      </w:pPr>
      <w:r>
        <w:t>plate fee</w:t>
      </w:r>
      <w:r>
        <w:tab/>
        <w:t>26D</w:t>
      </w:r>
    </w:p>
    <w:p>
      <w:pPr>
        <w:pStyle w:val="DefinedTerms"/>
      </w:pPr>
      <w:r>
        <w:t>prime mover</w:t>
      </w:r>
      <w:r>
        <w:tab/>
        <w:t>3(1)</w:t>
      </w:r>
    </w:p>
    <w:p>
      <w:pPr>
        <w:pStyle w:val="DefinedTerms"/>
      </w:pPr>
      <w:r>
        <w:t>read</w:t>
      </w:r>
      <w:r>
        <w:tab/>
        <w:t>25AA(1)</w:t>
      </w:r>
    </w:p>
    <w:p>
      <w:pPr>
        <w:pStyle w:val="DefinedTerms"/>
      </w:pPr>
      <w:r>
        <w:t>reflective plates</w:t>
      </w:r>
      <w:r>
        <w:tab/>
        <w:t>3(1)</w:t>
      </w:r>
    </w:p>
    <w:p>
      <w:pPr>
        <w:pStyle w:val="DefinedTerms"/>
      </w:pPr>
      <w:r>
        <w:t>registration label</w:t>
      </w:r>
      <w:r>
        <w:tab/>
        <w:t>32(1), 33(1)</w:t>
      </w:r>
    </w:p>
    <w:p>
      <w:pPr>
        <w:pStyle w:val="DefinedTerms"/>
      </w:pPr>
      <w:r>
        <w:t>renewal period</w:t>
      </w:r>
      <w:r>
        <w:tab/>
        <w:t>3(1)</w:t>
      </w:r>
    </w:p>
    <w:p>
      <w:pPr>
        <w:pStyle w:val="DefinedTerms"/>
      </w:pPr>
      <w:r>
        <w:t>repairable write</w:t>
      </w:r>
      <w:r>
        <w:noBreakHyphen/>
        <w:t>off</w:t>
      </w:r>
      <w:r>
        <w:tab/>
        <w:t>3(1)</w:t>
      </w:r>
    </w:p>
    <w:p>
      <w:pPr>
        <w:pStyle w:val="DefinedTerms"/>
      </w:pPr>
      <w:r>
        <w:t>restricted access vehicle</w:t>
      </w:r>
      <w:r>
        <w:tab/>
        <w:t>3(1)</w:t>
      </w:r>
    </w:p>
    <w:p>
      <w:pPr>
        <w:pStyle w:val="DefinedTerms"/>
      </w:pPr>
      <w:r>
        <w:t>seasonal heavy vehicle licence</w:t>
      </w:r>
      <w:r>
        <w:tab/>
        <w:t>3(1)</w:t>
      </w:r>
    </w:p>
    <w:p>
      <w:pPr>
        <w:pStyle w:val="DefinedTerms"/>
      </w:pPr>
      <w:r>
        <w:t>semi</w:t>
      </w:r>
      <w:r>
        <w:noBreakHyphen/>
        <w:t>trailer</w:t>
      </w:r>
      <w:r>
        <w:tab/>
        <w:t>3(1)</w:t>
      </w:r>
    </w:p>
    <w:p>
      <w:pPr>
        <w:pStyle w:val="DefinedTerms"/>
      </w:pPr>
      <w:r>
        <w:t>set</w:t>
      </w:r>
      <w:r>
        <w:tab/>
        <w:t>26D</w:t>
      </w:r>
    </w:p>
    <w:p>
      <w:pPr>
        <w:pStyle w:val="DefinedTerms"/>
      </w:pPr>
      <w:r>
        <w:t>special plates</w:t>
      </w:r>
      <w:r>
        <w:tab/>
        <w:t>3(1)</w:t>
      </w:r>
    </w:p>
    <w:p>
      <w:pPr>
        <w:pStyle w:val="DefinedTerms"/>
      </w:pPr>
      <w:r>
        <w:t>special purpose vehicle</w:t>
      </w:r>
      <w:r>
        <w:tab/>
        <w:t>3(1)</w:t>
      </w:r>
    </w:p>
    <w:p>
      <w:pPr>
        <w:pStyle w:val="DefinedTerms"/>
      </w:pPr>
      <w:r>
        <w:t>statutory write</w:t>
      </w:r>
      <w:r>
        <w:noBreakHyphen/>
        <w:t>off</w:t>
      </w:r>
      <w:r>
        <w:tab/>
        <w:t>3(1)</w:t>
      </w:r>
    </w:p>
    <w:p>
      <w:pPr>
        <w:pStyle w:val="DefinedTerms"/>
      </w:pPr>
      <w:r>
        <w:t>tow truck</w:t>
      </w:r>
      <w:r>
        <w:tab/>
        <w:t>3(1)</w:t>
      </w:r>
    </w:p>
    <w:p>
      <w:pPr>
        <w:pStyle w:val="DefinedTerms"/>
      </w:pPr>
      <w:r>
        <w:t>trailer</w:t>
      </w:r>
      <w:r>
        <w:tab/>
        <w:t>3(1)</w:t>
      </w:r>
    </w:p>
    <w:p>
      <w:pPr>
        <w:pStyle w:val="DefinedTerms"/>
      </w:pPr>
      <w:r>
        <w:t>trailer derivative</w:t>
      </w:r>
      <w:r>
        <w:tab/>
        <w:t>Sch. 3 cl. 1(3)</w:t>
      </w:r>
    </w:p>
    <w:p>
      <w:pPr>
        <w:pStyle w:val="DefinedTerms"/>
      </w:pPr>
      <w:r>
        <w:t>unloaded mass</w:t>
      </w:r>
      <w:r>
        <w:tab/>
        <w:t>3(1)</w:t>
      </w:r>
    </w:p>
    <w:p>
      <w:pPr>
        <w:pStyle w:val="DefinedTerms"/>
      </w:pPr>
      <w:r>
        <w:t>vehicle identification number</w:t>
      </w:r>
      <w:r>
        <w:tab/>
        <w:t>3(1)</w:t>
      </w:r>
    </w:p>
    <w:p>
      <w:pPr>
        <w:pStyle w:val="DefinedTerms"/>
      </w:pPr>
      <w:r>
        <w:t>Vehicle Standards</w:t>
      </w:r>
      <w:r>
        <w:tab/>
        <w:t>3(1)</w:t>
      </w:r>
    </w:p>
    <w:p>
      <w:pPr>
        <w:pStyle w:val="DefinedTerms"/>
      </w:pPr>
      <w:r>
        <w:t>Written</w:t>
      </w:r>
      <w:r>
        <w:noBreakHyphen/>
        <w:t>Off Vehicle Register</w:t>
      </w:r>
      <w:r>
        <w:tab/>
        <w:t>3(1)</w:t>
      </w:r>
    </w:p>
    <w:p>
      <w:pPr>
        <w:pStyle w:val="DefinedTerms"/>
      </w:pPr>
    </w:p>
    <w:p>
      <w:pPr>
        <w:spacing w:before="240"/>
      </w:pPr>
    </w:p>
    <w:p/>
    <w:p/>
    <w:p/>
    <w:p/>
    <w:p/>
    <w:p/>
    <w:p/>
    <w:p/>
    <w:p/>
    <w:p/>
    <w:p/>
    <w:p/>
    <w:p/>
    <w:p/>
    <w:p/>
    <w:p/>
    <w:p/>
    <w:p/>
    <w:p>
      <w:pPr>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4" w:bottom="3544" w:left="2404" w:header="720" w:footer="3380" w:gutter="0"/>
          <w:cols w:space="720"/>
          <w:noEndnote/>
          <w:docGrid w:linePitch="326"/>
        </w:sectPr>
      </w:pPr>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 w:numId="26">
    <w:abstractNumId w:val="2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01082839"/>
    <w:docVar w:name="WAFER_20140130122131" w:val="RemoveTocBookmarks,RemoveUnusedBookmarks,RemoveLanguageTags,UsedStyles,ResetPageSize,UpdateArrangement"/>
    <w:docVar w:name="WAFER_20140130122131_GUID" w:val="283c8cec-3f73-4a3b-8289-355e53b12877"/>
    <w:docVar w:name="WAFER_20140130143448" w:val="RemoveTocBookmarks,RunningHeaders"/>
    <w:docVar w:name="WAFER_20140130143448_GUID" w:val="ad12e384-382b-42fb-9e00-c452e96f5d33"/>
    <w:docVar w:name="WAFER_20140212162612" w:val="RemoveTocBookmarks,RemoveUnusedBookmarks,RemoveLanguageTags,UsedStyles,ResetPageSize,UpdateArrangement"/>
    <w:docVar w:name="WAFER_20140212162612_GUID" w:val="a5f02c14-6f8c-4baf-96c1-098da65372f1"/>
    <w:docVar w:name="WAFER_20140901082825" w:val="RemoveTocBookmarks,RemoveUnusedBookmarks,RemoveLanguageTags,UsedStyles,RemoveTrackChanges"/>
    <w:docVar w:name="WAFER_20140901082825_GUID" w:val="b878485a-f89a-4762-b4f4-d39715d5d84c"/>
    <w:docVar w:name="WAFER_20140901082839" w:val="RemoveTocBookmarks,RemoveLanguageTags,RemoveTrackChanges,RunningHeaders"/>
    <w:docVar w:name="WAFER_20140901082839_GUID" w:val="696ff60e-76e1-41be-bcd0-d63a44d19a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41E3-4F09-4401-B138-CA5EE0F3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21045</Words>
  <Characters>98075</Characters>
  <Application>Microsoft Office Word</Application>
  <DocSecurity>0</DocSecurity>
  <Lines>3269</Lines>
  <Paragraphs>1861</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1975 - 09-00-01</dc:title>
  <dc:subject/>
  <dc:creator/>
  <cp:keywords/>
  <dc:description/>
  <cp:lastModifiedBy>svcMRProcess</cp:lastModifiedBy>
  <cp:revision>4</cp:revision>
  <cp:lastPrinted>2014-10-13T06:06:00Z</cp:lastPrinted>
  <dcterms:created xsi:type="dcterms:W3CDTF">2020-04-24T22:58:00Z</dcterms:created>
  <dcterms:modified xsi:type="dcterms:W3CDTF">2020-04-24T22:59:00Z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20141017</vt:lpwstr>
  </property>
  <property fmtid="{D5CDD505-2E9C-101B-9397-08002B2CF9AE}" pid="4" name="DocumentType">
    <vt:lpwstr>Reg</vt:lpwstr>
  </property>
  <property fmtid="{D5CDD505-2E9C-101B-9397-08002B2CF9AE}" pid="5" name="OwlsUID">
    <vt:i4>4755</vt:i4>
  </property>
  <property fmtid="{D5CDD505-2E9C-101B-9397-08002B2CF9AE}" pid="6" name="AsAtDate">
    <vt:lpwstr>17 Oct 2014</vt:lpwstr>
  </property>
  <property fmtid="{D5CDD505-2E9C-101B-9397-08002B2CF9AE}" pid="7" name="Suffix">
    <vt:lpwstr>09-00-01</vt:lpwstr>
  </property>
  <property fmtid="{D5CDD505-2E9C-101B-9397-08002B2CF9AE}" pid="8" name="ReprintNo">
    <vt:lpwstr>9</vt:lpwstr>
  </property>
  <property fmtid="{D5CDD505-2E9C-101B-9397-08002B2CF9AE}" pid="9" name="ReprintedAsAt">
    <vt:filetime>2014-10-16T16:00:00Z</vt:filetime>
  </property>
</Properties>
</file>