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District Court of Western Australia Act 1969</w:t>
      </w:r>
    </w:p>
    <w:p>
      <w:pPr>
        <w:pStyle w:val="NameofActRegPage1"/>
        <w:spacing w:before="120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(Fees) Regulations 2002</w:t>
      </w:r>
      <w:r>
        <w:rPr>
          <w:sz w:val="48"/>
        </w:rPr>
        <w:fldChar w:fldCharType="end"/>
      </w:r>
    </w:p>
    <w:p>
      <w:pPr>
        <w:pStyle w:val="ReprintNo"/>
        <w:outlineLvl w:val="9"/>
      </w:pPr>
      <w:r>
        <w:t>Reprint 3:  The regulations as at 7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107312"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_Toc404008814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_Toc404008815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_Toc404008816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_Toc404008817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_Toc404008818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_Toc404008819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_Toc404008820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 or registrar may remit fees</w:t>
      </w:r>
      <w:r>
        <w:tab/>
      </w:r>
      <w:r>
        <w:fldChar w:fldCharType="begin"/>
      </w:r>
      <w:r>
        <w:instrText xml:space="preserve"> PAGEREF _Toc404008821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Conventions</w:t>
      </w:r>
      <w:r>
        <w:tab/>
      </w:r>
      <w:r>
        <w:fldChar w:fldCharType="begin"/>
      </w:r>
      <w:r>
        <w:instrText xml:space="preserve"> PAGEREF _Toc404008822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_Toc404008823 \h </w:instrText>
      </w:r>
      <w:r>
        <w:fldChar w:fldCharType="separate"/>
      </w:r>
      <w:r>
        <w:t>9</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_Toc404008824 \h </w:instrText>
      </w:r>
      <w:r>
        <w:fldChar w:fldCharType="separate"/>
      </w:r>
      <w:r>
        <w:t>10</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_Toc404008825 \h </w:instrText>
      </w:r>
      <w:r>
        <w:fldChar w:fldCharType="separate"/>
      </w:r>
      <w:r>
        <w:t>10</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_Toc404008826 \h </w:instrText>
      </w:r>
      <w:r>
        <w:fldChar w:fldCharType="separate"/>
      </w:r>
      <w:r>
        <w:t>10</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_Toc404008827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Schedule 1 — Registry fees</w:t>
      </w:r>
    </w:p>
    <w:p>
      <w:pPr>
        <w:pStyle w:val="TOC2"/>
        <w:tabs>
          <w:tab w:val="right" w:leader="dot" w:pos="7086"/>
        </w:tabs>
        <w:rPr>
          <w:rFonts w:asciiTheme="minorHAnsi" w:eastAsiaTheme="minorEastAsia" w:hAnsiTheme="minorHAnsi" w:cstheme="minorBidi"/>
          <w:b w:val="0"/>
          <w:sz w:val="22"/>
          <w:szCs w:val="22"/>
        </w:rPr>
      </w:pPr>
      <w:r>
        <w:t>Schedule 2 — Sheriff’s fees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_Toc404008832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2014</w:t>
            </w:r>
          </w:p>
        </w:tc>
      </w:tr>
    </w:tbl>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1" w:name="_Toc404008814"/>
      <w:r>
        <w:rPr>
          <w:rStyle w:val="CharSectno"/>
        </w:rPr>
        <w:t>1</w:t>
      </w:r>
      <w:r>
        <w:t>.</w:t>
      </w:r>
      <w:r>
        <w:tab/>
        <w:t>Citation</w:t>
      </w:r>
      <w:bookmarkEnd w:id="1"/>
    </w:p>
    <w:p>
      <w:pPr>
        <w:pStyle w:val="Subsection"/>
      </w:pPr>
      <w:r>
        <w:tab/>
      </w:r>
      <w:r>
        <w:tab/>
      </w:r>
      <w:bookmarkStart w:id="2" w:name="Start_Cursor"/>
      <w:bookmarkEnd w:id="2"/>
      <w:r>
        <w:t xml:space="preserve">These regulations may be cited as the </w:t>
      </w:r>
      <w:r>
        <w:rPr>
          <w:i/>
        </w:rPr>
        <w:t>District Court (Fees) Regulations 2002</w:t>
      </w:r>
      <w:r>
        <w:rPr>
          <w:iCs/>
          <w:vertAlign w:val="superscript"/>
        </w:rPr>
        <w:t> 1</w:t>
      </w:r>
      <w:r>
        <w:t>.</w:t>
      </w:r>
    </w:p>
    <w:p>
      <w:pPr>
        <w:pStyle w:val="Heading5"/>
      </w:pPr>
      <w:bookmarkStart w:id="3" w:name="_Toc404008815"/>
      <w:r>
        <w:rPr>
          <w:rStyle w:val="CharSectno"/>
        </w:rPr>
        <w:t>2</w:t>
      </w:r>
      <w:r>
        <w:t>.</w:t>
      </w:r>
      <w:r>
        <w:tab/>
        <w:t>Commencement</w:t>
      </w:r>
      <w:bookmarkEnd w:id="3"/>
    </w:p>
    <w:p>
      <w:pPr>
        <w:pStyle w:val="Subsection"/>
      </w:pPr>
      <w:r>
        <w:tab/>
      </w:r>
      <w:r>
        <w:tab/>
        <w:t>These regulations come into operation on 1 January 2002.</w:t>
      </w:r>
    </w:p>
    <w:p>
      <w:pPr>
        <w:pStyle w:val="Heading5"/>
      </w:pPr>
      <w:bookmarkStart w:id="4" w:name="_Toc404008816"/>
      <w:r>
        <w:rPr>
          <w:rStyle w:val="CharSectno"/>
        </w:rPr>
        <w:t>3</w:t>
      </w:r>
      <w:r>
        <w:rPr>
          <w:snapToGrid w:val="0"/>
        </w:rPr>
        <w:t>.</w:t>
      </w:r>
      <w:r>
        <w:rPr>
          <w:snapToGrid w:val="0"/>
        </w:rPr>
        <w:tab/>
      </w:r>
      <w:r>
        <w:t>Terms used</w:t>
      </w:r>
      <w:bookmarkEnd w:id="4"/>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7" w:name="_Toc404008817"/>
      <w:r>
        <w:rPr>
          <w:rStyle w:val="CharSectno"/>
        </w:rPr>
        <w:t>4</w:t>
      </w:r>
      <w:r>
        <w:rPr>
          <w:snapToGrid w:val="0"/>
        </w:rPr>
        <w:t>.</w:t>
      </w:r>
      <w:r>
        <w:rPr>
          <w:snapToGrid w:val="0"/>
        </w:rPr>
        <w:tab/>
        <w:t>Fees to be charged</w:t>
      </w:r>
      <w:bookmarkEnd w:id="7"/>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8" w:name="_Toc404008818"/>
      <w:r>
        <w:rPr>
          <w:rStyle w:val="CharSectno"/>
        </w:rPr>
        <w:t>5</w:t>
      </w:r>
      <w:r>
        <w:rPr>
          <w:snapToGrid w:val="0"/>
        </w:rPr>
        <w:t>.</w:t>
      </w:r>
      <w:r>
        <w:rPr>
          <w:snapToGrid w:val="0"/>
        </w:rPr>
        <w:tab/>
        <w:t>Exemptions</w:t>
      </w:r>
      <w:bookmarkEnd w:id="8"/>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9" w:name="_Toc404008819"/>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0" w:name="_Toc404008820"/>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1" w:name="_Toc404008821"/>
      <w:r>
        <w:rPr>
          <w:rStyle w:val="CharSectno"/>
        </w:rPr>
        <w:t>7</w:t>
      </w:r>
      <w:r>
        <w:rPr>
          <w:snapToGrid w:val="0"/>
        </w:rPr>
        <w:t>.</w:t>
      </w:r>
      <w:r>
        <w:rPr>
          <w:snapToGrid w:val="0"/>
        </w:rPr>
        <w:tab/>
        <w:t>Court or registrar may remit fees</w:t>
      </w:r>
      <w:bookmarkEnd w:id="11"/>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12" w:name="_Toc404008822"/>
      <w:r>
        <w:rPr>
          <w:rStyle w:val="CharSectno"/>
        </w:rPr>
        <w:t>8</w:t>
      </w:r>
      <w:r>
        <w:rPr>
          <w:snapToGrid w:val="0"/>
        </w:rPr>
        <w:t>.</w:t>
      </w:r>
      <w:r>
        <w:rPr>
          <w:snapToGrid w:val="0"/>
        </w:rPr>
        <w:tab/>
        <w:t>Conventions</w:t>
      </w:r>
      <w:bookmarkEnd w:id="12"/>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3" w:name="_Toc404008823"/>
      <w:r>
        <w:t>9.</w:t>
      </w:r>
      <w:r>
        <w:tab/>
        <w:t>Allocation of hearing date — Schedule 1 item 6</w:t>
      </w:r>
      <w:bookmarkEnd w:id="13"/>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14" w:name="_Toc404008824"/>
      <w:r>
        <w:rPr>
          <w:rStyle w:val="CharSectno"/>
        </w:rPr>
        <w:t>10</w:t>
      </w:r>
      <w:r>
        <w:t>.</w:t>
      </w:r>
      <w:r>
        <w:tab/>
        <w:t>Schedule 1 item 7 fee</w:t>
      </w:r>
      <w:bookmarkEnd w:id="14"/>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15" w:name="_Toc404008825"/>
      <w:r>
        <w:t>11.</w:t>
      </w:r>
      <w:r>
        <w:tab/>
        <w:t>Recovery of unpaid fees</w:t>
      </w:r>
      <w:bookmarkEnd w:id="15"/>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16" w:name="_Toc404008826"/>
      <w:r>
        <w:t>11A.</w:t>
      </w:r>
      <w:r>
        <w:tab/>
        <w:t>Searchable information</w:t>
      </w:r>
      <w:bookmarkEnd w:id="16"/>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17" w:name="_Toc404008827"/>
      <w:r>
        <w:rPr>
          <w:rStyle w:val="CharSectno"/>
        </w:rPr>
        <w:t>12</w:t>
      </w:r>
      <w:r>
        <w:t>.</w:t>
      </w:r>
      <w:r>
        <w:tab/>
        <w:t>Transitional</w:t>
      </w:r>
      <w:bookmarkEnd w:id="17"/>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8" w:name="_Toc402166230"/>
      <w:bookmarkStart w:id="19" w:name="_Toc404008828"/>
      <w:r>
        <w:rPr>
          <w:rStyle w:val="CharSchNo"/>
        </w:rPr>
        <w:t>Schedule 1</w:t>
      </w:r>
      <w:r>
        <w:t xml:space="preserve"> —</w:t>
      </w:r>
      <w:bookmarkStart w:id="20" w:name="AutoSch"/>
      <w:bookmarkEnd w:id="20"/>
      <w:r>
        <w:t xml:space="preserve"> </w:t>
      </w:r>
      <w:r>
        <w:rPr>
          <w:rStyle w:val="CharSchText"/>
        </w:rPr>
        <w:t>Registry fees</w:t>
      </w:r>
      <w:bookmarkEnd w:id="18"/>
      <w:bookmarkEnd w:id="19"/>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zyTableNAm"/>
              <w:tabs>
                <w:tab w:val="clear" w:pos="567"/>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spacing w:before="100"/>
              <w:ind w:right="228"/>
              <w:jc w:val="right"/>
              <w:rPr>
                <w:szCs w:val="22"/>
              </w:rPr>
            </w:pPr>
            <w:r>
              <w:rPr>
                <w:szCs w:val="22"/>
              </w:rPr>
              <w:t>645.00</w:t>
            </w:r>
          </w:p>
        </w:tc>
        <w:tc>
          <w:tcPr>
            <w:tcW w:w="1233" w:type="dxa"/>
            <w:vAlign w:val="bottom"/>
          </w:tcPr>
          <w:p>
            <w:pPr>
              <w:pStyle w:val="yTableNAm"/>
              <w:tabs>
                <w:tab w:val="clear" w:pos="567"/>
              </w:tabs>
              <w:spacing w:before="100"/>
              <w:ind w:right="132"/>
              <w:jc w:val="right"/>
              <w:rPr>
                <w:szCs w:val="22"/>
              </w:rPr>
            </w:pPr>
            <w:r>
              <w:rPr>
                <w:szCs w:val="22"/>
              </w:rPr>
              <w:t>1 258.00</w:t>
            </w:r>
          </w:p>
        </w:tc>
      </w:tr>
      <w:tr>
        <w:trPr>
          <w:cantSplit/>
        </w:trPr>
        <w:tc>
          <w:tcPr>
            <w:tcW w:w="673" w:type="dxa"/>
          </w:tcPr>
          <w:p>
            <w:pPr>
              <w:pStyle w:val="yTableNAm"/>
              <w:spacing w:before="100"/>
              <w:rPr>
                <w:szCs w:val="22"/>
              </w:rPr>
            </w:pPr>
            <w:r>
              <w:rPr>
                <w:szCs w:val="22"/>
              </w:rPr>
              <w:t>2A.</w:t>
            </w:r>
          </w:p>
        </w:tc>
        <w:tc>
          <w:tcPr>
            <w:tcW w:w="4004" w:type="dxa"/>
          </w:tcPr>
          <w:p>
            <w:pPr>
              <w:pStyle w:val="zyTableNAm"/>
              <w:tabs>
                <w:tab w:val="clear" w:pos="567"/>
                <w:tab w:val="right" w:leader="dot" w:pos="3788"/>
              </w:tabs>
              <w:spacing w:before="100"/>
              <w:rPr>
                <w:szCs w:val="22"/>
              </w:rPr>
            </w:pPr>
            <w:r>
              <w:rPr>
                <w:szCs w:val="22"/>
              </w:rPr>
              <w:t xml:space="preserve">On filing an application for an extraordinary licence under the </w:t>
            </w:r>
            <w:r>
              <w:rPr>
                <w:i/>
                <w:szCs w:val="22"/>
              </w:rPr>
              <w:t>Road Traffic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spacing w:before="100"/>
              <w:ind w:right="228"/>
              <w:jc w:val="right"/>
              <w:rPr>
                <w:sz w:val="22"/>
                <w:szCs w:val="22"/>
              </w:rPr>
            </w:pPr>
            <w:r>
              <w:rPr>
                <w:sz w:val="22"/>
              </w:rPr>
              <w:t>162.50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zyTableNAm"/>
              <w:tabs>
                <w:tab w:val="clear" w:pos="567"/>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spacing w:before="100"/>
              <w:ind w:right="228"/>
              <w:jc w:val="right"/>
              <w:rPr>
                <w:szCs w:val="22"/>
              </w:rPr>
            </w:pPr>
            <w:r>
              <w:t>94.00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yTableNAm"/>
              <w:spacing w:before="100"/>
              <w:rPr>
                <w:szCs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(a)</w:t>
            </w:r>
            <w:r>
              <w:rPr>
                <w:szCs w:val="22"/>
              </w:rPr>
              <w:tab/>
              <w:t xml:space="preserve">a counterclaim </w:t>
            </w:r>
            <w:r>
              <w:rPr>
                <w:szCs w:val="22"/>
              </w:rPr>
              <w:tab/>
            </w:r>
          </w:p>
        </w:tc>
        <w:tc>
          <w:tcPr>
            <w:tcW w:w="1299" w:type="dxa"/>
          </w:tcPr>
          <w:p>
            <w:pPr>
              <w:pStyle w:val="yTableNAm"/>
              <w:tabs>
                <w:tab w:val="clear" w:pos="567"/>
              </w:tabs>
              <w:spacing w:before="60"/>
              <w:ind w:right="228"/>
              <w:jc w:val="right"/>
              <w:rPr>
                <w:szCs w:val="22"/>
              </w:rPr>
            </w:pPr>
            <w:r>
              <w:t>645.00</w:t>
            </w:r>
          </w:p>
        </w:tc>
        <w:tc>
          <w:tcPr>
            <w:tcW w:w="1233" w:type="dxa"/>
          </w:tcPr>
          <w:p>
            <w:pPr>
              <w:pStyle w:val="yTableNAm"/>
              <w:tabs>
                <w:tab w:val="clear" w:pos="567"/>
              </w:tabs>
              <w:spacing w:before="60"/>
              <w:ind w:right="132"/>
              <w:jc w:val="right"/>
              <w:rPr>
                <w:szCs w:val="22"/>
              </w:rPr>
            </w:pPr>
            <w:r>
              <w:t>1 258.00</w:t>
            </w:r>
          </w:p>
        </w:tc>
      </w:tr>
      <w:tr>
        <w:trPr>
          <w:cantSplit/>
        </w:trP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spacing w:before="60"/>
              <w:ind w:right="228"/>
              <w:jc w:val="right"/>
              <w:rPr>
                <w:szCs w:val="22"/>
              </w:rPr>
            </w:pPr>
            <w:r>
              <w:t>645.00</w:t>
            </w:r>
          </w:p>
        </w:tc>
        <w:tc>
          <w:tcPr>
            <w:tcW w:w="1233" w:type="dxa"/>
          </w:tcPr>
          <w:p>
            <w:pPr>
              <w:pStyle w:val="yTableNAm"/>
              <w:tabs>
                <w:tab w:val="clear" w:pos="567"/>
              </w:tabs>
              <w:spacing w:before="60"/>
              <w:ind w:right="132"/>
              <w:jc w:val="right"/>
              <w:rPr>
                <w:szCs w:val="22"/>
              </w:rPr>
            </w:pPr>
            <w:r>
              <w:t>1 258.00</w:t>
            </w:r>
          </w:p>
        </w:tc>
      </w:tr>
      <w:t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spacing w:before="60"/>
              <w:ind w:right="228"/>
              <w:jc w:val="right"/>
              <w:rPr>
                <w:szCs w:val="22"/>
              </w:rPr>
            </w:pPr>
            <w:r>
              <w:t>243.00</w:t>
            </w:r>
          </w:p>
        </w:tc>
        <w:tc>
          <w:tcPr>
            <w:tcW w:w="1233" w:type="dxa"/>
            <w:vAlign w:val="bottom"/>
          </w:tcPr>
          <w:p>
            <w:pPr>
              <w:pStyle w:val="yTableNAm"/>
              <w:tabs>
                <w:tab w:val="clear" w:pos="567"/>
              </w:tabs>
              <w:spacing w:before="60"/>
              <w:ind w:right="132"/>
              <w:jc w:val="right"/>
              <w:rPr>
                <w:szCs w:val="22"/>
              </w:rPr>
            </w:pPr>
            <w:r>
              <w:t>418.00</w:t>
            </w:r>
          </w:p>
        </w:tc>
      </w:tr>
      <w:tr>
        <w:trPr>
          <w:cantSplit/>
        </w:trPr>
        <w:tc>
          <w:tcPr>
            <w:tcW w:w="673" w:type="dxa"/>
          </w:tcPr>
          <w:p>
            <w:pPr>
              <w:pStyle w:val="yTableNAm"/>
              <w:keepNext/>
              <w:keepLines/>
              <w:rPr>
                <w:szCs w:val="22"/>
              </w:rPr>
            </w:pPr>
          </w:p>
        </w:tc>
        <w:tc>
          <w:tcPr>
            <w:tcW w:w="4004" w:type="dxa"/>
          </w:tcPr>
          <w:p>
            <w:pPr>
              <w:pStyle w:val="zyTableNAm"/>
              <w:tabs>
                <w:tab w:val="clear" w:pos="567"/>
                <w:tab w:val="left" w:pos="510"/>
                <w:tab w:val="right" w:leader="dot" w:pos="3788"/>
              </w:tabs>
              <w:ind w:left="510" w:hanging="510"/>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243.00</w:t>
            </w:r>
          </w:p>
        </w:tc>
        <w:tc>
          <w:tcPr>
            <w:tcW w:w="1233" w:type="dxa"/>
            <w:vAlign w:val="bottom"/>
          </w:tcPr>
          <w:p>
            <w:pPr>
              <w:pStyle w:val="yTableNAm"/>
              <w:keepNext/>
              <w:keepLines/>
              <w:tabs>
                <w:tab w:val="clear" w:pos="567"/>
              </w:tabs>
              <w:ind w:right="132"/>
              <w:jc w:val="right"/>
              <w:rPr>
                <w:szCs w:val="22"/>
              </w:rPr>
            </w:pPr>
            <w:r>
              <w:t>418.00</w:t>
            </w:r>
          </w:p>
        </w:tc>
      </w:tr>
      <w:tr>
        <w:trPr>
          <w:cantSplit/>
        </w:trPr>
        <w:tc>
          <w:tcPr>
            <w:tcW w:w="673" w:type="dxa"/>
          </w:tcPr>
          <w:p>
            <w:pPr>
              <w:pStyle w:val="yTableNAm"/>
              <w:rPr>
                <w:szCs w:val="22"/>
              </w:rPr>
            </w:pPr>
            <w:r>
              <w:rPr>
                <w:szCs w:val="22"/>
              </w:rPr>
              <w:t>3.</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365.00</w:t>
            </w:r>
          </w:p>
        </w:tc>
        <w:tc>
          <w:tcPr>
            <w:tcW w:w="1233" w:type="dxa"/>
            <w:vAlign w:val="bottom"/>
          </w:tcPr>
          <w:p>
            <w:pPr>
              <w:pStyle w:val="yTableNAm"/>
              <w:tabs>
                <w:tab w:val="clear" w:pos="567"/>
              </w:tabs>
              <w:ind w:right="132"/>
              <w:jc w:val="right"/>
            </w:pPr>
            <w:r>
              <w:t>945.00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r>
              <w:t>283.00</w:t>
            </w:r>
          </w:p>
        </w:tc>
        <w:tc>
          <w:tcPr>
            <w:tcW w:w="1233" w:type="dxa"/>
            <w:vAlign w:val="bottom"/>
          </w:tcPr>
          <w:p>
            <w:pPr>
              <w:pStyle w:val="yTableNAm"/>
              <w:tabs>
                <w:tab w:val="clear" w:pos="567"/>
              </w:tabs>
              <w:ind w:right="132"/>
              <w:jc w:val="right"/>
            </w:pPr>
            <w:r>
              <w:t>737.00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zyTableNAm"/>
              <w:tabs>
                <w:tab w:val="clear" w:pos="567"/>
                <w:tab w:val="right" w:leader="dot" w:pos="3788"/>
              </w:tabs>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r>
              <w:t>645.00</w:t>
            </w:r>
          </w:p>
        </w:tc>
        <w:tc>
          <w:tcPr>
            <w:tcW w:w="1233" w:type="dxa"/>
            <w:vAlign w:val="bottom"/>
          </w:tcPr>
          <w:p>
            <w:pPr>
              <w:pStyle w:val="yTableNAm"/>
              <w:tabs>
                <w:tab w:val="clear" w:pos="567"/>
              </w:tabs>
              <w:ind w:right="132"/>
              <w:jc w:val="right"/>
              <w:rPr>
                <w:szCs w:val="22"/>
              </w:rPr>
            </w:pPr>
            <w:r>
              <w:t>1 258.00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zyTableNAm"/>
              <w:tabs>
                <w:tab w:val="clear" w:pos="567"/>
                <w:tab w:val="right" w:leader="dot" w:pos="3788"/>
              </w:tabs>
              <w:rPr>
                <w:szCs w:val="22"/>
              </w:rPr>
            </w:pPr>
            <w:r>
              <w:rPr>
                <w:szCs w:val="22"/>
              </w:rPr>
              <w:t xml:space="preserve">Allocation of hearing date, for each day allocated </w:t>
            </w:r>
            <w:r>
              <w:rPr>
                <w:szCs w:val="22"/>
              </w:rPr>
              <w:tab/>
            </w:r>
          </w:p>
        </w:tc>
        <w:tc>
          <w:tcPr>
            <w:tcW w:w="1299" w:type="dxa"/>
            <w:vAlign w:val="bottom"/>
          </w:tcPr>
          <w:p>
            <w:pPr>
              <w:pStyle w:val="zyTableNAm"/>
              <w:tabs>
                <w:tab w:val="clear" w:pos="567"/>
                <w:tab w:val="left" w:pos="819"/>
              </w:tabs>
              <w:ind w:right="228"/>
              <w:jc w:val="right"/>
              <w:rPr>
                <w:szCs w:val="22"/>
              </w:rPr>
            </w:pPr>
            <w:r>
              <w:t>566.00</w:t>
            </w:r>
          </w:p>
        </w:tc>
        <w:tc>
          <w:tcPr>
            <w:tcW w:w="1233" w:type="dxa"/>
            <w:vAlign w:val="bottom"/>
          </w:tcPr>
          <w:p>
            <w:pPr>
              <w:pStyle w:val="zTableNAm"/>
              <w:tabs>
                <w:tab w:val="clear" w:pos="567"/>
              </w:tabs>
              <w:ind w:right="132"/>
              <w:jc w:val="right"/>
              <w:rPr>
                <w:sz w:val="22"/>
                <w:szCs w:val="22"/>
              </w:rPr>
            </w:pPr>
            <w:r>
              <w:rPr>
                <w:sz w:val="22"/>
                <w:szCs w:val="22"/>
              </w:rPr>
              <w:t>1 473.00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clear" w:pos="567"/>
                <w:tab w:val="right" w:leader="dot" w:pos="3788"/>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t>566.00</w:t>
            </w:r>
          </w:p>
        </w:tc>
        <w:tc>
          <w:tcPr>
            <w:tcW w:w="1233" w:type="dxa"/>
            <w:vAlign w:val="bottom"/>
          </w:tcPr>
          <w:p>
            <w:pPr>
              <w:pStyle w:val="yTableNAm"/>
              <w:tabs>
                <w:tab w:val="clear" w:pos="567"/>
              </w:tabs>
              <w:ind w:right="132"/>
              <w:jc w:val="right"/>
              <w:rPr>
                <w:szCs w:val="22"/>
              </w:rPr>
            </w:pPr>
            <w:r>
              <w:t>1 473.00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keepNext/>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zyTableNAm"/>
              <w:tabs>
                <w:tab w:val="clear" w:pos="567"/>
                <w:tab w:val="left" w:pos="510"/>
                <w:tab w:val="right" w:leader="dot" w:pos="3788"/>
              </w:tabs>
              <w:ind w:left="510" w:hanging="510"/>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zyTableNAm"/>
              <w:tabs>
                <w:tab w:val="clear" w:pos="567"/>
                <w:tab w:val="left" w:pos="510"/>
                <w:tab w:val="right" w:leader="dot" w:pos="3788"/>
              </w:tabs>
              <w:ind w:left="510" w:hanging="510"/>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zyTableNAm"/>
              <w:tabs>
                <w:tab w:val="clear" w:pos="567"/>
                <w:tab w:val="right" w:leader="dot" w:pos="3788"/>
              </w:tabs>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r>
              <w:t>161.50</w:t>
            </w:r>
          </w:p>
        </w:tc>
        <w:tc>
          <w:tcPr>
            <w:tcW w:w="1233" w:type="dxa"/>
            <w:vAlign w:val="bottom"/>
          </w:tcPr>
          <w:p>
            <w:pPr>
              <w:pStyle w:val="yTableNAm"/>
              <w:keepNext/>
              <w:tabs>
                <w:tab w:val="clear" w:pos="567"/>
              </w:tabs>
              <w:ind w:right="132"/>
              <w:jc w:val="right"/>
              <w:rPr>
                <w:szCs w:val="22"/>
              </w:rPr>
            </w:pPr>
            <w:r>
              <w:t>315.00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i/>
                <w:szCs w:val="22"/>
              </w:rPr>
              <w:t xml:space="preserve"> </w:t>
            </w:r>
            <w:r>
              <w:rPr>
                <w:szCs w:val="22"/>
              </w:rPr>
              <w:t xml:space="preserve">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r>
              <w:t>161.50</w:t>
            </w:r>
          </w:p>
        </w:tc>
        <w:tc>
          <w:tcPr>
            <w:tcW w:w="1233" w:type="dxa"/>
            <w:vAlign w:val="bottom"/>
          </w:tcPr>
          <w:p>
            <w:pPr>
              <w:pStyle w:val="yTableNAm"/>
              <w:tabs>
                <w:tab w:val="clear" w:pos="567"/>
              </w:tabs>
              <w:ind w:right="132"/>
              <w:jc w:val="right"/>
              <w:rPr>
                <w:szCs w:val="22"/>
              </w:rPr>
            </w:pPr>
            <w:r>
              <w:t>315.00</w:t>
            </w:r>
          </w:p>
        </w:tc>
      </w:tr>
      <w:tr>
        <w:trPr>
          <w:cantSplit/>
        </w:trPr>
        <w:tc>
          <w:tcPr>
            <w:tcW w:w="673" w:type="dxa"/>
          </w:tcPr>
          <w:p>
            <w:pPr>
              <w:pStyle w:val="yTableNAm"/>
              <w:keepNext/>
              <w:keepLines/>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zyTableNAm"/>
              <w:tabs>
                <w:tab w:val="clear" w:pos="567"/>
                <w:tab w:val="left" w:pos="510"/>
                <w:tab w:val="right" w:leader="dot" w:pos="3788"/>
              </w:tabs>
              <w:ind w:left="510" w:hanging="510"/>
              <w:rPr>
                <w:szCs w:val="22"/>
              </w:rPr>
            </w:pPr>
            <w:r>
              <w:rPr>
                <w:szCs w:val="22"/>
              </w:rPr>
              <w:t>(a)</w:t>
            </w:r>
            <w:r>
              <w:rPr>
                <w:szCs w:val="22"/>
              </w:rPr>
              <w:tab/>
              <w:t>if the appointment is cancelled less than 3 days before the day of the appointment, nil;</w:t>
            </w:r>
          </w:p>
          <w:p>
            <w:pPr>
              <w:pStyle w:val="zyTableNAm"/>
              <w:tabs>
                <w:tab w:val="clear" w:pos="567"/>
                <w:tab w:val="left" w:pos="510"/>
                <w:tab w:val="right" w:leader="dot" w:pos="3788"/>
              </w:tabs>
              <w:ind w:left="510" w:hanging="510"/>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zyTableNAm"/>
              <w:tabs>
                <w:tab w:val="clear" w:pos="567"/>
                <w:tab w:val="right" w:leader="dot" w:pos="3788"/>
              </w:tabs>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r>
              <w:t>32.70</w:t>
            </w:r>
          </w:p>
        </w:tc>
        <w:tc>
          <w:tcPr>
            <w:tcW w:w="1233" w:type="dxa"/>
            <w:vAlign w:val="bottom"/>
          </w:tcPr>
          <w:p>
            <w:pPr>
              <w:pStyle w:val="yTableNAm"/>
              <w:tabs>
                <w:tab w:val="clear" w:pos="567"/>
              </w:tabs>
              <w:ind w:right="132"/>
              <w:jc w:val="right"/>
              <w:rPr>
                <w:szCs w:val="22"/>
              </w:rPr>
            </w:pPr>
            <w:r>
              <w:t>32.70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zyTableNAm"/>
              <w:tabs>
                <w:tab w:val="clear" w:pos="567"/>
                <w:tab w:val="left" w:pos="510"/>
                <w:tab w:val="right" w:leader="dot" w:pos="3788"/>
              </w:tabs>
              <w:ind w:left="510" w:hanging="510"/>
              <w:rPr>
                <w:szCs w:val="22"/>
              </w:rPr>
            </w:pPr>
            <w:r>
              <w:rPr>
                <w:szCs w:val="22"/>
              </w:rPr>
              <w:t>(a)</w:t>
            </w:r>
            <w:r>
              <w:rPr>
                <w:szCs w:val="22"/>
              </w:rPr>
              <w:tab/>
              <w:t>by or on behalf of a party to the proceedings; or</w:t>
            </w:r>
          </w:p>
          <w:p>
            <w:pPr>
              <w:pStyle w:val="zyTableNAm"/>
              <w:tabs>
                <w:tab w:val="clear" w:pos="567"/>
                <w:tab w:val="left" w:pos="510"/>
                <w:tab w:val="right" w:leader="dot" w:pos="3788"/>
              </w:tabs>
              <w:ind w:left="510" w:hanging="510"/>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keepNext/>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t>1.45</w:t>
            </w:r>
          </w:p>
        </w:tc>
        <w:tc>
          <w:tcPr>
            <w:tcW w:w="1233" w:type="dxa"/>
            <w:vAlign w:val="bottom"/>
          </w:tcPr>
          <w:p>
            <w:pPr>
              <w:pStyle w:val="yTableNAm"/>
              <w:tabs>
                <w:tab w:val="clear" w:pos="567"/>
              </w:tabs>
              <w:ind w:right="132"/>
              <w:jc w:val="right"/>
              <w:rPr>
                <w:b/>
                <w:szCs w:val="22"/>
              </w:rPr>
            </w:pPr>
            <w:r>
              <w:t>1.45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t>1 483.00</w:t>
            </w:r>
          </w:p>
        </w:tc>
        <w:tc>
          <w:tcPr>
            <w:tcW w:w="1233" w:type="dxa"/>
            <w:vAlign w:val="bottom"/>
          </w:tcPr>
          <w:p>
            <w:pPr>
              <w:pStyle w:val="yTableNAm"/>
              <w:tabs>
                <w:tab w:val="clear" w:pos="567"/>
              </w:tabs>
              <w:ind w:right="132"/>
              <w:jc w:val="right"/>
              <w:rPr>
                <w:szCs w:val="22"/>
              </w:rPr>
            </w:pPr>
            <w:r>
              <w:t>1 483.00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r>
              <w:t>48.10</w:t>
            </w:r>
          </w:p>
        </w:tc>
        <w:tc>
          <w:tcPr>
            <w:tcW w:w="1233" w:type="dxa"/>
            <w:vAlign w:val="bottom"/>
          </w:tcPr>
          <w:p>
            <w:pPr>
              <w:pStyle w:val="yTableNAm"/>
              <w:tabs>
                <w:tab w:val="clear" w:pos="567"/>
              </w:tabs>
              <w:ind w:right="132"/>
              <w:jc w:val="right"/>
              <w:rPr>
                <w:szCs w:val="22"/>
              </w:rPr>
            </w:pPr>
            <w:r>
              <w:t>48.10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r>
              <w:t>81.00</w:t>
            </w:r>
          </w:p>
        </w:tc>
        <w:tc>
          <w:tcPr>
            <w:tcW w:w="1233" w:type="dxa"/>
            <w:vAlign w:val="bottom"/>
          </w:tcPr>
          <w:p>
            <w:pPr>
              <w:pStyle w:val="yTableNAm"/>
              <w:tabs>
                <w:tab w:val="clear" w:pos="567"/>
              </w:tabs>
              <w:ind w:right="132"/>
              <w:jc w:val="right"/>
              <w:rPr>
                <w:szCs w:val="22"/>
              </w:rPr>
            </w:pPr>
            <w:r>
              <w:t>81.00</w:t>
            </w:r>
          </w:p>
        </w:tc>
      </w:tr>
      <w:tr>
        <w:trPr>
          <w:cantSplit/>
        </w:trPr>
        <w:tc>
          <w:tcPr>
            <w:tcW w:w="673" w:type="dxa"/>
          </w:tcPr>
          <w:p>
            <w:pPr>
              <w:pStyle w:val="yTableNAm"/>
              <w:rPr>
                <w:szCs w:val="22"/>
              </w:rPr>
            </w:pPr>
            <w:r>
              <w:rPr>
                <w:szCs w:val="22"/>
              </w:rPr>
              <w:t>13.</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228"/>
              <w:jc w:val="right"/>
              <w:rPr>
                <w:szCs w:val="22"/>
              </w:rPr>
            </w:pPr>
            <w:r>
              <w:rPr>
                <w:szCs w:val="22"/>
              </w:rPr>
              <w:br/>
            </w:r>
            <w:r>
              <w:rPr>
                <w:szCs w:val="22"/>
              </w:rPr>
              <w:br/>
            </w:r>
            <w:r>
              <w:t>1.45</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132"/>
              <w:jc w:val="right"/>
              <w:rPr>
                <w:szCs w:val="22"/>
              </w:rPr>
            </w:pPr>
            <w:r>
              <w:rPr>
                <w:szCs w:val="22"/>
              </w:rPr>
              <w:br/>
            </w:r>
            <w:r>
              <w:rPr>
                <w:szCs w:val="22"/>
              </w:rPr>
              <w:br/>
            </w:r>
            <w:r>
              <w:t>1.45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r>
              <w:t>34.00</w:t>
            </w:r>
          </w:p>
        </w:tc>
        <w:tc>
          <w:tcPr>
            <w:tcW w:w="1233" w:type="dxa"/>
            <w:vAlign w:val="bottom"/>
          </w:tcPr>
          <w:p>
            <w:pPr>
              <w:pStyle w:val="yTableNAm"/>
              <w:tabs>
                <w:tab w:val="clear" w:pos="567"/>
              </w:tabs>
              <w:ind w:right="132"/>
              <w:jc w:val="right"/>
              <w:rPr>
                <w:szCs w:val="22"/>
              </w:rPr>
            </w:pPr>
            <w:r>
              <w:t>34.00</w:t>
            </w:r>
          </w:p>
        </w:tc>
      </w:tr>
      <w:tr>
        <w:trPr>
          <w:cantSplit/>
        </w:trPr>
        <w:tc>
          <w:tcPr>
            <w:tcW w:w="673" w:type="dxa"/>
          </w:tcPr>
          <w:p>
            <w:pPr>
              <w:pStyle w:val="yTableNAm"/>
              <w:rPr>
                <w:szCs w:val="22"/>
              </w:rPr>
            </w:pPr>
            <w:r>
              <w:rPr>
                <w:szCs w:val="22"/>
              </w:rPr>
              <w:t>14.</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r>
              <w:t>6.35</w:t>
            </w:r>
          </w:p>
        </w:tc>
        <w:tc>
          <w:tcPr>
            <w:tcW w:w="1233" w:type="dxa"/>
            <w:vAlign w:val="bottom"/>
          </w:tcPr>
          <w:p>
            <w:pPr>
              <w:pStyle w:val="yTableNAm"/>
              <w:tabs>
                <w:tab w:val="clear" w:pos="567"/>
              </w:tabs>
              <w:ind w:right="132"/>
              <w:jc w:val="right"/>
              <w:rPr>
                <w:szCs w:val="22"/>
              </w:rPr>
            </w:pPr>
            <w:r>
              <w:t>6.35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r>
              <w:rPr>
                <w:szCs w:val="22"/>
              </w:rPr>
              <w:tab/>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w:t>
      </w:r>
    </w:p>
    <w:p>
      <w:pPr>
        <w:pStyle w:val="yScheduleHeading"/>
      </w:pPr>
      <w:bookmarkStart w:id="21" w:name="_Toc402166231"/>
      <w:bookmarkStart w:id="22" w:name="_Toc404008829"/>
      <w:r>
        <w:rPr>
          <w:rStyle w:val="CharSchNo"/>
        </w:rPr>
        <w:t>Schedule 2</w:t>
      </w:r>
      <w:r>
        <w:t> — </w:t>
      </w:r>
      <w:r>
        <w:rPr>
          <w:rStyle w:val="CharSchText"/>
        </w:rPr>
        <w:t>Sheriff’s fees</w:t>
      </w:r>
      <w:bookmarkEnd w:id="21"/>
      <w:bookmarkEnd w:id="22"/>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r>
              <w:rPr>
                <w:szCs w:val="22"/>
              </w:rPr>
              <w:t>27.20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56.50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1.45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1.60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r>
              <w:rPr>
                <w:szCs w:val="22"/>
              </w:rPr>
              <w:t>54.50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rPr>
                <w:szCs w:val="22"/>
              </w:rPr>
              <w:t>174.50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23" w:name="_Toc402166232"/>
      <w:bookmarkStart w:id="24" w:name="_Toc404008830"/>
      <w:r>
        <w:rPr>
          <w:rStyle w:val="CharSchNo"/>
        </w:rPr>
        <w:t>Schedule 3</w:t>
      </w:r>
      <w:r>
        <w:t xml:space="preserve"> — </w:t>
      </w:r>
      <w:r>
        <w:rPr>
          <w:rStyle w:val="CharSchText"/>
        </w:rPr>
        <w:t>Forms</w:t>
      </w:r>
      <w:bookmarkEnd w:id="23"/>
      <w:bookmarkEnd w:id="24"/>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25" w:name="_Toc402166233"/>
      <w:bookmarkStart w:id="26" w:name="_Toc404008831"/>
      <w:r>
        <w:t>Notes</w:t>
      </w:r>
      <w:bookmarkEnd w:id="25"/>
      <w:bookmarkEnd w:id="26"/>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7" w:name="_Toc404008832"/>
      <w:r>
        <w:t>Compilation table</w:t>
      </w:r>
      <w:bookmarkEnd w:id="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4" w:type="dxa"/>
            <w:tcBorders>
              <w:top w:val="single" w:sz="8" w:space="0" w:color="auto"/>
            </w:tcBorders>
          </w:tcPr>
          <w:p>
            <w:pPr>
              <w:pStyle w:val="nTable"/>
              <w:spacing w:after="40"/>
              <w:rPr>
                <w:sz w:val="19"/>
              </w:rPr>
            </w:pPr>
            <w:r>
              <w:rPr>
                <w:sz w:val="19"/>
              </w:rPr>
              <w:t>1 Jan 2002 (see r. 2)</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4"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8"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4" w:type="dxa"/>
          </w:tcPr>
          <w:p>
            <w:pPr>
              <w:pStyle w:val="nTable"/>
              <w:spacing w:after="40"/>
              <w:rPr>
                <w:sz w:val="19"/>
              </w:rPr>
            </w:pPr>
            <w:r>
              <w:rPr>
                <w:sz w:val="19"/>
              </w:rPr>
              <w:t>1 Jan 2004 (see r. 2)</w:t>
            </w:r>
          </w:p>
        </w:tc>
      </w:tr>
      <w:tr>
        <w:tc>
          <w:tcPr>
            <w:tcW w:w="3118" w:type="dxa"/>
          </w:tcPr>
          <w:p>
            <w:pPr>
              <w:pStyle w:val="nTable"/>
              <w:spacing w:after="40"/>
              <w:rPr>
                <w:i/>
                <w:sz w:val="19"/>
              </w:rPr>
            </w:pPr>
            <w:r>
              <w:rPr>
                <w:i/>
                <w:sz w:val="19"/>
              </w:rPr>
              <w:t>District Court (Fees) Amendment Regulations 2005</w:t>
            </w:r>
            <w:r>
              <w:rPr>
                <w:sz w:val="19"/>
              </w:rPr>
              <w:t> </w:t>
            </w:r>
            <w:r>
              <w:rPr>
                <w:iCs/>
                <w:sz w:val="19"/>
                <w:vertAlign w:val="superscript"/>
              </w:rPr>
              <w:t>5</w:t>
            </w:r>
          </w:p>
        </w:tc>
        <w:tc>
          <w:tcPr>
            <w:tcW w:w="1276" w:type="dxa"/>
          </w:tcPr>
          <w:p>
            <w:pPr>
              <w:pStyle w:val="nTable"/>
              <w:spacing w:after="40"/>
              <w:rPr>
                <w:sz w:val="19"/>
              </w:rPr>
            </w:pPr>
            <w:r>
              <w:rPr>
                <w:sz w:val="19"/>
              </w:rPr>
              <w:t>28 Apr 2005 p. 1751</w:t>
            </w:r>
            <w:r>
              <w:rPr>
                <w:sz w:val="19"/>
              </w:rPr>
              <w:noBreakHyphen/>
              <w:t>7</w:t>
            </w:r>
          </w:p>
        </w:tc>
        <w:tc>
          <w:tcPr>
            <w:tcW w:w="2694"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4"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4"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8"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4"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4" w:type="dxa"/>
          </w:tcPr>
          <w:p>
            <w:pPr>
              <w:pStyle w:val="nTable"/>
              <w:spacing w:after="40"/>
              <w:rPr>
                <w:sz w:val="19"/>
              </w:rPr>
            </w:pPr>
            <w:r>
              <w:rPr>
                <w:sz w:val="19"/>
              </w:rPr>
              <w:t>r. 1 and 2: 27 Jun 2008 (see r. 2(a));</w:t>
            </w:r>
            <w:r>
              <w:rPr>
                <w:sz w:val="19"/>
              </w:rPr>
              <w:br/>
              <w:t>Regulations other than r. 1 and 2: 1 Jul 2008 (see r. 2(b))</w:t>
            </w:r>
          </w:p>
        </w:tc>
      </w:tr>
      <w:tr>
        <w:tc>
          <w:tcPr>
            <w:tcW w:w="3118"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4" w:type="dxa"/>
          </w:tcPr>
          <w:p>
            <w:pPr>
              <w:pStyle w:val="nTable"/>
              <w:spacing w:after="40"/>
              <w:rPr>
                <w:sz w:val="19"/>
              </w:rPr>
            </w:pPr>
            <w:r>
              <w:rPr>
                <w:snapToGrid w:val="0"/>
                <w:sz w:val="19"/>
              </w:rPr>
              <w:t>r. 1 and 2: 9 Jun 2009 (see r. 2(a));</w:t>
            </w:r>
            <w:r>
              <w:rPr>
                <w:snapToGrid w:val="0"/>
                <w:sz w:val="19"/>
              </w:rPr>
              <w:br/>
              <w:t>Regulations other than r. 1 and 2: 10 Jun 2009 (see r. 2(b))</w:t>
            </w:r>
          </w:p>
        </w:tc>
      </w:tr>
      <w:tr>
        <w:tc>
          <w:tcPr>
            <w:tcW w:w="3118"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4" w:type="dxa"/>
          </w:tcPr>
          <w:p>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trPr>
          <w:cantSplit/>
        </w:trPr>
        <w:tc>
          <w:tcPr>
            <w:tcW w:w="7088" w:type="dxa"/>
            <w:gridSpan w:val="3"/>
          </w:tcPr>
          <w:p>
            <w:pPr>
              <w:pStyle w:val="nTable"/>
              <w:spacing w:after="40"/>
              <w:rPr>
                <w:snapToGrid w:val="0"/>
                <w:sz w:val="19"/>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8" w:type="dxa"/>
          </w:tcPr>
          <w:p>
            <w:pPr>
              <w:pStyle w:val="nTable"/>
              <w:keepNext/>
              <w:keepLines/>
              <w:spacing w:after="40"/>
              <w:rPr>
                <w:i/>
                <w:sz w:val="19"/>
              </w:rPr>
            </w:pPr>
            <w:r>
              <w:rPr>
                <w:i/>
                <w:sz w:val="19"/>
              </w:rPr>
              <w:t>District Court (Fees) Amendment Regulations 2010</w:t>
            </w:r>
          </w:p>
        </w:tc>
        <w:tc>
          <w:tcPr>
            <w:tcW w:w="1276" w:type="dxa"/>
          </w:tcPr>
          <w:p>
            <w:pPr>
              <w:pStyle w:val="nTable"/>
              <w:spacing w:after="40"/>
              <w:rPr>
                <w:sz w:val="19"/>
              </w:rPr>
            </w:pPr>
            <w:r>
              <w:rPr>
                <w:sz w:val="19"/>
              </w:rPr>
              <w:t>30 Jul 2010 p. 3497-8</w:t>
            </w:r>
          </w:p>
        </w:tc>
        <w:tc>
          <w:tcPr>
            <w:tcW w:w="2694" w:type="dxa"/>
          </w:tcPr>
          <w:p>
            <w:pPr>
              <w:pStyle w:val="nTable"/>
              <w:spacing w:after="40"/>
              <w:rPr>
                <w:snapToGrid w:val="0"/>
                <w:sz w:val="19"/>
              </w:rPr>
            </w:pPr>
            <w:r>
              <w:rPr>
                <w:snapToGrid w:val="0"/>
                <w:sz w:val="19"/>
              </w:rPr>
              <w:t>r. 1 and 2: 30 Jul 2010 (see r. 2(a));</w:t>
            </w:r>
            <w:r>
              <w:rPr>
                <w:snapToGrid w:val="0"/>
                <w:sz w:val="19"/>
              </w:rPr>
              <w:br/>
              <w:t>Regulations other than r. 1 and 2: 31 Jul 2010 (see r. 2(b))</w:t>
            </w:r>
          </w:p>
        </w:tc>
      </w:tr>
      <w:tr>
        <w:tc>
          <w:tcPr>
            <w:tcW w:w="3118" w:type="dxa"/>
          </w:tcPr>
          <w:p>
            <w:pPr>
              <w:pStyle w:val="nTable"/>
              <w:spacing w:after="40"/>
              <w:rPr>
                <w:i/>
                <w:sz w:val="19"/>
              </w:rPr>
            </w:pPr>
            <w:r>
              <w:rPr>
                <w:i/>
                <w:sz w:val="19"/>
              </w:rPr>
              <w:t>District Court (Fees) Amendment Regulations 2011</w:t>
            </w:r>
          </w:p>
        </w:tc>
        <w:tc>
          <w:tcPr>
            <w:tcW w:w="1276" w:type="dxa"/>
          </w:tcPr>
          <w:p>
            <w:pPr>
              <w:pStyle w:val="nTable"/>
              <w:spacing w:after="40"/>
              <w:rPr>
                <w:sz w:val="19"/>
              </w:rPr>
            </w:pPr>
            <w:r>
              <w:rPr>
                <w:sz w:val="19"/>
              </w:rPr>
              <w:t>8 Mar 2011 p. 784</w:t>
            </w:r>
            <w:r>
              <w:rPr>
                <w:sz w:val="19"/>
              </w:rPr>
              <w:noBreakHyphen/>
              <w:t>7</w:t>
            </w:r>
          </w:p>
        </w:tc>
        <w:tc>
          <w:tcPr>
            <w:tcW w:w="2694" w:type="dxa"/>
          </w:tcPr>
          <w:p>
            <w:pPr>
              <w:pStyle w:val="nTable"/>
              <w:spacing w:after="40"/>
              <w:rPr>
                <w:snapToGrid w:val="0"/>
                <w:sz w:val="19"/>
              </w:rPr>
            </w:pPr>
            <w:r>
              <w:rPr>
                <w:snapToGrid w:val="0"/>
                <w:sz w:val="19"/>
              </w:rPr>
              <w:t>r. 1 and 2: 8 Mar 2011 (see r. 2(a));</w:t>
            </w:r>
            <w:r>
              <w:rPr>
                <w:snapToGrid w:val="0"/>
                <w:sz w:val="19"/>
              </w:rPr>
              <w:br/>
              <w:t>Regulations other than r. 1 and 2: 9 Mar 2011 (see r. 2(b))</w:t>
            </w:r>
          </w:p>
        </w:tc>
      </w:tr>
      <w:tr>
        <w:tc>
          <w:tcPr>
            <w:tcW w:w="3118" w:type="dxa"/>
          </w:tcPr>
          <w:p>
            <w:pPr>
              <w:pStyle w:val="nTable"/>
              <w:spacing w:after="40"/>
              <w:rPr>
                <w:i/>
                <w:sz w:val="19"/>
              </w:rPr>
            </w:pPr>
            <w:r>
              <w:rPr>
                <w:i/>
                <w:sz w:val="19"/>
              </w:rPr>
              <w:t>District Court (Fees) Amendment Regulations (No. 2) 2011</w:t>
            </w:r>
          </w:p>
        </w:tc>
        <w:tc>
          <w:tcPr>
            <w:tcW w:w="1276" w:type="dxa"/>
          </w:tcPr>
          <w:p>
            <w:pPr>
              <w:pStyle w:val="nTable"/>
              <w:spacing w:after="40"/>
              <w:rPr>
                <w:sz w:val="19"/>
              </w:rPr>
            </w:pPr>
            <w:r>
              <w:rPr>
                <w:sz w:val="19"/>
              </w:rPr>
              <w:t>20 Dec 2011 p. 5380</w:t>
            </w:r>
            <w:r>
              <w:rPr>
                <w:sz w:val="19"/>
              </w:rPr>
              <w:noBreakHyphen/>
              <w:t>3</w:t>
            </w:r>
          </w:p>
        </w:tc>
        <w:tc>
          <w:tcPr>
            <w:tcW w:w="2694" w:type="dxa"/>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c>
          <w:tcPr>
            <w:tcW w:w="3118" w:type="dxa"/>
          </w:tcPr>
          <w:p>
            <w:pPr>
              <w:pStyle w:val="nTable"/>
              <w:spacing w:after="40"/>
              <w:rPr>
                <w:i/>
                <w:sz w:val="19"/>
              </w:rPr>
            </w:pPr>
            <w:r>
              <w:rPr>
                <w:i/>
                <w:sz w:val="19"/>
              </w:rPr>
              <w:t>District Court (Fees) Amendment Regulations 2012</w:t>
            </w:r>
          </w:p>
        </w:tc>
        <w:tc>
          <w:tcPr>
            <w:tcW w:w="1276" w:type="dxa"/>
          </w:tcPr>
          <w:p>
            <w:pPr>
              <w:pStyle w:val="nTable"/>
              <w:spacing w:after="40"/>
              <w:rPr>
                <w:sz w:val="19"/>
              </w:rPr>
            </w:pPr>
            <w:r>
              <w:rPr>
                <w:sz w:val="19"/>
              </w:rPr>
              <w:t>27 Mar 2012 p. 1506</w:t>
            </w:r>
          </w:p>
        </w:tc>
        <w:tc>
          <w:tcPr>
            <w:tcW w:w="2694" w:type="dxa"/>
          </w:tcPr>
          <w:p>
            <w:pPr>
              <w:pStyle w:val="nTable"/>
              <w:spacing w:after="40"/>
              <w:rPr>
                <w:snapToGrid w:val="0"/>
                <w:sz w:val="19"/>
              </w:rPr>
            </w:pPr>
            <w:r>
              <w:rPr>
                <w:snapToGrid w:val="0"/>
                <w:sz w:val="19"/>
              </w:rPr>
              <w:t>r. 1 and 2: 27 Mar 2012 (see r. 2(a));</w:t>
            </w:r>
            <w:r>
              <w:rPr>
                <w:snapToGrid w:val="0"/>
                <w:sz w:val="19"/>
              </w:rPr>
              <w:br/>
              <w:t>Regulations other than r. 1 and 2: 28 Mar 2012 (see r. 2(b))</w:t>
            </w:r>
          </w:p>
        </w:tc>
      </w:tr>
      <w:tr>
        <w:tc>
          <w:tcPr>
            <w:tcW w:w="3118" w:type="dxa"/>
          </w:tcPr>
          <w:p>
            <w:pPr>
              <w:pStyle w:val="nTable"/>
              <w:spacing w:after="40"/>
              <w:rPr>
                <w:i/>
                <w:sz w:val="19"/>
              </w:rPr>
            </w:pPr>
            <w:r>
              <w:rPr>
                <w:i/>
                <w:sz w:val="19"/>
              </w:rPr>
              <w:t>District Court (Fees) Amendment Regulations (No. 3) 2012</w:t>
            </w:r>
          </w:p>
        </w:tc>
        <w:tc>
          <w:tcPr>
            <w:tcW w:w="1276" w:type="dxa"/>
          </w:tcPr>
          <w:p>
            <w:pPr>
              <w:pStyle w:val="nTable"/>
              <w:spacing w:after="40"/>
              <w:rPr>
                <w:sz w:val="19"/>
              </w:rPr>
            </w:pPr>
            <w:r>
              <w:rPr>
                <w:sz w:val="19"/>
              </w:rPr>
              <w:t>30 Nov 2012 p. 5788</w:t>
            </w:r>
            <w:r>
              <w:rPr>
                <w:sz w:val="19"/>
              </w:rPr>
              <w:noBreakHyphen/>
              <w:t>90</w:t>
            </w:r>
          </w:p>
        </w:tc>
        <w:tc>
          <w:tcPr>
            <w:tcW w:w="2694" w:type="dxa"/>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8" w:type="dxa"/>
          </w:tcPr>
          <w:p>
            <w:pPr>
              <w:pStyle w:val="nTable"/>
              <w:spacing w:after="40"/>
              <w:rPr>
                <w:rFonts w:ascii="Times" w:hAnsi="Times"/>
                <w:sz w:val="19"/>
              </w:rPr>
            </w:pPr>
            <w:r>
              <w:rPr>
                <w:i/>
                <w:sz w:val="19"/>
              </w:rPr>
              <w:t>District Court (Fees) Amendment Regulations 2013</w:t>
            </w:r>
          </w:p>
        </w:tc>
        <w:tc>
          <w:tcPr>
            <w:tcW w:w="1276" w:type="dxa"/>
          </w:tcPr>
          <w:p>
            <w:pPr>
              <w:pStyle w:val="nTable"/>
              <w:spacing w:after="40"/>
              <w:rPr>
                <w:rFonts w:ascii="Times" w:hAnsi="Times"/>
                <w:sz w:val="19"/>
              </w:rPr>
            </w:pPr>
            <w:r>
              <w:rPr>
                <w:sz w:val="19"/>
              </w:rPr>
              <w:t>19 Jul 2013 p. 3267</w:t>
            </w:r>
            <w:r>
              <w:rPr>
                <w:sz w:val="19"/>
              </w:rPr>
              <w:noBreakHyphen/>
              <w:t>8</w:t>
            </w:r>
          </w:p>
        </w:tc>
        <w:tc>
          <w:tcPr>
            <w:tcW w:w="2694" w:type="dxa"/>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c>
          <w:tcPr>
            <w:tcW w:w="3118" w:type="dxa"/>
          </w:tcPr>
          <w:p>
            <w:pPr>
              <w:pStyle w:val="nTable"/>
              <w:spacing w:after="40"/>
              <w:rPr>
                <w:i/>
                <w:sz w:val="19"/>
              </w:rPr>
            </w:pPr>
            <w:r>
              <w:rPr>
                <w:i/>
                <w:sz w:val="19"/>
              </w:rPr>
              <w:t>District Court (Fees) Amendment Regulations (No. 2) 2013</w:t>
            </w:r>
          </w:p>
        </w:tc>
        <w:tc>
          <w:tcPr>
            <w:tcW w:w="1276" w:type="dxa"/>
          </w:tcPr>
          <w:p>
            <w:pPr>
              <w:pStyle w:val="nTable"/>
              <w:spacing w:after="40"/>
              <w:rPr>
                <w:sz w:val="19"/>
              </w:rPr>
            </w:pPr>
            <w:r>
              <w:rPr>
                <w:sz w:val="19"/>
              </w:rPr>
              <w:t>15 Nov 2013 p. 5243</w:t>
            </w:r>
            <w:r>
              <w:rPr>
                <w:sz w:val="19"/>
              </w:rPr>
              <w:noBreakHyphen/>
              <w:t>5</w:t>
            </w:r>
          </w:p>
        </w:tc>
        <w:tc>
          <w:tcPr>
            <w:tcW w:w="2694" w:type="dxa"/>
          </w:tcPr>
          <w:p>
            <w:pPr>
              <w:pStyle w:val="nTable"/>
              <w:spacing w:after="40"/>
              <w:rPr>
                <w:sz w:val="19"/>
              </w:rPr>
            </w:pPr>
            <w:r>
              <w:rPr>
                <w:bCs/>
                <w:snapToGrid w:val="0"/>
                <w:sz w:val="19"/>
              </w:rPr>
              <w:t>r. 1 and 2: 15 Nov 2013 (see r. 2(a));</w:t>
            </w:r>
            <w:r>
              <w:rPr>
                <w:bCs/>
                <w:snapToGrid w:val="0"/>
                <w:sz w:val="19"/>
              </w:rPr>
              <w:br/>
              <w:t>Regulations other than r. 1 and 2: 16 Nov 2013 (see r. 2(b))</w:t>
            </w:r>
          </w:p>
        </w:tc>
      </w:tr>
      <w:tr>
        <w:tc>
          <w:tcPr>
            <w:tcW w:w="3118" w:type="dxa"/>
            <w:shd w:val="clear" w:color="auto" w:fill="auto"/>
          </w:tcPr>
          <w:p>
            <w:pPr>
              <w:pStyle w:val="nTable"/>
              <w:spacing w:after="40"/>
              <w:rPr>
                <w:i/>
                <w:sz w:val="19"/>
              </w:rPr>
            </w:pPr>
            <w:r>
              <w:rPr>
                <w:i/>
                <w:sz w:val="19"/>
              </w:rPr>
              <w:t>District Court (Fees) Amendment Regulations (No. 3) 2014</w:t>
            </w:r>
          </w:p>
        </w:tc>
        <w:tc>
          <w:tcPr>
            <w:tcW w:w="1276" w:type="dxa"/>
            <w:shd w:val="clear" w:color="auto" w:fill="auto"/>
          </w:tcPr>
          <w:p>
            <w:pPr>
              <w:pStyle w:val="nTable"/>
              <w:spacing w:after="40"/>
              <w:rPr>
                <w:sz w:val="19"/>
              </w:rPr>
            </w:pPr>
            <w:r>
              <w:rPr>
                <w:sz w:val="19"/>
              </w:rPr>
              <w:t>27 Jun 2014 p. 2338-40</w:t>
            </w:r>
          </w:p>
        </w:tc>
        <w:tc>
          <w:tcPr>
            <w:tcW w:w="2694" w:type="dxa"/>
            <w:shd w:val="clear" w:color="auto" w:fill="auto"/>
          </w:tcPr>
          <w:p>
            <w:pPr>
              <w:pStyle w:val="nTable"/>
              <w:spacing w:after="40"/>
              <w:rPr>
                <w:bCs/>
                <w:snapToGrid w:val="0"/>
                <w:sz w:val="19"/>
              </w:rPr>
            </w:pPr>
            <w:r>
              <w:rPr>
                <w:bCs/>
                <w:snapToGrid w:val="0"/>
                <w:sz w:val="19"/>
              </w:rPr>
              <w:t>r. 1 and 2: 27 Jun 2014 (see r. 2(a));</w:t>
            </w:r>
            <w:r>
              <w:rPr>
                <w:bCs/>
                <w:snapToGrid w:val="0"/>
                <w:sz w:val="19"/>
              </w:rPr>
              <w:br/>
              <w:t>Regulations other than r. 1 and 2: 1 Jul 2014 (see r. 2(b)(i))</w:t>
            </w:r>
          </w:p>
        </w:tc>
      </w:tr>
      <w:tr>
        <w:tc>
          <w:tcPr>
            <w:tcW w:w="7088" w:type="dxa"/>
            <w:gridSpan w:val="3"/>
            <w:tcBorders>
              <w:bottom w:val="single" w:sz="8" w:space="0" w:color="auto"/>
            </w:tcBorders>
            <w:shd w:val="clear" w:color="auto" w:fill="auto"/>
          </w:tcPr>
          <w:p>
            <w:pPr>
              <w:pStyle w:val="nTable"/>
              <w:spacing w:after="40"/>
              <w:rPr>
                <w:bCs/>
                <w:snapToGrid w:val="0"/>
                <w:sz w:val="19"/>
              </w:rPr>
            </w:pPr>
            <w:r>
              <w:rPr>
                <w:b/>
                <w:bCs/>
                <w:sz w:val="19"/>
              </w:rPr>
              <w:t xml:space="preserve">Reprint 3: The </w:t>
            </w:r>
            <w:r>
              <w:rPr>
                <w:b/>
                <w:bCs/>
                <w:i/>
                <w:sz w:val="19"/>
              </w:rPr>
              <w:t>District Court (Fees) Regulations 2002</w:t>
            </w:r>
            <w:r>
              <w:rPr>
                <w:b/>
                <w:bCs/>
                <w:sz w:val="19"/>
              </w:rPr>
              <w:t xml:space="preserve"> as at 7 Nov 2014</w:t>
            </w:r>
            <w:r>
              <w:rPr>
                <w:b/>
                <w:bCs/>
                <w:sz w:val="19"/>
              </w:rPr>
              <w:br/>
            </w:r>
            <w:r>
              <w:rPr>
                <w:sz w:val="19"/>
              </w:rPr>
              <w:t>(includes amendments listed above)</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u w:val="words"/>
        </w:rPr>
      </w:pPr>
    </w:p>
    <w:p>
      <w:pPr>
        <w:pStyle w:val="nHeading2"/>
        <w:rPr>
          <w:sz w:val="28"/>
        </w:rPr>
      </w:pPr>
      <w:bookmarkStart w:id="28" w:name="_Toc402166235"/>
      <w:bookmarkStart w:id="29" w:name="_Toc404008833"/>
      <w:r>
        <w:rPr>
          <w:sz w:val="28"/>
        </w:rPr>
        <w:t>Defined terms</w:t>
      </w:r>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 w:name="DefinedTerms"/>
      <w:bookmarkEnd w:id="30"/>
      <w:r>
        <w:t>approved recipient</w:t>
      </w:r>
      <w:r>
        <w:tab/>
        <w:t>11A(1)</w:t>
      </w:r>
    </w:p>
    <w:p>
      <w:pPr>
        <w:pStyle w:val="DefinedTerms"/>
      </w:pPr>
      <w:r>
        <w:t>corporation</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special reasons</w:t>
      </w:r>
      <w:r>
        <w:tab/>
        <w:t>7(1a)</w:t>
      </w:r>
    </w:p>
    <w:p>
      <w:pPr>
        <w:pStyle w:val="DefinedTerms"/>
      </w:pPr>
      <w:r>
        <w:t>subsidiary</w:t>
      </w:r>
      <w:r>
        <w:tab/>
        <w:t>3</w:t>
      </w:r>
    </w:p>
    <w:p>
      <w:pPr>
        <w:pStyle w:val="DefinedTerms"/>
      </w:pPr>
    </w:p>
    <w:p/>
    <w:p/>
    <w:p/>
    <w:p/>
    <w:p/>
    <w:p/>
    <w:p/>
    <w:p/>
    <w:p/>
    <w:p/>
    <w:p/>
    <w:p/>
    <w:p/>
    <w:p/>
    <w:p/>
    <w:p/>
    <w:p/>
    <w:p/>
    <w:p/>
    <w:p/>
    <w:p/>
    <w:p/>
    <w:p/>
    <w:p>
      <w:pPr>
        <w:sectPr>
          <w:headerReference w:type="even" r:id="rId39"/>
          <w:headerReference w:type="default" r:id="rId40"/>
          <w:footerReference w:type="even" r:id="rId41"/>
          <w:footerReference w:type="default" r:id="rId42"/>
          <w:headerReference w:type="first" r:id="rId43"/>
          <w:footerReference w:type="first" r:id="rId44"/>
          <w:pgSz w:w="11906" w:h="16838" w:code="9"/>
          <w:pgMar w:top="2376" w:right="2404" w:bottom="3544" w:left="2404" w:header="720" w:footer="3380" w:gutter="0"/>
          <w:cols w:space="720"/>
          <w:noEndnote/>
          <w:docGrid w:linePitch="326"/>
        </w:sectPr>
      </w:pPr>
    </w:p>
    <w:p>
      <w:pPr>
        <w:rPr>
          <w:u w:val="double"/>
        </w:r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35</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Sheriff’s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fldSimple w:instr=" styleref CharSchText ">
            <w:r>
              <w:rPr>
                <w:noProof/>
              </w:rPr>
              <w:t>Sheriff’s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27094113"/>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D2CC-DB65-4B3B-89B2-3328AEF0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7440</Words>
  <Characters>38989</Characters>
  <Application>Microsoft Office Word</Application>
  <DocSecurity>0</DocSecurity>
  <Lines>1559</Lines>
  <Paragraphs>844</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2002 - 03-00-00</dc:title>
  <dc:subject/>
  <dc:creator/>
  <cp:keywords/>
  <dc:description/>
  <cp:lastModifiedBy>svcMRProcess</cp:lastModifiedBy>
  <cp:revision>4</cp:revision>
  <cp:lastPrinted>2014-10-27T02:17:00Z</cp:lastPrinted>
  <dcterms:created xsi:type="dcterms:W3CDTF">2020-03-07T09:29:00Z</dcterms:created>
  <dcterms:modified xsi:type="dcterms:W3CDTF">2020-03-07T09:29:00Z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20141107</vt:lpwstr>
  </property>
  <property fmtid="{D5CDD505-2E9C-101B-9397-08002B2CF9AE}" pid="4" name="DocumentType">
    <vt:lpwstr>Reg</vt:lpwstr>
  </property>
  <property fmtid="{D5CDD505-2E9C-101B-9397-08002B2CF9AE}" pid="5" name="OwlsUID">
    <vt:i4>3577</vt:i4>
  </property>
  <property fmtid="{D5CDD505-2E9C-101B-9397-08002B2CF9AE}" pid="6" name="AsAtDate">
    <vt:lpwstr>07 Nov 2014</vt:lpwstr>
  </property>
  <property fmtid="{D5CDD505-2E9C-101B-9397-08002B2CF9AE}" pid="7" name="Suffix">
    <vt:lpwstr>03-00-00</vt:lpwstr>
  </property>
  <property fmtid="{D5CDD505-2E9C-101B-9397-08002B2CF9AE}" pid="8" name="ReprintNo">
    <vt:lpwstr>3</vt:lpwstr>
  </property>
  <property fmtid="{D5CDD505-2E9C-101B-9397-08002B2CF9AE}" pid="9" name="ReprintedAsAt">
    <vt:filetime>2014-11-06T16:00:00Z</vt:filetime>
  </property>
</Properties>
</file>