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_Toc421002556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_Toc421002557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 in these rules</w:t>
      </w:r>
      <w:r>
        <w:tab/>
      </w:r>
      <w:r>
        <w:fldChar w:fldCharType="begin"/>
      </w:r>
      <w:r>
        <w:instrText xml:space="preserve"> PAGEREF _Toc421002558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Practice and procedure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Applications for review of a decision by the Director (s. 25 of the Act)</w:t>
      </w:r>
      <w:r>
        <w:tab/>
      </w:r>
      <w:r>
        <w:fldChar w:fldCharType="begin"/>
      </w:r>
      <w:r>
        <w:instrText xml:space="preserve"> PAGEREF _Toc421002560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Appeals against a decision of the Commission constituted by one member (s. 28(4a) of the Act)</w:t>
      </w:r>
      <w:r>
        <w:tab/>
      </w:r>
      <w:r>
        <w:fldChar w:fldCharType="begin"/>
      </w:r>
      <w:r>
        <w:instrText xml:space="preserve"> PAGEREF _Toc421002561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Complaints (s. 95 of the Act)</w:t>
      </w:r>
      <w:r>
        <w:tab/>
      </w:r>
      <w:r>
        <w:fldChar w:fldCharType="begin"/>
      </w:r>
      <w:r>
        <w:instrText xml:space="preserve"> PAGEREF _Toc421002562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8A.</w:t>
      </w:r>
      <w:r>
        <w:tab/>
        <w:t>Lodging written submissions for proceedings</w:t>
      </w:r>
      <w:r>
        <w:tab/>
      </w:r>
      <w:r>
        <w:fldChar w:fldCharType="begin"/>
      </w:r>
      <w:r>
        <w:instrText xml:space="preserve"> PAGEREF _Toc421002563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Separate proceedings determined simultaneously</w:t>
      </w:r>
      <w:r>
        <w:tab/>
      </w:r>
      <w:r>
        <w:fldChar w:fldCharType="begin"/>
      </w:r>
      <w:r>
        <w:instrText xml:space="preserve"> PAGEREF _Toc421002564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Separate proceedings heard together</w:t>
      </w:r>
      <w:r>
        <w:tab/>
      </w:r>
      <w:r>
        <w:fldChar w:fldCharType="begin"/>
      </w:r>
      <w:r>
        <w:instrText xml:space="preserve"> PAGEREF _Toc421002565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Withdrawal</w:t>
      </w:r>
      <w:r>
        <w:tab/>
      </w:r>
      <w:r>
        <w:fldChar w:fldCharType="begin"/>
      </w:r>
      <w:r>
        <w:instrText xml:space="preserve"> PAGEREF _Toc421002566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Orders relating to practice and procedure</w:t>
      </w:r>
      <w:r>
        <w:tab/>
      </w:r>
      <w:r>
        <w:fldChar w:fldCharType="begin"/>
      </w:r>
      <w:r>
        <w:instrText xml:space="preserve"> PAGEREF _Toc421002567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Costs orders</w:t>
      </w:r>
      <w:r>
        <w:tab/>
      </w:r>
      <w:r>
        <w:fldChar w:fldCharType="begin"/>
      </w:r>
      <w:r>
        <w:instrText xml:space="preserve"> PAGEREF _Toc421002568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Authentication of decisions of the Commission</w:t>
      </w:r>
      <w:r>
        <w:tab/>
      </w:r>
      <w:r>
        <w:fldChar w:fldCharType="begin"/>
      </w:r>
      <w:r>
        <w:instrText xml:space="preserve"> PAGEREF _Toc421002570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Costs and charges payable in relation to proceedings</w:t>
      </w:r>
      <w:r>
        <w:tab/>
      </w:r>
      <w:r>
        <w:fldChar w:fldCharType="begin"/>
      </w:r>
      <w:r>
        <w:instrText xml:space="preserve"> PAGEREF _Toc421002571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Repeal and savings</w:t>
      </w:r>
      <w:r>
        <w:tab/>
      </w:r>
      <w:r>
        <w:fldChar w:fldCharType="begin"/>
      </w:r>
      <w:r>
        <w:instrText xml:space="preserve"> PAGEREF _Toc421002572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Schedule 1 — Costs and charges payable in relation to proceedings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_Toc421002575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3" w:name="_Toc404091260"/>
      <w:bookmarkStart w:id="4" w:name="_Toc421002525"/>
      <w:bookmarkStart w:id="5" w:name="_Toc421002555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6" w:name="_Toc404091261"/>
      <w:bookmarkStart w:id="7" w:name="_Toc421002556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bookmarkStart w:id="8" w:name="Start_Cursor"/>
      <w:bookmarkEnd w:id="8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9" w:name="_Toc404091262"/>
      <w:bookmarkStart w:id="10" w:name="_Toc421002557"/>
      <w:r>
        <w:rPr>
          <w:rStyle w:val="CharSectno"/>
        </w:rPr>
        <w:t>2</w:t>
      </w:r>
      <w:r>
        <w:t>.</w:t>
      </w:r>
      <w:r>
        <w:tab/>
        <w:t>Commencement</w:t>
      </w:r>
      <w:bookmarkEnd w:id="9"/>
      <w:bookmarkEnd w:id="10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11" w:name="_Toc404091263"/>
      <w:bookmarkStart w:id="12" w:name="_Toc421002558"/>
      <w:r>
        <w:rPr>
          <w:rStyle w:val="CharSectno"/>
        </w:rPr>
        <w:t>3</w:t>
      </w:r>
      <w:r>
        <w:t>.</w:t>
      </w:r>
      <w:r>
        <w:tab/>
        <w:t>Terms used in these rules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 or</w:t>
      </w:r>
    </w:p>
    <w:p>
      <w:pPr>
        <w:pStyle w:val="Defpara"/>
      </w:pPr>
      <w:r>
        <w:tab/>
        <w:t>(e)</w:t>
      </w:r>
      <w:r>
        <w:tab/>
        <w:t>an application under section 115AD(3);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</w:pPr>
      <w:r>
        <w:tab/>
        <w:t>[Rule 3 amended in Gazette 21 Jun 2011 p. 2251.]</w:t>
      </w:r>
    </w:p>
    <w:p>
      <w:pPr>
        <w:pStyle w:val="Defstart"/>
      </w:pPr>
      <w:r>
        <w:rPr>
          <w:rStyle w:val="CharSectno"/>
        </w:rPr>
        <w:t>4</w:t>
      </w:r>
      <w:r>
        <w:t>.</w:t>
      </w:r>
      <w:r>
        <w:tab/>
        <w:t>Application of these rules</w:t>
      </w:r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13" w:name="_Toc404091264"/>
      <w:bookmarkStart w:id="14" w:name="_Toc421002529"/>
      <w:bookmarkStart w:id="15" w:name="_Toc421002559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13"/>
      <w:bookmarkEnd w:id="14"/>
      <w:bookmarkEnd w:id="15"/>
    </w:p>
    <w:p>
      <w:pPr>
        <w:pStyle w:val="Heading5"/>
      </w:pPr>
      <w:bookmarkStart w:id="16" w:name="_Toc404091265"/>
      <w:bookmarkStart w:id="17" w:name="_Toc421002560"/>
      <w:r>
        <w:rPr>
          <w:rStyle w:val="CharSectno"/>
        </w:rPr>
        <w:t>5</w:t>
      </w:r>
      <w:r>
        <w:t>.</w:t>
      </w:r>
      <w:r>
        <w:tab/>
        <w:t>Applications for review of a decision by the Director (s. 25 of the Act)</w:t>
      </w:r>
      <w:bookmarkEnd w:id="16"/>
      <w:bookmarkEnd w:id="17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18" w:name="_Toc404091266"/>
      <w:bookmarkStart w:id="19" w:name="_Toc421002561"/>
      <w:r>
        <w:rPr>
          <w:rStyle w:val="CharSectno"/>
        </w:rPr>
        <w:t>6</w:t>
      </w:r>
      <w:r>
        <w:t>.</w:t>
      </w:r>
      <w:r>
        <w:tab/>
        <w:t>Appeals against a decision of the Commission constituted by one member (s. 28(4a) of the Act)</w:t>
      </w:r>
      <w:bookmarkEnd w:id="18"/>
      <w:bookmarkEnd w:id="19"/>
    </w:p>
    <w:p>
      <w:pPr>
        <w:pStyle w:val="Subsection"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20" w:name="_Toc404091267"/>
      <w:bookmarkStart w:id="21" w:name="_Toc421002562"/>
      <w:r>
        <w:rPr>
          <w:rStyle w:val="CharSectno"/>
        </w:rPr>
        <w:t>7</w:t>
      </w:r>
      <w:r>
        <w:t>.</w:t>
      </w:r>
      <w:r>
        <w:tab/>
        <w:t>Complaints (s. 95 of the Act)</w:t>
      </w:r>
      <w:bookmarkEnd w:id="20"/>
      <w:bookmarkEnd w:id="21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22" w:name="_Toc404091268"/>
      <w:bookmarkStart w:id="23" w:name="_Toc421002563"/>
      <w:r>
        <w:rPr>
          <w:rStyle w:val="CharSectno"/>
        </w:rPr>
        <w:t>8A</w:t>
      </w:r>
      <w:r>
        <w:t>.</w:t>
      </w:r>
      <w:r>
        <w:tab/>
        <w:t>Lodging written submissions for proceedings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If a party to proceedings wants to lodge written submissions in relation to those proceedings, the submissions — </w:t>
      </w:r>
    </w:p>
    <w:p>
      <w:pPr>
        <w:pStyle w:val="Indenta"/>
      </w:pPr>
      <w:r>
        <w:tab/>
        <w:t>(a)</w:t>
      </w:r>
      <w:r>
        <w:tab/>
        <w:t>must be a summary of the party’s arguments expressed so as to convey the substance of them clearly and as succinctly as possible; and</w:t>
      </w:r>
    </w:p>
    <w:p>
      <w:pPr>
        <w:pStyle w:val="Indenta"/>
      </w:pPr>
      <w:r>
        <w:tab/>
        <w:t>(b)</w:t>
      </w:r>
      <w:r>
        <w:tab/>
        <w:t>must be set out in numbered paragraphs; and</w:t>
      </w:r>
    </w:p>
    <w:p>
      <w:pPr>
        <w:pStyle w:val="Indenta"/>
      </w:pPr>
      <w:r>
        <w:tab/>
        <w:t>(c)</w:t>
      </w:r>
      <w:r>
        <w:tab/>
        <w:t xml:space="preserve">must not exceed — </w:t>
      </w:r>
    </w:p>
    <w:p>
      <w:pPr>
        <w:pStyle w:val="Indenti"/>
      </w:pPr>
      <w:r>
        <w:tab/>
        <w:t>(i)</w:t>
      </w:r>
      <w:r>
        <w:tab/>
        <w:t>in the case of the primary submissions, 20 pages; or</w:t>
      </w:r>
    </w:p>
    <w:p>
      <w:pPr>
        <w:pStyle w:val="Indenti"/>
      </w:pPr>
      <w:r>
        <w:tab/>
        <w:t>(ii)</w:t>
      </w:r>
      <w:r>
        <w:tab/>
        <w:t>in the case of any further submissions that the Commission allows to be lodged, 10 pages.</w:t>
      </w:r>
    </w:p>
    <w:p>
      <w:pPr>
        <w:pStyle w:val="Subsection"/>
      </w:pPr>
      <w:r>
        <w:tab/>
        <w:t>(2)</w:t>
      </w:r>
      <w:r>
        <w:tab/>
        <w:t xml:space="preserve">If the party’s written submissions refer to any legislation, judgment, legal text or any other related material (an </w:t>
      </w:r>
      <w:r>
        <w:rPr>
          <w:rStyle w:val="CharDefText"/>
        </w:rPr>
        <w:t>authority</w:t>
      </w:r>
      <w:r>
        <w:t xml:space="preserve">), the party must, at the time the party lodges its written submissions, provide — </w:t>
      </w:r>
    </w:p>
    <w:p>
      <w:pPr>
        <w:pStyle w:val="Indenta"/>
      </w:pPr>
      <w:r>
        <w:tab/>
        <w:t>(a)</w:t>
      </w:r>
      <w:r>
        <w:tab/>
        <w:t>for an authority that is a judgment — a copy of the complete judgment;</w:t>
      </w:r>
    </w:p>
    <w:p>
      <w:pPr>
        <w:pStyle w:val="Indenta"/>
      </w:pPr>
      <w:r>
        <w:tab/>
        <w:t>(b)</w:t>
      </w:r>
      <w:r>
        <w:tab/>
        <w:t>for any other authority — sufficient details to enable the authority to be identified and located.</w:t>
      </w:r>
    </w:p>
    <w:p>
      <w:pPr>
        <w:pStyle w:val="Subsection"/>
      </w:pPr>
      <w:r>
        <w:tab/>
        <w:t>(3)</w:t>
      </w:r>
      <w:r>
        <w:tab/>
        <w:t>The party must, as soon as practicable after lodging the written submissions, serve a copy of them on every other party to the proceedings.</w:t>
      </w:r>
    </w:p>
    <w:p>
      <w:pPr>
        <w:pStyle w:val="Footnotesection"/>
      </w:pPr>
      <w:r>
        <w:tab/>
        <w:t>[Rule 8A inserted in Gazette 18 Nov 2014 p. 4327-8.]</w:t>
      </w:r>
    </w:p>
    <w:p>
      <w:pPr>
        <w:pStyle w:val="Heading5"/>
      </w:pPr>
      <w:bookmarkStart w:id="24" w:name="_Toc404091269"/>
      <w:bookmarkStart w:id="25" w:name="_Toc421002564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24"/>
      <w:bookmarkEnd w:id="25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26" w:name="_Toc404091270"/>
      <w:bookmarkStart w:id="27" w:name="_Toc421002565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26"/>
      <w:bookmarkEnd w:id="27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28" w:name="_Toc404091271"/>
      <w:bookmarkStart w:id="29" w:name="_Toc421002566"/>
      <w:r>
        <w:rPr>
          <w:rStyle w:val="CharSectno"/>
        </w:rPr>
        <w:t>10</w:t>
      </w:r>
      <w:r>
        <w:t>.</w:t>
      </w:r>
      <w:r>
        <w:tab/>
        <w:t>Withdrawal</w:t>
      </w:r>
      <w:bookmarkEnd w:id="28"/>
      <w:bookmarkEnd w:id="29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30" w:name="_Toc404091272"/>
      <w:bookmarkStart w:id="31" w:name="_Toc421002567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30"/>
      <w:bookmarkEnd w:id="31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32" w:name="_Toc404091273"/>
      <w:bookmarkStart w:id="33" w:name="_Toc421002568"/>
      <w:r>
        <w:rPr>
          <w:rStyle w:val="CharSectno"/>
        </w:rPr>
        <w:t>12</w:t>
      </w:r>
      <w:r>
        <w:t>.</w:t>
      </w:r>
      <w:r>
        <w:tab/>
        <w:t>Costs orders</w:t>
      </w:r>
      <w:bookmarkEnd w:id="32"/>
      <w:bookmarkEnd w:id="33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34" w:name="_Toc404091274"/>
      <w:bookmarkStart w:id="35" w:name="_Toc421002539"/>
      <w:bookmarkStart w:id="36" w:name="_Toc421002569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34"/>
      <w:bookmarkEnd w:id="35"/>
      <w:bookmarkEnd w:id="36"/>
    </w:p>
    <w:p>
      <w:pPr>
        <w:pStyle w:val="Heading5"/>
      </w:pPr>
      <w:bookmarkStart w:id="37" w:name="_Toc404091275"/>
      <w:bookmarkStart w:id="38" w:name="_Toc421002570"/>
      <w:r>
        <w:rPr>
          <w:rStyle w:val="CharSectno"/>
        </w:rPr>
        <w:t>13</w:t>
      </w:r>
      <w:r>
        <w:t>.</w:t>
      </w:r>
      <w:r>
        <w:tab/>
        <w:t>Authentication of decisions of the Commission</w:t>
      </w:r>
      <w:bookmarkEnd w:id="37"/>
      <w:bookmarkEnd w:id="38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Ednotesection"/>
      </w:pPr>
      <w:r>
        <w:t>[</w:t>
      </w:r>
      <w:r>
        <w:rPr>
          <w:b/>
        </w:rPr>
        <w:t>14.</w:t>
      </w:r>
      <w:r>
        <w:tab/>
        <w:t>Deleted in Gazette 21 Jun 2011 p. 2251.]</w:t>
      </w:r>
    </w:p>
    <w:p>
      <w:pPr>
        <w:pStyle w:val="Heading5"/>
      </w:pPr>
      <w:bookmarkStart w:id="39" w:name="_Toc404091276"/>
      <w:bookmarkStart w:id="40" w:name="_Toc421002571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39"/>
      <w:bookmarkEnd w:id="40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41" w:name="_Toc404091277"/>
      <w:bookmarkStart w:id="42" w:name="_Toc421002572"/>
      <w:r>
        <w:rPr>
          <w:rStyle w:val="CharSectno"/>
        </w:rPr>
        <w:t>16</w:t>
      </w:r>
      <w:r>
        <w:t>.</w:t>
      </w:r>
      <w:r>
        <w:tab/>
        <w:t>Repeal and savings</w:t>
      </w:r>
      <w:bookmarkEnd w:id="41"/>
      <w:bookmarkEnd w:id="42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i/>
              <w:iCs/>
            </w:rPr>
            <w:t>Liquor Licensing Court</w:t>
          </w:r>
        </w:smartTag>
      </w:smartTag>
      <w:r>
        <w:rPr>
          <w:i/>
          <w:iCs/>
        </w:rPr>
        <w:t xml:space="preserve"> Rules 2005</w:t>
      </w:r>
      <w:r>
        <w:t xml:space="preserve"> are repealed</w:t>
      </w:r>
      <w:r>
        <w:rPr>
          <w:i/>
          <w:iCs/>
        </w:rPr>
        <w:t>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21"/>
          <w:headerReference w:type="default" r:id="rId22"/>
          <w:footerReference w:type="even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3" w:name="_Toc404091278"/>
      <w:bookmarkStart w:id="44" w:name="_Toc421002543"/>
      <w:bookmarkStart w:id="45" w:name="_Toc42100257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43"/>
      <w:bookmarkEnd w:id="44"/>
      <w:bookmarkEnd w:id="45"/>
    </w:p>
    <w:p>
      <w:pPr>
        <w:pStyle w:val="yShoulderClause"/>
        <w:spacing w:after="6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Charge payable for lodging an application for the review of a decision by the Director </w:t>
            </w:r>
            <w:r>
              <w:rPr>
                <w:sz w:val="22"/>
                <w:szCs w:val="22"/>
              </w:rPr>
              <w:t xml:space="preserve">(rule 5 </w:t>
            </w:r>
            <w:r>
              <w:t>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r>
              <w:rPr>
                <w:sz w:val="22"/>
                <w:szCs w:val="22"/>
              </w:rPr>
              <w:t>405.00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820" w:type="dxa"/>
          </w:tcPr>
          <w:p>
            <w:pPr>
              <w:pStyle w:val="TableNAm"/>
            </w:pPr>
            <w:r>
              <w:t xml:space="preserve">Charge payable for lodging an appeal against a decision of the Commission constituted by one member </w:t>
            </w:r>
            <w:r>
              <w:rPr>
                <w:sz w:val="22"/>
                <w:szCs w:val="22"/>
              </w:rPr>
              <w:t>(rule 6</w:t>
            </w:r>
            <w:r>
              <w:t xml:space="preserve"> and section 28(4a) of the Act)</w:t>
            </w:r>
          </w:p>
        </w:tc>
        <w:tc>
          <w:tcPr>
            <w:tcW w:w="1134" w:type="dxa"/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r>
              <w:rPr>
                <w:sz w:val="22"/>
                <w:szCs w:val="22"/>
              </w:rPr>
              <w:t>405.00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Cost per page for the supply of a copy of a document or transcript of an electronic recording under rule 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r>
              <w:rPr>
                <w:sz w:val="22"/>
                <w:szCs w:val="22"/>
              </w:rPr>
              <w:t>5.00</w:t>
            </w:r>
          </w:p>
        </w:tc>
      </w:tr>
    </w:tbl>
    <w:p>
      <w:pPr>
        <w:pStyle w:val="yFootnotesection"/>
      </w:pPr>
      <w:r>
        <w:tab/>
        <w:t>[Schedule 1 amended in Gazette 1 Dec 2009 p. 4816; 21 Jun 2011 p. 2251</w:t>
      </w:r>
      <w:r>
        <w:noBreakHyphen/>
        <w:t>2; 18 Nov 2014 p. 4328.]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7" w:name="_Toc404091279"/>
      <w:bookmarkStart w:id="48" w:name="_Toc421002544"/>
      <w:bookmarkStart w:id="49" w:name="_Toc421002574"/>
      <w:r>
        <w:t>Notes</w:t>
      </w:r>
      <w:bookmarkEnd w:id="47"/>
      <w:bookmarkEnd w:id="48"/>
      <w:bookmarkEnd w:id="4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Liquor Commission Rules 2007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50" w:name="_Toc404091280"/>
      <w:bookmarkStart w:id="51" w:name="_Toc421002575"/>
      <w:r>
        <w:t>Compilation table</w:t>
      </w:r>
      <w:bookmarkEnd w:id="50"/>
      <w:bookmarkEnd w:id="5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Commission Rules 2007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5 Oct 2007 p. 5313</w:t>
            </w:r>
            <w:r>
              <w:noBreakHyphen/>
              <w:t>23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5 Oct 2007 (see r. 2(a));</w:t>
            </w:r>
            <w:r>
              <w:rPr>
                <w:snapToGrid w:val="0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Dec 2009 p. 4816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 Dec 2009 (see r. 2(a));</w:t>
            </w:r>
            <w:r>
              <w:rPr>
                <w:snapToGrid w:val="0"/>
              </w:rPr>
              <w:br/>
              <w:t>Rules other than r. 1 and 2: 2 Dec 2009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 Jun 2011 p. 2251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21 Jun 2011 (see r. 2(a));</w:t>
            </w:r>
            <w:r>
              <w:rPr>
                <w:snapToGrid w:val="0"/>
              </w:rPr>
              <w:br/>
              <w:t>Rules other than r. 1 and 2: 22 Jun 2011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18 Nov 2014 p. 4327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Rules other than r. 1 and 2: 19 Nov 2014 (see r. 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53" w:name="_Toc421002576"/>
      <w:r>
        <w:rPr>
          <w:sz w:val="28"/>
        </w:rPr>
        <w:t>Defined terms</w:t>
      </w:r>
      <w:bookmarkEnd w:id="5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8A(2)</w:t>
      </w:r>
    </w:p>
    <w:p>
      <w:pPr>
        <w:pStyle w:val="DefinedTerms"/>
      </w:pPr>
      <w:r>
        <w:t>commencement day</w:t>
      </w:r>
      <w:r>
        <w:tab/>
        <w:t>16(3)</w:t>
      </w:r>
    </w:p>
    <w:p>
      <w:pPr>
        <w:pStyle w:val="DefinedTerms"/>
      </w:pPr>
      <w:r>
        <w:t>document</w:t>
      </w:r>
      <w:r>
        <w:tab/>
        <w:t>3</w:t>
      </w:r>
    </w:p>
    <w:p>
      <w:pPr>
        <w:pStyle w:val="DefinedTerms"/>
      </w:pPr>
      <w:r>
        <w:t>lodge</w:t>
      </w:r>
      <w:r>
        <w:tab/>
        <w:t>3</w:t>
      </w:r>
    </w:p>
    <w:p>
      <w:pPr>
        <w:pStyle w:val="DefinedTerms"/>
      </w:pPr>
      <w:r>
        <w:t>party</w:t>
      </w:r>
      <w:r>
        <w:tab/>
        <w:t>3</w:t>
      </w:r>
    </w:p>
    <w:p>
      <w:pPr>
        <w:pStyle w:val="DefinedTerms"/>
      </w:pPr>
      <w:r>
        <w:t>proceedings</w:t>
      </w:r>
      <w:r>
        <w:tab/>
        <w:t>3</w:t>
      </w:r>
    </w:p>
    <w:p>
      <w:pPr>
        <w:pStyle w:val="DefinedTerms"/>
      </w:pPr>
      <w:r>
        <w:t>record</w:t>
      </w:r>
      <w:r>
        <w:tab/>
        <w:t>3</w:t>
      </w:r>
    </w:p>
    <w:p>
      <w:pPr>
        <w:pStyle w:val="DefinedTerms"/>
      </w:pPr>
      <w:r>
        <w:t>repealed rules</w:t>
      </w:r>
      <w:r>
        <w:tab/>
        <w:t>16(3)</w:t>
      </w:r>
    </w:p>
    <w:p>
      <w:pPr>
        <w:pStyle w:val="DefinedTerms"/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Schedule"/>
    <w:bookmarkEnd w:id="4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2" w:name="Compilation"/>
    <w:bookmarkEnd w:id="5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4" w:name="DefinedTerms"/>
    <w:bookmarkEnd w:id="54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5" w:name="Coversheet"/>
    <w:bookmarkEnd w:id="5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Practice and procedure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Practice and procedure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03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A8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028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36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D4B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2C2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03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DA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94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52664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00332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41118101519" w:val="RemoveTocBookmarks,RemoveUnusedBookmarks,RemoveLanguageTags,UsedStyles,ResetPageSize,UpdateArrangement"/>
    <w:docVar w:name="WAFER_20141118101519_GUID" w:val="d796f5bd-00ae-4355-91c5-22c92f5c478a"/>
    <w:docVar w:name="WAFER_20141118101532" w:val="RemoveTocBookmarks,RemoveUnusedBookmarks,RemoveLanguageTags,UsedStyles,ResetPageSize,UpdateArrangement"/>
    <w:docVar w:name="WAFER_20141118101532_GUID" w:val="820d32c5-3ca2-4075-9f9d-eef5399eeca3"/>
    <w:docVar w:name="WAFER_20141118101547" w:val="RemoveTocBookmarks,RemoveUnusedBookmarks,RemoveLanguageTags,UsedStyles,ResetPageSize,UpdateArrangement"/>
    <w:docVar w:name="WAFER_20141118101547_GUID" w:val="403d8c67-43dc-4820-992e-814421785815"/>
    <w:docVar w:name="WAFER_20150602090726" w:val="ResetPageSize,UpdateArrangement,UpdateNTable"/>
    <w:docVar w:name="WAFER_20150602090726_GUID" w:val="9e1081a8-235e-4122-877a-95bc20a19c08"/>
    <w:docVar w:name="WAFER_20151106100332" w:val="UpdateStyles,UsedStyles"/>
    <w:docVar w:name="WAFER_20151106100332_GUID" w:val="e3be82ee-6732-4a5c-9367-869eabf1097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1899</Words>
  <Characters>8888</Characters>
  <Application>Microsoft Office Word</Application>
  <DocSecurity>0</DocSecurity>
  <Lines>329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2007 - 00-d0-02</dc:title>
  <dc:subject/>
  <dc:creator/>
  <cp:keywords/>
  <dc:description/>
  <cp:lastModifiedBy>svcMRProcess</cp:lastModifiedBy>
  <cp:revision>4</cp:revision>
  <cp:lastPrinted>2007-08-01T04:04:00Z</cp:lastPrinted>
  <dcterms:created xsi:type="dcterms:W3CDTF">2015-11-06T07:26:00Z</dcterms:created>
  <dcterms:modified xsi:type="dcterms:W3CDTF">2015-11-06T07:26:00Z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CommencementDate">
    <vt:lpwstr>20141119</vt:lpwstr>
  </property>
  <property fmtid="{D5CDD505-2E9C-101B-9397-08002B2CF9AE}" pid="4" name="OwlsUID">
    <vt:i4>39968</vt:i4>
  </property>
  <property fmtid="{D5CDD505-2E9C-101B-9397-08002B2CF9AE}" pid="5" name="DocumentType">
    <vt:lpwstr>Reg</vt:lpwstr>
  </property>
  <property fmtid="{D5CDD505-2E9C-101B-9397-08002B2CF9AE}" pid="6" name="AsAtDate">
    <vt:lpwstr>19 Nov 2014</vt:lpwstr>
  </property>
  <property fmtid="{D5CDD505-2E9C-101B-9397-08002B2CF9AE}" pid="7" name="Suffix">
    <vt:lpwstr>00-d0-02</vt:lpwstr>
  </property>
</Properties>
</file>