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_Toc419375223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_Toc419375224 \h </w:instrText>
      </w:r>
      <w:r>
        <w:fldChar w:fldCharType="separate"/>
      </w:r>
      <w:r>
        <w:t>2</w:t>
      </w:r>
      <w:r>
        <w:fldChar w:fldCharType="end"/>
      </w:r>
    </w:p>
    <w:p>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_Toc419375225 \h </w:instrText>
      </w:r>
      <w:r>
        <w:fldChar w:fldCharType="separate"/>
      </w:r>
      <w:r>
        <w:t>2</w:t>
      </w:r>
      <w:r>
        <w:fldChar w:fldCharType="end"/>
      </w:r>
    </w:p>
    <w:p>
      <w:pPr>
        <w:pStyle w:val="TOC8"/>
        <w:rPr>
          <w:rFonts w:asciiTheme="minorHAnsi" w:eastAsiaTheme="minorEastAsia" w:hAnsiTheme="minorHAnsi" w:cstheme="minorBidi"/>
          <w:szCs w:val="22"/>
        </w:rPr>
      </w:pPr>
      <w:r>
        <w:t>4.</w:t>
      </w:r>
      <w:r>
        <w:tab/>
        <w:t>Fees (Sch. 1)</w:t>
      </w:r>
      <w:r>
        <w:tab/>
      </w:r>
      <w:r>
        <w:fldChar w:fldCharType="begin"/>
      </w:r>
      <w:r>
        <w:instrText xml:space="preserve"> PAGEREF _Toc419375226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Holding </w:t>
      </w:r>
      <w:r>
        <w:t>fee</w:t>
      </w:r>
      <w:r>
        <w:tab/>
      </w:r>
      <w:r>
        <w:fldChar w:fldCharType="begin"/>
      </w:r>
      <w:r>
        <w:instrText xml:space="preserve"> PAGEREF _Toc419375227 \h </w:instrText>
      </w:r>
      <w:r>
        <w:fldChar w:fldCharType="separate"/>
      </w:r>
      <w:r>
        <w:t>2</w:t>
      </w:r>
      <w:r>
        <w:fldChar w:fldCharType="end"/>
      </w:r>
    </w:p>
    <w:p>
      <w:pPr>
        <w:pStyle w:val="TOC8"/>
        <w:rPr>
          <w:rFonts w:asciiTheme="minorHAnsi" w:eastAsiaTheme="minorEastAsia" w:hAnsiTheme="minorHAnsi" w:cstheme="minorBidi"/>
          <w:szCs w:val="22"/>
        </w:rPr>
      </w:pPr>
      <w:r>
        <w:t>4AA.</w:t>
      </w:r>
      <w:r>
        <w:tab/>
        <w:t>CPD activities</w:t>
      </w:r>
      <w:r>
        <w:tab/>
      </w:r>
      <w:r>
        <w:fldChar w:fldCharType="begin"/>
      </w:r>
      <w:r>
        <w:instrText xml:space="preserve"> PAGEREF _Toc419375228 \h </w:instrText>
      </w:r>
      <w:r>
        <w:fldChar w:fldCharType="separate"/>
      </w:r>
      <w:r>
        <w:t>2</w:t>
      </w:r>
      <w:r>
        <w:fldChar w:fldCharType="end"/>
      </w:r>
    </w:p>
    <w:p>
      <w:pPr>
        <w:pStyle w:val="TOC8"/>
        <w:rPr>
          <w:rFonts w:asciiTheme="minorHAnsi" w:eastAsiaTheme="minorEastAsia" w:hAnsiTheme="minorHAnsi" w:cstheme="minorBidi"/>
          <w:szCs w:val="22"/>
        </w:rPr>
      </w:pPr>
      <w:r>
        <w:t>4AB.</w:t>
      </w:r>
      <w:r>
        <w:tab/>
        <w:t>Prescribed educational requirement (Act s. 31(3)(b))</w:t>
      </w:r>
      <w:r>
        <w:tab/>
      </w:r>
      <w:r>
        <w:fldChar w:fldCharType="begin"/>
      </w:r>
      <w:r>
        <w:instrText xml:space="preserve"> PAGEREF _Toc419375229 \h </w:instrText>
      </w:r>
      <w:r>
        <w:fldChar w:fldCharType="separate"/>
      </w:r>
      <w:r>
        <w:t>2</w:t>
      </w:r>
      <w:r>
        <w:fldChar w:fldCharType="end"/>
      </w:r>
    </w:p>
    <w:p>
      <w:pPr>
        <w:pStyle w:val="TOC8"/>
        <w:rPr>
          <w:rFonts w:asciiTheme="minorHAnsi" w:eastAsiaTheme="minorEastAsia" w:hAnsiTheme="minorHAnsi" w:cstheme="minorBidi"/>
          <w:szCs w:val="22"/>
        </w:rPr>
      </w:pPr>
      <w:r>
        <w:t>4AC.</w:t>
      </w:r>
      <w:r>
        <w:tab/>
        <w:t>Prescribed educational requirement (Act s. 48(5)(b))</w:t>
      </w:r>
      <w:r>
        <w:tab/>
      </w:r>
      <w:r>
        <w:fldChar w:fldCharType="begin"/>
      </w:r>
      <w:r>
        <w:instrText xml:space="preserve"> PAGEREF _Toc419375230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_Toc419375231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examinations (Act Sch. 1 cl. 1(a))</w:t>
      </w:r>
      <w:r>
        <w:tab/>
      </w:r>
      <w:r>
        <w:fldChar w:fldCharType="begin"/>
      </w:r>
      <w:r>
        <w:instrText xml:space="preserve"> PAGEREF _Toc419375232 \h </w:instrText>
      </w:r>
      <w:r>
        <w:fldChar w:fldCharType="separate"/>
      </w:r>
      <w:r>
        <w:t>2</w:t>
      </w:r>
      <w:r>
        <w:fldChar w:fldCharType="end"/>
      </w:r>
    </w:p>
    <w:p>
      <w:pPr>
        <w:pStyle w:val="TOC8"/>
        <w:rPr>
          <w:rFonts w:asciiTheme="minorHAnsi" w:eastAsiaTheme="minorEastAsia" w:hAnsiTheme="minorHAnsi" w:cstheme="minorBidi"/>
          <w:szCs w:val="22"/>
        </w:rPr>
      </w:pPr>
      <w:r>
        <w:t>6A.</w:t>
      </w:r>
      <w:r>
        <w:tab/>
        <w:t>Prescribed qualifications for sales representatives (Act s. 47(2))</w:t>
      </w:r>
      <w:r>
        <w:tab/>
      </w:r>
      <w:r>
        <w:fldChar w:fldCharType="begin"/>
      </w:r>
      <w:r>
        <w:instrText xml:space="preserve"> PAGEREF _Toc419375233 \h </w:instrText>
      </w:r>
      <w:r>
        <w:fldChar w:fldCharType="separate"/>
      </w:r>
      <w:r>
        <w:t>2</w:t>
      </w:r>
      <w:r>
        <w:fldChar w:fldCharType="end"/>
      </w:r>
    </w:p>
    <w:p>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_Toc419375234 \h </w:instrText>
      </w:r>
      <w:r>
        <w:fldChar w:fldCharType="separate"/>
      </w:r>
      <w:r>
        <w:t>2</w:t>
      </w:r>
      <w:r>
        <w:fldChar w:fldCharType="end"/>
      </w:r>
    </w:p>
    <w:p>
      <w:pPr>
        <w:pStyle w:val="TOC8"/>
        <w:rPr>
          <w:rFonts w:asciiTheme="minorHAnsi" w:eastAsiaTheme="minorEastAsia" w:hAnsiTheme="minorHAnsi" w:cstheme="minorBidi"/>
          <w:szCs w:val="22"/>
        </w:rPr>
      </w:pPr>
      <w:r>
        <w:t>6BA</w:t>
      </w:r>
      <w:r>
        <w:rPr>
          <w:snapToGrid w:val="0"/>
        </w:rPr>
        <w:t>.</w:t>
      </w:r>
      <w:r>
        <w:rPr>
          <w:snapToGrid w:val="0"/>
        </w:rPr>
        <w:tab/>
        <w:t>Appointment to act as agent, content of</w:t>
      </w:r>
      <w:r>
        <w:tab/>
      </w:r>
      <w:r>
        <w:fldChar w:fldCharType="begin"/>
      </w:r>
      <w:r>
        <w:instrText xml:space="preserve"> PAGEREF _Toc419375235 \h </w:instrText>
      </w:r>
      <w:r>
        <w:fldChar w:fldCharType="separate"/>
      </w:r>
      <w:r>
        <w:t>2</w:t>
      </w:r>
      <w:r>
        <w:fldChar w:fldCharType="end"/>
      </w:r>
    </w:p>
    <w:p>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_Toc419375236 \h </w:instrText>
      </w:r>
      <w:r>
        <w:fldChar w:fldCharType="separate"/>
      </w:r>
      <w:r>
        <w:t>2</w:t>
      </w:r>
      <w:r>
        <w:fldChar w:fldCharType="end"/>
      </w:r>
    </w:p>
    <w:p>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_Toc419375237 \h </w:instrText>
      </w:r>
      <w:r>
        <w:fldChar w:fldCharType="separate"/>
      </w:r>
      <w:r>
        <w:t>2</w:t>
      </w:r>
      <w:r>
        <w:fldChar w:fldCharType="end"/>
      </w:r>
    </w:p>
    <w:p>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_Toc419375238 \h </w:instrText>
      </w:r>
      <w:r>
        <w:fldChar w:fldCharType="separate"/>
      </w:r>
      <w:r>
        <w:t>2</w:t>
      </w:r>
      <w:r>
        <w:fldChar w:fldCharType="end"/>
      </w:r>
    </w:p>
    <w:p>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_Toc419375239 \h </w:instrText>
      </w:r>
      <w:r>
        <w:fldChar w:fldCharType="separate"/>
      </w:r>
      <w:r>
        <w:t>2</w:t>
      </w:r>
      <w:r>
        <w:fldChar w:fldCharType="end"/>
      </w:r>
    </w:p>
    <w:p>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_Toc419375240 \h </w:instrText>
      </w:r>
      <w:r>
        <w:fldChar w:fldCharType="separate"/>
      </w:r>
      <w:r>
        <w:t>2</w:t>
      </w:r>
      <w:r>
        <w:fldChar w:fldCharType="end"/>
      </w:r>
    </w:p>
    <w:p>
      <w:pPr>
        <w:pStyle w:val="TOC8"/>
        <w:rPr>
          <w:rFonts w:asciiTheme="minorHAnsi" w:eastAsiaTheme="minorEastAsia" w:hAnsiTheme="minorHAnsi" w:cstheme="minorBidi"/>
          <w:szCs w:val="22"/>
        </w:rPr>
      </w:pPr>
      <w:r>
        <w:t>6H</w:t>
      </w:r>
      <w:r>
        <w:rPr>
          <w:snapToGrid w:val="0"/>
        </w:rPr>
        <w:t>.</w:t>
      </w:r>
      <w:r>
        <w:rPr>
          <w:snapToGrid w:val="0"/>
        </w:rPr>
        <w:tab/>
        <w:t>Record keeping requirements</w:t>
      </w:r>
      <w:r>
        <w:tab/>
      </w:r>
      <w:r>
        <w:fldChar w:fldCharType="begin"/>
      </w:r>
      <w:r>
        <w:instrText xml:space="preserve"> PAGEREF _Toc419375241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Registers (Act s. 133(2))</w:t>
      </w:r>
      <w:r>
        <w:tab/>
      </w:r>
      <w:r>
        <w:fldChar w:fldCharType="begin"/>
      </w:r>
      <w:r>
        <w:instrText xml:space="preserve"> PAGEREF _Toc419375242 \h </w:instrText>
      </w:r>
      <w:r>
        <w:fldChar w:fldCharType="separate"/>
      </w:r>
      <w:r>
        <w:t>2</w:t>
      </w:r>
      <w:r>
        <w:fldChar w:fldCharType="end"/>
      </w:r>
    </w:p>
    <w:p>
      <w:pPr>
        <w:pStyle w:val="TOC8"/>
        <w:rPr>
          <w:rFonts w:asciiTheme="minorHAnsi" w:eastAsiaTheme="minorEastAsia" w:hAnsiTheme="minorHAnsi" w:cstheme="minorBidi"/>
          <w:szCs w:val="22"/>
        </w:rPr>
      </w:pPr>
      <w:r>
        <w:t>7AA.</w:t>
      </w:r>
      <w:r>
        <w:tab/>
        <w:t>Lending institution (Act s. 131A), classes of body prescribed</w:t>
      </w:r>
      <w:r>
        <w:tab/>
      </w:r>
      <w:r>
        <w:fldChar w:fldCharType="begin"/>
      </w:r>
      <w:r>
        <w:instrText xml:space="preserve"> PAGEREF _Toc419375243 \h </w:instrText>
      </w:r>
      <w:r>
        <w:fldChar w:fldCharType="separate"/>
      </w:r>
      <w:r>
        <w:t>2</w:t>
      </w:r>
      <w:r>
        <w:fldChar w:fldCharType="end"/>
      </w:r>
    </w:p>
    <w:p>
      <w:pPr>
        <w:pStyle w:val="TOC8"/>
        <w:rPr>
          <w:rFonts w:asciiTheme="minorHAnsi" w:eastAsiaTheme="minorEastAsia" w:hAnsiTheme="minorHAnsi" w:cstheme="minorBidi"/>
          <w:szCs w:val="22"/>
        </w:rPr>
      </w:pPr>
      <w:r>
        <w:lastRenderedPageBreak/>
        <w:t>7A</w:t>
      </w:r>
      <w:r>
        <w:rPr>
          <w:snapToGrid w:val="0"/>
        </w:rPr>
        <w:t>.</w:t>
      </w:r>
      <w:r>
        <w:rPr>
          <w:snapToGrid w:val="0"/>
        </w:rPr>
        <w:tab/>
        <w:t>Application for assistance from Home Buyers Assistance Account, form of (Act s. 131L(1))</w:t>
      </w:r>
      <w:r>
        <w:tab/>
      </w:r>
      <w:r>
        <w:fldChar w:fldCharType="begin"/>
      </w:r>
      <w:r>
        <w:instrText xml:space="preserve"> PAGEREF _Toc419375244 \h </w:instrText>
      </w:r>
      <w:r>
        <w:fldChar w:fldCharType="separate"/>
      </w:r>
      <w:r>
        <w:t>2</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Maximum amount prescribed (Act s. 131M(3))</w:t>
      </w:r>
      <w:r>
        <w:tab/>
      </w:r>
      <w:r>
        <w:fldChar w:fldCharType="begin"/>
      </w:r>
      <w:r>
        <w:instrText xml:space="preserve"> PAGEREF _Toc419375245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Changes in particulars, licensees to notify Commissioner of</w:t>
      </w:r>
      <w:r>
        <w:tab/>
      </w:r>
      <w:r>
        <w:fldChar w:fldCharType="begin"/>
      </w:r>
      <w:r>
        <w:instrText xml:space="preserve"> PAGEREF _Toc419375246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Fees and costs, </w:t>
      </w:r>
      <w:r>
        <w:t>recovery</w:t>
      </w:r>
      <w:r>
        <w:rPr>
          <w:snapToGrid w:val="0"/>
        </w:rPr>
        <w:t xml:space="preserve"> of</w:t>
      </w:r>
      <w:r>
        <w:tab/>
      </w:r>
      <w:r>
        <w:fldChar w:fldCharType="begin"/>
      </w:r>
      <w:r>
        <w:instrText xml:space="preserve"> PAGEREF _Toc419375247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Unsuccessful</w:t>
      </w:r>
      <w:r>
        <w:rPr>
          <w:snapToGrid w:val="0"/>
        </w:rPr>
        <w:t xml:space="preserve"> applicant for licence etc., refund to (Act s. 113)</w:t>
      </w:r>
      <w:r>
        <w:tab/>
      </w:r>
      <w:r>
        <w:fldChar w:fldCharType="begin"/>
      </w:r>
      <w:r>
        <w:instrText xml:space="preserve"> PAGEREF _Toc419375248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Real Estate and Business Agents</w:t>
      </w:r>
      <w:r>
        <w:rPr>
          <w:snapToGrid w:val="0"/>
        </w:rPr>
        <w:t xml:space="preserve"> Interest Account, application of (Act s. 127)</w:t>
      </w:r>
      <w:r>
        <w:tab/>
      </w:r>
      <w:r>
        <w:fldChar w:fldCharType="begin"/>
      </w:r>
      <w:r>
        <w:instrText xml:space="preserve"> PAGEREF _Toc419375249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Fidelity Guarantee Account, claims against</w:t>
      </w:r>
      <w:r>
        <w:tab/>
      </w:r>
      <w:r>
        <w:fldChar w:fldCharType="begin"/>
      </w:r>
      <w:r>
        <w:instrText xml:space="preserve"> PAGEREF _Toc419375250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Codes of conduct prescribed to be published (Act s. 101)</w:t>
      </w:r>
      <w:r>
        <w:tab/>
      </w:r>
      <w:r>
        <w:fldChar w:fldCharType="begin"/>
      </w:r>
      <w:r>
        <w:instrText xml:space="preserve"> PAGEREF _Toc419375251 \h </w:instrText>
      </w:r>
      <w:r>
        <w:fldChar w:fldCharType="separate"/>
      </w:r>
      <w:r>
        <w:t>2</w:t>
      </w:r>
      <w:r>
        <w:fldChar w:fldCharType="end"/>
      </w:r>
    </w:p>
    <w:p>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_Toc419375252 \h </w:instrText>
      </w:r>
      <w:r>
        <w:fldChar w:fldCharType="separate"/>
      </w:r>
      <w:r>
        <w:t>2</w:t>
      </w:r>
      <w:r>
        <w:fldChar w:fldCharType="end"/>
      </w:r>
    </w:p>
    <w:p>
      <w:pPr>
        <w:pStyle w:val="TOC8"/>
        <w:rPr>
          <w:rFonts w:asciiTheme="minorHAnsi" w:eastAsiaTheme="minorEastAsia" w:hAnsiTheme="minorHAnsi" w:cstheme="minorBidi"/>
          <w:szCs w:val="22"/>
        </w:rPr>
      </w:pPr>
      <w:r>
        <w:t>15.</w:t>
      </w:r>
      <w:r>
        <w:tab/>
        <w:t>Forms (Sch. 2)</w:t>
      </w:r>
      <w:r>
        <w:tab/>
      </w:r>
      <w:r>
        <w:fldChar w:fldCharType="begin"/>
      </w:r>
      <w:r>
        <w:instrText xml:space="preserve"> PAGEREF _Toc419375253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_Toc419375259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3" w:name="_Toc404151290"/>
      <w:bookmarkStart w:id="4" w:name="_Toc419375223"/>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404151291"/>
      <w:bookmarkStart w:id="6" w:name="_Toc419375224"/>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21; 30 Jun 2011 p. 2671.]</w:t>
      </w:r>
    </w:p>
    <w:p>
      <w:pPr>
        <w:pStyle w:val="Ednotesection"/>
      </w:pPr>
      <w:r>
        <w:t>[</w:t>
      </w:r>
      <w:r>
        <w:rPr>
          <w:b/>
        </w:rPr>
        <w:t>3.</w:t>
      </w:r>
      <w:r>
        <w:tab/>
        <w:t>Deleted in Gazette 30 Jun 2011 p. 2669.]</w:t>
      </w:r>
    </w:p>
    <w:p>
      <w:pPr>
        <w:pStyle w:val="Heading5"/>
      </w:pPr>
      <w:bookmarkStart w:id="7" w:name="_Toc404151292"/>
      <w:bookmarkStart w:id="8" w:name="_Toc419375225"/>
      <w:r>
        <w:rPr>
          <w:rStyle w:val="CharSectno"/>
        </w:rPr>
        <w:t>3A</w:t>
      </w:r>
      <w:r>
        <w:t>.</w:t>
      </w:r>
      <w:r>
        <w:tab/>
        <w:t>Prescribed duty (Act s. 4(4)(d))</w:t>
      </w:r>
      <w:bookmarkEnd w:id="7"/>
      <w:bookmarkEnd w:id="8"/>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pPr>
      <w:bookmarkStart w:id="9" w:name="_Toc404151293"/>
      <w:bookmarkStart w:id="10" w:name="_Toc419375226"/>
      <w:r>
        <w:rPr>
          <w:rStyle w:val="CharSectno"/>
        </w:rPr>
        <w:t>4</w:t>
      </w:r>
      <w:r>
        <w:t>.</w:t>
      </w:r>
      <w:r>
        <w:tab/>
        <w:t>Fees (Sch. 1)</w:t>
      </w:r>
      <w:bookmarkEnd w:id="9"/>
      <w:bookmarkEnd w:id="10"/>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in Gazette 2 Jul 1982 p. 2334; 25 Jun 1996 p. 2924.]</w:t>
      </w:r>
    </w:p>
    <w:p>
      <w:pPr>
        <w:pStyle w:val="Heading5"/>
        <w:rPr>
          <w:snapToGrid w:val="0"/>
        </w:rPr>
      </w:pPr>
      <w:bookmarkStart w:id="11" w:name="_Toc404151294"/>
      <w:bookmarkStart w:id="12" w:name="_Toc419375227"/>
      <w:r>
        <w:rPr>
          <w:rStyle w:val="CharSectno"/>
        </w:rPr>
        <w:t>4A</w:t>
      </w:r>
      <w:r>
        <w:rPr>
          <w:snapToGrid w:val="0"/>
        </w:rPr>
        <w:t>.</w:t>
      </w:r>
      <w:r>
        <w:rPr>
          <w:snapToGrid w:val="0"/>
        </w:rPr>
        <w:tab/>
        <w:t xml:space="preserve">Holding </w:t>
      </w:r>
      <w:r>
        <w:t>fee</w:t>
      </w:r>
      <w:bookmarkEnd w:id="11"/>
      <w:bookmarkEnd w:id="12"/>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25 Jun 1996 p. 2924; amended in Gazette 17 Jun 2008 p. 2558; 30 Jun 2011 p. 2671.]</w:t>
      </w:r>
    </w:p>
    <w:p>
      <w:pPr>
        <w:pStyle w:val="Heading5"/>
      </w:pPr>
      <w:bookmarkStart w:id="13" w:name="_Toc404151295"/>
      <w:bookmarkStart w:id="14" w:name="_Toc419375228"/>
      <w:r>
        <w:rPr>
          <w:rStyle w:val="CharSectno"/>
        </w:rPr>
        <w:t>4AA</w:t>
      </w:r>
      <w:r>
        <w:t>.</w:t>
      </w:r>
      <w:r>
        <w:tab/>
        <w:t>CPD activities</w:t>
      </w:r>
      <w:bookmarkEnd w:id="13"/>
      <w:bookmarkEnd w:id="14"/>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 amended in Gazette 30 Jun 2011 p. 2671.]</w:t>
      </w:r>
    </w:p>
    <w:p>
      <w:pPr>
        <w:pStyle w:val="Heading5"/>
      </w:pPr>
      <w:bookmarkStart w:id="15" w:name="_Toc404151296"/>
      <w:bookmarkStart w:id="16" w:name="_Toc419375229"/>
      <w:r>
        <w:rPr>
          <w:rStyle w:val="CharSectno"/>
        </w:rPr>
        <w:t>4AB</w:t>
      </w:r>
      <w:r>
        <w:t>.</w:t>
      </w:r>
      <w:r>
        <w:tab/>
        <w:t>Prescribed educational requirement (Act s. 31(3)(b))</w:t>
      </w:r>
      <w:bookmarkEnd w:id="15"/>
      <w:bookmarkEnd w:id="16"/>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spacing w:before="260"/>
      </w:pPr>
      <w:bookmarkStart w:id="17" w:name="_Toc404151297"/>
      <w:bookmarkStart w:id="18" w:name="_Toc419375230"/>
      <w:r>
        <w:rPr>
          <w:rStyle w:val="CharSectno"/>
        </w:rPr>
        <w:t>4AC</w:t>
      </w:r>
      <w:r>
        <w:t>.</w:t>
      </w:r>
      <w:r>
        <w:tab/>
        <w:t>Prescribed educational requirement (Act s. 48(5)(b))</w:t>
      </w:r>
      <w:bookmarkEnd w:id="17"/>
      <w:bookmarkEnd w:id="18"/>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60"/>
      </w:pPr>
      <w:bookmarkStart w:id="19" w:name="_Toc404151298"/>
      <w:bookmarkStart w:id="20" w:name="_Toc419375231"/>
      <w:r>
        <w:rPr>
          <w:rStyle w:val="CharSectno"/>
        </w:rPr>
        <w:t>4B</w:t>
      </w:r>
      <w:r>
        <w:t>.</w:t>
      </w:r>
      <w:r>
        <w:tab/>
        <w:t>Prescribed periods (Act s. 48(1), (2) and 49(2))</w:t>
      </w:r>
      <w:bookmarkEnd w:id="19"/>
      <w:bookmarkEnd w:id="20"/>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in Gazette 25 Jun 1996 p. 2924.]</w:t>
      </w:r>
    </w:p>
    <w:p>
      <w:pPr>
        <w:pStyle w:val="Ednotesection"/>
      </w:pPr>
      <w:r>
        <w:t>[</w:t>
      </w:r>
      <w:r>
        <w:rPr>
          <w:b/>
        </w:rPr>
        <w:t>5.</w:t>
      </w:r>
      <w:r>
        <w:tab/>
        <w:t>Deleted in Gazette 18 Nov 2014 p. 4324.]</w:t>
      </w:r>
    </w:p>
    <w:p>
      <w:pPr>
        <w:pStyle w:val="Heading5"/>
      </w:pPr>
      <w:bookmarkStart w:id="21" w:name="_Toc404151299"/>
      <w:bookmarkStart w:id="22" w:name="_Toc419375232"/>
      <w:r>
        <w:rPr>
          <w:rStyle w:val="CharSectno"/>
        </w:rPr>
        <w:t>6</w:t>
      </w:r>
      <w:r>
        <w:t>.</w:t>
      </w:r>
      <w:r>
        <w:tab/>
        <w:t>Prescribed examinations (Act Sch. 1 cl. 1(a))</w:t>
      </w:r>
      <w:bookmarkEnd w:id="21"/>
      <w:bookmarkEnd w:id="22"/>
    </w:p>
    <w:p>
      <w:pPr>
        <w:pStyle w:val="Subsection"/>
      </w:pPr>
      <w:r>
        <w:tab/>
        <w:t>(1)</w:t>
      </w:r>
      <w:r>
        <w:tab/>
        <w:t>The prescribed examinations for the purposes of clause 1(a) of Schedule 1 to the Act are —</w:t>
      </w:r>
    </w:p>
    <w:p>
      <w:pPr>
        <w:pStyle w:val="Indenta"/>
      </w:pPr>
      <w:r>
        <w:tab/>
        <w:t>(a)</w:t>
      </w:r>
      <w:r>
        <w:tab/>
        <w:t>the examinations which are required by a registered training provider to be passed for the conferral of a Diploma of Property (Real Estate), together with the examinations conducted by a registered training provider in the following courses —</w:t>
      </w:r>
    </w:p>
    <w:p>
      <w:pPr>
        <w:pStyle w:val="Indenti"/>
      </w:pPr>
      <w:r>
        <w:tab/>
        <w:t>(i)</w:t>
      </w:r>
      <w:r>
        <w:tab/>
        <w:t>Unit 15826 — Rural Sales; and</w:t>
      </w:r>
    </w:p>
    <w:p>
      <w:pPr>
        <w:pStyle w:val="Indenti"/>
      </w:pPr>
      <w:r>
        <w:tab/>
        <w:t>(ii)</w:t>
      </w:r>
      <w:r>
        <w:tab/>
        <w:t>Unit 15825 — Selling Businesses; and</w:t>
      </w:r>
    </w:p>
    <w:p>
      <w:pPr>
        <w:pStyle w:val="Indenti"/>
      </w:pPr>
      <w:r>
        <w:tab/>
        <w:t>(iii)</w:t>
      </w:r>
      <w:r>
        <w:tab/>
        <w:t>Unit 15892 — Real Estate Law;</w:t>
      </w:r>
    </w:p>
    <w:p>
      <w:pPr>
        <w:pStyle w:val="Indenta"/>
      </w:pPr>
      <w:r>
        <w:tab/>
      </w:r>
      <w:r>
        <w:tab/>
        <w:t>or</w:t>
      </w:r>
    </w:p>
    <w:p>
      <w:pPr>
        <w:pStyle w:val="Indenta"/>
      </w:pPr>
      <w:r>
        <w:tab/>
        <w:t>(ba)</w:t>
      </w:r>
      <w:r>
        <w:tab/>
        <w:t>the examinations which are required by a registered training provider to be passed for the conferral of a Diploma of Property Services (Agency Management) CPP50307; or</w:t>
      </w:r>
    </w:p>
    <w:p>
      <w:pPr>
        <w:pStyle w:val="Indenta"/>
      </w:pPr>
      <w:r>
        <w:tab/>
        <w:t>(b)</w:t>
      </w:r>
      <w:r>
        <w:tab/>
        <w:t>the examinations required to be passed for the conferral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t>.</w:t>
      </w:r>
    </w:p>
    <w:p>
      <w:pPr>
        <w:pStyle w:val="Footnotesection"/>
      </w:pPr>
      <w:r>
        <w:tab/>
        <w:t>[Regulation 6 inserted in Gazette 7 Feb 2003 p. 385; amended in Gazette 13 Jan 2004 p. 145; 8 May 2009 p. 1491</w:t>
      </w:r>
      <w:r>
        <w:noBreakHyphen/>
        <w:t>2; 18 Nov 2014 p. 4325.]</w:t>
      </w:r>
    </w:p>
    <w:p>
      <w:pPr>
        <w:pStyle w:val="Heading5"/>
      </w:pPr>
      <w:bookmarkStart w:id="23" w:name="_Toc404151300"/>
      <w:bookmarkStart w:id="24" w:name="_Toc419375233"/>
      <w:r>
        <w:rPr>
          <w:rStyle w:val="CharSectno"/>
        </w:rPr>
        <w:t>6A</w:t>
      </w:r>
      <w:r>
        <w:t>.</w:t>
      </w:r>
      <w:r>
        <w:tab/>
        <w:t>Prescribed qualifications for sales representatives (Act s. 47(2))</w:t>
      </w:r>
      <w:bookmarkEnd w:id="23"/>
      <w:bookmarkEnd w:id="24"/>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in Gazette 7 Feb 2003 p. 386; amended in Gazette 24 Jun 2008 p. 2886</w:t>
      </w:r>
      <w:r>
        <w:noBreakHyphen/>
        <w:t>7.]</w:t>
      </w:r>
    </w:p>
    <w:p>
      <w:pPr>
        <w:pStyle w:val="Heading5"/>
      </w:pPr>
      <w:bookmarkStart w:id="25" w:name="_Toc404151301"/>
      <w:bookmarkStart w:id="26" w:name="_Toc419375234"/>
      <w:r>
        <w:rPr>
          <w:rStyle w:val="CharSectno"/>
        </w:rPr>
        <w:t>6B</w:t>
      </w:r>
      <w:r>
        <w:t>.</w:t>
      </w:r>
      <w:r>
        <w:tab/>
        <w:t>Certificate of registration, grant of (Act s. 47)</w:t>
      </w:r>
      <w:bookmarkEnd w:id="25"/>
      <w:bookmarkEnd w:id="26"/>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7; 30 Dec 2004 p. 6924; 17 Nov 2006 p. 4760; 30 Jun 2011 p. 2671.]</w:t>
      </w:r>
    </w:p>
    <w:p>
      <w:pPr>
        <w:pStyle w:val="Heading5"/>
        <w:rPr>
          <w:snapToGrid w:val="0"/>
        </w:rPr>
      </w:pPr>
      <w:bookmarkStart w:id="27" w:name="_Toc404151302"/>
      <w:bookmarkStart w:id="28" w:name="_Toc419375235"/>
      <w:r>
        <w:rPr>
          <w:rStyle w:val="CharSectno"/>
        </w:rPr>
        <w:t>6BA</w:t>
      </w:r>
      <w:r>
        <w:rPr>
          <w:snapToGrid w:val="0"/>
        </w:rPr>
        <w:t>.</w:t>
      </w:r>
      <w:r>
        <w:rPr>
          <w:snapToGrid w:val="0"/>
        </w:rPr>
        <w:tab/>
        <w:t>Appointment to act as agent, content of</w:t>
      </w:r>
      <w:bookmarkEnd w:id="27"/>
      <w:bookmarkEnd w:id="28"/>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5; amended in Gazette 30 Jun 2011 p. 2671.]</w:t>
      </w:r>
    </w:p>
    <w:p>
      <w:pPr>
        <w:pStyle w:val="Heading5"/>
      </w:pPr>
      <w:bookmarkStart w:id="29" w:name="_Toc404151303"/>
      <w:bookmarkStart w:id="30" w:name="_Toc419375236"/>
      <w:r>
        <w:rPr>
          <w:rStyle w:val="CharSectno"/>
        </w:rPr>
        <w:t>6C</w:t>
      </w:r>
      <w:r>
        <w:t>.</w:t>
      </w:r>
      <w:r>
        <w:tab/>
        <w:t>Authorised financial institution (Act s. 67), classes of body prescribed</w:t>
      </w:r>
      <w:bookmarkEnd w:id="29"/>
      <w:bookmarkEnd w:id="30"/>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in Gazette 25 Jun 1996 p. 2918.]</w:t>
      </w:r>
    </w:p>
    <w:p>
      <w:pPr>
        <w:pStyle w:val="Heading5"/>
      </w:pPr>
      <w:bookmarkStart w:id="31" w:name="_Toc404151304"/>
      <w:bookmarkStart w:id="32" w:name="_Toc419375237"/>
      <w:r>
        <w:rPr>
          <w:rStyle w:val="CharSectno"/>
        </w:rPr>
        <w:t>6D</w:t>
      </w:r>
      <w:r>
        <w:t>.</w:t>
      </w:r>
      <w:r>
        <w:tab/>
        <w:t>Trust accounts, designation of (Act s. 68(1))</w:t>
      </w:r>
      <w:bookmarkEnd w:id="31"/>
      <w:bookmarkEnd w:id="32"/>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spacing w:before="100"/>
        <w:rPr>
          <w:snapToGrid w:val="0"/>
        </w:rPr>
      </w:pPr>
      <w:r>
        <w:rPr>
          <w:snapToGrid w:val="0"/>
        </w:rPr>
        <w:tab/>
        <w:t>(a)</w:t>
      </w:r>
      <w:r>
        <w:rPr>
          <w:snapToGrid w:val="0"/>
        </w:rPr>
        <w:tab/>
        <w:t>the description “REBA Trust Account” or “REBA Tenancy Bond Trust Account” as appropriate;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19.]</w:t>
      </w:r>
    </w:p>
    <w:p>
      <w:pPr>
        <w:pStyle w:val="Heading5"/>
      </w:pPr>
      <w:bookmarkStart w:id="33" w:name="_Toc404151305"/>
      <w:bookmarkStart w:id="34" w:name="_Toc419375238"/>
      <w:r>
        <w:rPr>
          <w:rStyle w:val="CharSectno"/>
        </w:rPr>
        <w:t>6E</w:t>
      </w:r>
      <w:r>
        <w:t>.</w:t>
      </w:r>
      <w:r>
        <w:tab/>
        <w:t>Separate trust accounts, requests for, requirements prescribed (Act s. 68A(4))</w:t>
      </w:r>
      <w:bookmarkEnd w:id="33"/>
      <w:bookmarkEnd w:id="34"/>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in Gazette 25 Jun 1996 p. 2919.]</w:t>
      </w:r>
    </w:p>
    <w:p>
      <w:pPr>
        <w:pStyle w:val="Heading5"/>
        <w:spacing w:before="260"/>
      </w:pPr>
      <w:bookmarkStart w:id="35" w:name="_Toc404151306"/>
      <w:bookmarkStart w:id="36" w:name="_Toc419375239"/>
      <w:r>
        <w:rPr>
          <w:rStyle w:val="CharSectno"/>
        </w:rPr>
        <w:t>6F</w:t>
      </w:r>
      <w:r>
        <w:t>.</w:t>
      </w:r>
      <w:r>
        <w:tab/>
        <w:t>Trust accounts, interest on (Act s. 68B(1))</w:t>
      </w:r>
      <w:bookmarkEnd w:id="35"/>
      <w:bookmarkEnd w:id="36"/>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[Regulation 6F inserted in Gazette 25 Jun 1996 p. 2919.]</w:t>
      </w:r>
    </w:p>
    <w:p>
      <w:pPr>
        <w:pStyle w:val="Heading5"/>
        <w:spacing w:before="260"/>
      </w:pPr>
      <w:bookmarkStart w:id="37" w:name="_Toc404151307"/>
      <w:bookmarkStart w:id="38" w:name="_Toc419375240"/>
      <w:r>
        <w:rPr>
          <w:rStyle w:val="CharSectno"/>
        </w:rPr>
        <w:t>6G</w:t>
      </w:r>
      <w:r>
        <w:t>.</w:t>
      </w:r>
      <w:r>
        <w:tab/>
        <w:t>Receipts by agents, information in (Act s. 69(1)(a))</w:t>
      </w:r>
      <w:bookmarkEnd w:id="37"/>
      <w:bookmarkEnd w:id="38"/>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in Gazette 25 Jun 1996 p. 2919; amended in Gazette 17 Nov 2006 p. 4760.]</w:t>
      </w:r>
    </w:p>
    <w:p>
      <w:pPr>
        <w:pStyle w:val="Heading5"/>
        <w:rPr>
          <w:snapToGrid w:val="0"/>
        </w:rPr>
      </w:pPr>
      <w:bookmarkStart w:id="39" w:name="_Toc404151308"/>
      <w:bookmarkStart w:id="40" w:name="_Toc419375241"/>
      <w:r>
        <w:rPr>
          <w:rStyle w:val="CharSectno"/>
        </w:rPr>
        <w:t>6H</w:t>
      </w:r>
      <w:r>
        <w:rPr>
          <w:snapToGrid w:val="0"/>
        </w:rPr>
        <w:t>.</w:t>
      </w:r>
      <w:r>
        <w:rPr>
          <w:snapToGrid w:val="0"/>
        </w:rPr>
        <w:tab/>
        <w:t>Record keeping requirements</w:t>
      </w:r>
      <w:bookmarkEnd w:id="39"/>
      <w:bookmarkEnd w:id="40"/>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20.]</w:t>
      </w:r>
    </w:p>
    <w:p>
      <w:pPr>
        <w:pStyle w:val="Heading5"/>
        <w:rPr>
          <w:snapToGrid w:val="0"/>
        </w:rPr>
      </w:pPr>
      <w:bookmarkStart w:id="41" w:name="_Toc404151309"/>
      <w:bookmarkStart w:id="42" w:name="_Toc419375242"/>
      <w:r>
        <w:rPr>
          <w:rStyle w:val="CharSectno"/>
        </w:rPr>
        <w:t>7</w:t>
      </w:r>
      <w:r>
        <w:rPr>
          <w:snapToGrid w:val="0"/>
        </w:rPr>
        <w:t>.</w:t>
      </w:r>
      <w:r>
        <w:rPr>
          <w:snapToGrid w:val="0"/>
        </w:rPr>
        <w:tab/>
        <w:t>Registers (Act s. 133(2))</w:t>
      </w:r>
      <w:bookmarkEnd w:id="41"/>
      <w:bookmarkEnd w:id="42"/>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 30 Jun 2011 p. 2671.]</w:t>
      </w:r>
    </w:p>
    <w:p>
      <w:pPr>
        <w:pStyle w:val="Heading5"/>
      </w:pPr>
      <w:bookmarkStart w:id="43" w:name="_Toc404151310"/>
      <w:bookmarkStart w:id="44" w:name="_Toc419375243"/>
      <w:r>
        <w:rPr>
          <w:rStyle w:val="CharSectno"/>
        </w:rPr>
        <w:t>7AA</w:t>
      </w:r>
      <w:r>
        <w:t>.</w:t>
      </w:r>
      <w:r>
        <w:tab/>
        <w:t>Lending institution (Act s. 131A), classes of body prescribed</w:t>
      </w:r>
      <w:bookmarkEnd w:id="43"/>
      <w:bookmarkEnd w:id="44"/>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in Gazette 25 Jun 1996 p. 2920; amended in Gazette 18 Nov 2014 p. 4325.]</w:t>
      </w:r>
    </w:p>
    <w:p>
      <w:pPr>
        <w:pStyle w:val="Heading5"/>
        <w:rPr>
          <w:snapToGrid w:val="0"/>
        </w:rPr>
      </w:pPr>
      <w:bookmarkStart w:id="45" w:name="_Toc404151311"/>
      <w:bookmarkStart w:id="46" w:name="_Toc419375244"/>
      <w:r>
        <w:rPr>
          <w:rStyle w:val="CharSectno"/>
        </w:rPr>
        <w:t>7A</w:t>
      </w:r>
      <w:r>
        <w:rPr>
          <w:snapToGrid w:val="0"/>
        </w:rPr>
        <w:t>.</w:t>
      </w:r>
      <w:r>
        <w:rPr>
          <w:snapToGrid w:val="0"/>
        </w:rPr>
        <w:tab/>
        <w:t>Application for assistance from Home Buyers Assistance Account, form of (Act s. 131L(1))</w:t>
      </w:r>
      <w:bookmarkEnd w:id="45"/>
      <w:bookmarkEnd w:id="46"/>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in Gazette 2 Jul 1982 p. 2355.]</w:t>
      </w:r>
    </w:p>
    <w:p>
      <w:pPr>
        <w:pStyle w:val="Heading5"/>
        <w:rPr>
          <w:snapToGrid w:val="0"/>
        </w:rPr>
      </w:pPr>
      <w:bookmarkStart w:id="47" w:name="_Toc404151312"/>
      <w:bookmarkStart w:id="48" w:name="_Toc419375245"/>
      <w:r>
        <w:rPr>
          <w:rStyle w:val="CharSectno"/>
        </w:rPr>
        <w:t>7B</w:t>
      </w:r>
      <w:r>
        <w:rPr>
          <w:snapToGrid w:val="0"/>
        </w:rPr>
        <w:t>.</w:t>
      </w:r>
      <w:r>
        <w:rPr>
          <w:snapToGrid w:val="0"/>
        </w:rPr>
        <w:tab/>
        <w:t>Maximum amount prescribed (Act s. 131M(3))</w:t>
      </w:r>
      <w:bookmarkEnd w:id="47"/>
      <w:bookmarkEnd w:id="48"/>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in Gazette 30 Sep 1994 p. 4969.]</w:t>
      </w:r>
    </w:p>
    <w:p>
      <w:pPr>
        <w:pStyle w:val="Heading5"/>
        <w:rPr>
          <w:snapToGrid w:val="0"/>
        </w:rPr>
      </w:pPr>
      <w:bookmarkStart w:id="49" w:name="_Toc404151313"/>
      <w:bookmarkStart w:id="50" w:name="_Toc419375246"/>
      <w:r>
        <w:rPr>
          <w:rStyle w:val="CharSectno"/>
        </w:rPr>
        <w:t>8</w:t>
      </w:r>
      <w:r>
        <w:rPr>
          <w:snapToGrid w:val="0"/>
        </w:rPr>
        <w:t>.</w:t>
      </w:r>
      <w:r>
        <w:rPr>
          <w:snapToGrid w:val="0"/>
        </w:rPr>
        <w:tab/>
        <w:t>Changes in particulars, licensees to notify Commissioner of</w:t>
      </w:r>
      <w:bookmarkEnd w:id="49"/>
      <w:bookmarkEnd w:id="50"/>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in Gazette 30 Jun 2011 p. 2672.]</w:t>
      </w:r>
    </w:p>
    <w:p>
      <w:pPr>
        <w:pStyle w:val="Heading5"/>
        <w:rPr>
          <w:snapToGrid w:val="0"/>
        </w:rPr>
      </w:pPr>
      <w:bookmarkStart w:id="51" w:name="_Toc404151314"/>
      <w:bookmarkStart w:id="52" w:name="_Toc419375247"/>
      <w:r>
        <w:rPr>
          <w:rStyle w:val="CharSectno"/>
        </w:rPr>
        <w:t>9</w:t>
      </w:r>
      <w:r>
        <w:rPr>
          <w:snapToGrid w:val="0"/>
        </w:rPr>
        <w:t>.</w:t>
      </w:r>
      <w:r>
        <w:rPr>
          <w:snapToGrid w:val="0"/>
        </w:rPr>
        <w:tab/>
        <w:t xml:space="preserve">Fees and costs, </w:t>
      </w:r>
      <w:r>
        <w:t>recovery</w:t>
      </w:r>
      <w:r>
        <w:rPr>
          <w:snapToGrid w:val="0"/>
        </w:rPr>
        <w:t xml:space="preserve"> of</w:t>
      </w:r>
      <w:bookmarkEnd w:id="51"/>
      <w:bookmarkEnd w:id="52"/>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in Gazette 30 Dec 2004 p. 6924; 30 Jun 2011 p. 2672.]</w:t>
      </w:r>
    </w:p>
    <w:p>
      <w:pPr>
        <w:pStyle w:val="Heading5"/>
        <w:rPr>
          <w:snapToGrid w:val="0"/>
        </w:rPr>
      </w:pPr>
      <w:bookmarkStart w:id="53" w:name="_Toc404151315"/>
      <w:bookmarkStart w:id="54" w:name="_Toc419375248"/>
      <w:r>
        <w:rPr>
          <w:rStyle w:val="CharSectno"/>
        </w:rPr>
        <w:t>10</w:t>
      </w:r>
      <w:r>
        <w:rPr>
          <w:snapToGrid w:val="0"/>
        </w:rPr>
        <w:t>.</w:t>
      </w:r>
      <w:r>
        <w:rPr>
          <w:snapToGrid w:val="0"/>
        </w:rPr>
        <w:tab/>
      </w:r>
      <w:r>
        <w:t>Unsuccessful</w:t>
      </w:r>
      <w:r>
        <w:rPr>
          <w:snapToGrid w:val="0"/>
        </w:rPr>
        <w:t xml:space="preserve"> applicant for licence etc., refund to (Act s. 113)</w:t>
      </w:r>
      <w:bookmarkEnd w:id="53"/>
      <w:bookmarkEnd w:id="54"/>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 30 Jun 2011 p. 2672.]</w:t>
      </w:r>
    </w:p>
    <w:p>
      <w:pPr>
        <w:pStyle w:val="Heading5"/>
        <w:rPr>
          <w:snapToGrid w:val="0"/>
        </w:rPr>
      </w:pPr>
      <w:bookmarkStart w:id="55" w:name="_Toc404151316"/>
      <w:bookmarkStart w:id="56" w:name="_Toc419375249"/>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55"/>
      <w:bookmarkEnd w:id="56"/>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6; 30 Jun 2011 p. 2672.]</w:t>
      </w:r>
    </w:p>
    <w:p>
      <w:pPr>
        <w:pStyle w:val="Ednotesection"/>
      </w:pPr>
      <w:r>
        <w:t>[</w:t>
      </w:r>
      <w:r>
        <w:rPr>
          <w:b/>
        </w:rPr>
        <w:t>11A, 11AA and 11B.</w:t>
      </w:r>
      <w:r>
        <w:tab/>
        <w:t>Deleted in Gazette 25 Jun 1996 p. 2920.]</w:t>
      </w:r>
    </w:p>
    <w:p>
      <w:pPr>
        <w:pStyle w:val="Heading5"/>
        <w:rPr>
          <w:snapToGrid w:val="0"/>
        </w:rPr>
      </w:pPr>
      <w:bookmarkStart w:id="57" w:name="_Toc404151317"/>
      <w:bookmarkStart w:id="58" w:name="_Toc419375250"/>
      <w:r>
        <w:rPr>
          <w:rStyle w:val="CharSectno"/>
        </w:rPr>
        <w:t>12</w:t>
      </w:r>
      <w:r>
        <w:rPr>
          <w:snapToGrid w:val="0"/>
        </w:rPr>
        <w:t>.</w:t>
      </w:r>
      <w:r>
        <w:rPr>
          <w:snapToGrid w:val="0"/>
        </w:rPr>
        <w:tab/>
        <w:t>Fidelity Guarantee Account, claims against</w:t>
      </w:r>
      <w:bookmarkEnd w:id="57"/>
      <w:bookmarkEnd w:id="58"/>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59" w:name="_Toc404151318"/>
      <w:bookmarkStart w:id="60" w:name="_Toc419375251"/>
      <w:r>
        <w:rPr>
          <w:rStyle w:val="CharSectno"/>
        </w:rPr>
        <w:t>13</w:t>
      </w:r>
      <w:r>
        <w:rPr>
          <w:snapToGrid w:val="0"/>
        </w:rPr>
        <w:t>.</w:t>
      </w:r>
      <w:r>
        <w:rPr>
          <w:snapToGrid w:val="0"/>
        </w:rPr>
        <w:tab/>
        <w:t>Codes of conduct prescribed to be published (Act s. 101)</w:t>
      </w:r>
      <w:bookmarkEnd w:id="59"/>
      <w:bookmarkEnd w:id="60"/>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in Gazette 30 Jun 2011 p. 2672.]</w:t>
      </w:r>
    </w:p>
    <w:p>
      <w:pPr>
        <w:pStyle w:val="Heading5"/>
      </w:pPr>
      <w:bookmarkStart w:id="61" w:name="_Toc404151319"/>
      <w:bookmarkStart w:id="62" w:name="_Toc419375252"/>
      <w:r>
        <w:rPr>
          <w:rStyle w:val="CharSectno"/>
        </w:rPr>
        <w:t>14</w:t>
      </w:r>
      <w:r>
        <w:t>.</w:t>
      </w:r>
      <w:r>
        <w:tab/>
        <w:t>Infringement notices</w:t>
      </w:r>
      <w:bookmarkEnd w:id="61"/>
      <w:bookmarkEnd w:id="62"/>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in Gazette 28 Aug 2009 p. 3348; amended in Gazette 30 Jun 2011 p. 2672.]</w:t>
      </w:r>
    </w:p>
    <w:p>
      <w:pPr>
        <w:pStyle w:val="Heading5"/>
      </w:pPr>
      <w:bookmarkStart w:id="63" w:name="_Toc404151320"/>
      <w:bookmarkStart w:id="64" w:name="_Toc419375253"/>
      <w:r>
        <w:rPr>
          <w:rStyle w:val="CharSectno"/>
        </w:rPr>
        <w:t>15</w:t>
      </w:r>
      <w:r>
        <w:t>.</w:t>
      </w:r>
      <w:r>
        <w:tab/>
        <w:t>Forms (Sch. 2)</w:t>
      </w:r>
      <w:bookmarkEnd w:id="63"/>
      <w:bookmarkEnd w:id="64"/>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65" w:name="_Toc404151321"/>
      <w:bookmarkStart w:id="66" w:name="_Toc419375217"/>
      <w:bookmarkStart w:id="67" w:name="_Toc419375254"/>
      <w:r>
        <w:rPr>
          <w:rStyle w:val="CharSchNo"/>
        </w:rPr>
        <w:t>Schedule 1</w:t>
      </w:r>
      <w:r>
        <w:t> — </w:t>
      </w:r>
      <w:r>
        <w:rPr>
          <w:rStyle w:val="CharSchText"/>
        </w:rPr>
        <w:t>Fees</w:t>
      </w:r>
      <w:bookmarkEnd w:id="65"/>
      <w:bookmarkEnd w:id="66"/>
      <w:bookmarkEnd w:id="67"/>
    </w:p>
    <w:p>
      <w:pPr>
        <w:pStyle w:val="yShoulderClause"/>
      </w:pPr>
      <w:r>
        <w:t>[r. 4 and 4A]</w:t>
      </w:r>
    </w:p>
    <w:p>
      <w:pPr>
        <w:pStyle w:val="yFootnoteheading"/>
        <w:spacing w:before="180" w:after="60"/>
      </w:pPr>
      <w:r>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trPr>
          <w:tblHeader/>
        </w:trPr>
        <w:tc>
          <w:tcPr>
            <w:tcW w:w="960" w:type="dxa"/>
          </w:tcPr>
          <w:p>
            <w:pPr>
              <w:pStyle w:val="yTableNAm"/>
              <w:rPr>
                <w:b/>
                <w:bCs/>
              </w:rPr>
            </w:pPr>
            <w:r>
              <w:rPr>
                <w:b/>
                <w:bCs/>
              </w:rPr>
              <w:t>Item</w:t>
            </w:r>
          </w:p>
        </w:tc>
        <w:tc>
          <w:tcPr>
            <w:tcW w:w="5082" w:type="dxa"/>
          </w:tcPr>
          <w:p>
            <w:pPr>
              <w:pStyle w:val="yTableNAm"/>
              <w:tabs>
                <w:tab w:val="left" w:leader="dot" w:pos="2643"/>
              </w:tabs>
              <w:rPr>
                <w:b/>
                <w:bCs/>
              </w:rPr>
            </w:pPr>
            <w:r>
              <w:rPr>
                <w:b/>
                <w:bCs/>
              </w:rPr>
              <w:t>Type of fee</w:t>
            </w:r>
          </w:p>
        </w:tc>
        <w:tc>
          <w:tcPr>
            <w:tcW w:w="1038" w:type="dxa"/>
          </w:tcPr>
          <w:p>
            <w:pPr>
              <w:pStyle w:val="yTableNAm"/>
              <w:tabs>
                <w:tab w:val="clear" w:pos="567"/>
              </w:tabs>
              <w:rPr>
                <w:b/>
                <w:bCs/>
              </w:rPr>
            </w:pPr>
            <w:r>
              <w:rPr>
                <w:b/>
                <w:bCs/>
              </w:rPr>
              <w:t>Fee</w:t>
            </w:r>
          </w:p>
        </w:tc>
      </w:tr>
      <w:tr>
        <w:tc>
          <w:tcPr>
            <w:tcW w:w="960" w:type="dxa"/>
          </w:tcPr>
          <w:p>
            <w:pPr>
              <w:pStyle w:val="yTableNAm"/>
            </w:pPr>
            <w:r>
              <w:t>1.</w:t>
            </w:r>
          </w:p>
        </w:tc>
        <w:tc>
          <w:tcPr>
            <w:tcW w:w="5082" w:type="dxa"/>
          </w:tcPr>
          <w:p>
            <w:pPr>
              <w:pStyle w:val="yTableNAm"/>
              <w:tabs>
                <w:tab w:val="left" w:leader="dot" w:pos="4866"/>
              </w:tabs>
            </w:pPr>
            <w:r>
              <w:t xml:space="preserve">Application for licence </w:t>
            </w:r>
            <w:r>
              <w:tab/>
            </w:r>
          </w:p>
        </w:tc>
        <w:tc>
          <w:tcPr>
            <w:tcW w:w="1038" w:type="dxa"/>
          </w:tcPr>
          <w:p>
            <w:pPr>
              <w:pStyle w:val="yTableNAm"/>
              <w:tabs>
                <w:tab w:val="left" w:pos="1103"/>
              </w:tabs>
            </w:pPr>
            <w:r>
              <w:rPr>
                <w:szCs w:val="22"/>
              </w:rPr>
              <w:t>$70.00</w:t>
            </w:r>
          </w:p>
        </w:tc>
      </w:tr>
      <w:tr>
        <w:tc>
          <w:tcPr>
            <w:tcW w:w="960" w:type="dxa"/>
          </w:tcPr>
          <w:p>
            <w:pPr>
              <w:pStyle w:val="yTableNAm"/>
            </w:pPr>
            <w:r>
              <w:t>2.</w:t>
            </w:r>
          </w:p>
        </w:tc>
        <w:tc>
          <w:tcPr>
            <w:tcW w:w="5082" w:type="dxa"/>
          </w:tcPr>
          <w:p>
            <w:pPr>
              <w:pStyle w:val="yTableNAm"/>
              <w:tabs>
                <w:tab w:val="left" w:leader="dot" w:pos="4866"/>
              </w:tabs>
            </w:pPr>
            <w:r>
              <w:t xml:space="preserve">Grant of licence </w:t>
            </w:r>
            <w:r>
              <w:tab/>
            </w:r>
          </w:p>
        </w:tc>
        <w:tc>
          <w:tcPr>
            <w:tcW w:w="1038" w:type="dxa"/>
          </w:tcPr>
          <w:p>
            <w:pPr>
              <w:pStyle w:val="yTableNAm"/>
              <w:tabs>
                <w:tab w:val="left" w:pos="1103"/>
              </w:tabs>
            </w:pPr>
            <w:r>
              <w:rPr>
                <w:szCs w:val="22"/>
              </w:rPr>
              <w:t>$739.00</w:t>
            </w:r>
          </w:p>
        </w:tc>
      </w:tr>
      <w:tr>
        <w:tc>
          <w:tcPr>
            <w:tcW w:w="960" w:type="dxa"/>
          </w:tcPr>
          <w:p>
            <w:pPr>
              <w:pStyle w:val="yTableNAm"/>
            </w:pPr>
            <w:r>
              <w:t>3.</w:t>
            </w:r>
          </w:p>
        </w:tc>
        <w:tc>
          <w:tcPr>
            <w:tcW w:w="5082" w:type="dxa"/>
          </w:tcPr>
          <w:p>
            <w:pPr>
              <w:pStyle w:val="yTableNAm"/>
              <w:tabs>
                <w:tab w:val="left" w:leader="dot" w:pos="4866"/>
              </w:tabs>
            </w:pPr>
            <w:r>
              <w:t xml:space="preserve">Grant of licence to firm </w:t>
            </w:r>
            <w:r>
              <w:tab/>
            </w:r>
          </w:p>
        </w:tc>
        <w:tc>
          <w:tcPr>
            <w:tcW w:w="1038" w:type="dxa"/>
          </w:tcPr>
          <w:p>
            <w:pPr>
              <w:pStyle w:val="yTableNAm"/>
              <w:tabs>
                <w:tab w:val="left" w:pos="1103"/>
              </w:tabs>
            </w:pPr>
            <w:r>
              <w:rPr>
                <w:szCs w:val="22"/>
              </w:rPr>
              <w:t>$967.00</w:t>
            </w:r>
          </w:p>
        </w:tc>
      </w:tr>
      <w:tr>
        <w:tc>
          <w:tcPr>
            <w:tcW w:w="960" w:type="dxa"/>
          </w:tcPr>
          <w:p>
            <w:pPr>
              <w:pStyle w:val="yTableNAm"/>
            </w:pPr>
            <w:r>
              <w:t>4.</w:t>
            </w:r>
          </w:p>
        </w:tc>
        <w:tc>
          <w:tcPr>
            <w:tcW w:w="5082" w:type="dxa"/>
          </w:tcPr>
          <w:p>
            <w:pPr>
              <w:pStyle w:val="yTableNAm"/>
              <w:tabs>
                <w:tab w:val="left" w:leader="dot" w:pos="4866"/>
              </w:tabs>
            </w:pPr>
            <w:r>
              <w:t xml:space="preserve">Grant of licence to body corporate </w:t>
            </w:r>
            <w:r>
              <w:tab/>
            </w:r>
          </w:p>
        </w:tc>
        <w:tc>
          <w:tcPr>
            <w:tcW w:w="1038" w:type="dxa"/>
          </w:tcPr>
          <w:p>
            <w:pPr>
              <w:pStyle w:val="yTableNAm"/>
              <w:tabs>
                <w:tab w:val="left" w:pos="1103"/>
              </w:tabs>
            </w:pPr>
            <w:r>
              <w:rPr>
                <w:szCs w:val="22"/>
              </w:rPr>
              <w:t>$967.00</w:t>
            </w:r>
          </w:p>
        </w:tc>
      </w:tr>
      <w:tr>
        <w:tc>
          <w:tcPr>
            <w:tcW w:w="960" w:type="dxa"/>
          </w:tcPr>
          <w:p>
            <w:pPr>
              <w:pStyle w:val="yTableNAm"/>
            </w:pPr>
            <w:r>
              <w:t>5.</w:t>
            </w:r>
          </w:p>
        </w:tc>
        <w:tc>
          <w:tcPr>
            <w:tcW w:w="5082" w:type="dxa"/>
          </w:tcPr>
          <w:p>
            <w:pPr>
              <w:pStyle w:val="yTableNAm"/>
              <w:tabs>
                <w:tab w:val="left" w:leader="dot" w:pos="4866"/>
              </w:tabs>
            </w:pPr>
            <w:r>
              <w:t xml:space="preserve">Renewal of triennial certificate </w:t>
            </w:r>
            <w:r>
              <w:tab/>
            </w:r>
          </w:p>
        </w:tc>
        <w:tc>
          <w:tcPr>
            <w:tcW w:w="1038" w:type="dxa"/>
          </w:tcPr>
          <w:p>
            <w:pPr>
              <w:pStyle w:val="yTableNAm"/>
              <w:tabs>
                <w:tab w:val="left" w:pos="1103"/>
              </w:tabs>
            </w:pPr>
            <w:r>
              <w:rPr>
                <w:szCs w:val="22"/>
              </w:rPr>
              <w:t>$475.00</w:t>
            </w:r>
          </w:p>
        </w:tc>
      </w:tr>
      <w:tr>
        <w:tc>
          <w:tcPr>
            <w:tcW w:w="960" w:type="dxa"/>
          </w:tcPr>
          <w:p>
            <w:pPr>
              <w:pStyle w:val="yTableNAm"/>
            </w:pPr>
            <w:r>
              <w:t>6.</w:t>
            </w:r>
          </w:p>
        </w:tc>
        <w:tc>
          <w:tcPr>
            <w:tcW w:w="5082" w:type="dxa"/>
          </w:tcPr>
          <w:p>
            <w:pPr>
              <w:pStyle w:val="yTableNAm"/>
              <w:tabs>
                <w:tab w:val="left" w:leader="dot" w:pos="4866"/>
              </w:tabs>
            </w:pPr>
            <w:r>
              <w:t xml:space="preserve">Grant of certificate of registration </w:t>
            </w:r>
            <w:r>
              <w:tab/>
            </w:r>
          </w:p>
        </w:tc>
        <w:tc>
          <w:tcPr>
            <w:tcW w:w="1038" w:type="dxa"/>
          </w:tcPr>
          <w:p>
            <w:pPr>
              <w:pStyle w:val="yTableNAm"/>
              <w:tabs>
                <w:tab w:val="left" w:pos="1103"/>
              </w:tabs>
            </w:pPr>
            <w:r>
              <w:rPr>
                <w:szCs w:val="22"/>
              </w:rPr>
              <w:t>$188.00</w:t>
            </w:r>
          </w:p>
        </w:tc>
      </w:tr>
      <w:tr>
        <w:tc>
          <w:tcPr>
            <w:tcW w:w="960" w:type="dxa"/>
          </w:tcPr>
          <w:p>
            <w:pPr>
              <w:pStyle w:val="yTableNAm"/>
            </w:pPr>
            <w:r>
              <w:t>7.</w:t>
            </w:r>
          </w:p>
        </w:tc>
        <w:tc>
          <w:tcPr>
            <w:tcW w:w="5082" w:type="dxa"/>
          </w:tcPr>
          <w:p>
            <w:pPr>
              <w:pStyle w:val="yTableNAm"/>
              <w:tabs>
                <w:tab w:val="left" w:leader="dot" w:pos="4866"/>
              </w:tabs>
            </w:pPr>
            <w:r>
              <w:t xml:space="preserve">Renewal of certificate of registration </w:t>
            </w:r>
            <w:r>
              <w:tab/>
            </w:r>
          </w:p>
        </w:tc>
        <w:tc>
          <w:tcPr>
            <w:tcW w:w="1038" w:type="dxa"/>
          </w:tcPr>
          <w:p>
            <w:pPr>
              <w:pStyle w:val="yTableNAm"/>
              <w:tabs>
                <w:tab w:val="left" w:pos="1103"/>
              </w:tabs>
            </w:pPr>
            <w:r>
              <w:rPr>
                <w:szCs w:val="22"/>
              </w:rPr>
              <w:t>$154.50</w:t>
            </w:r>
          </w:p>
        </w:tc>
      </w:tr>
      <w:tr>
        <w:tc>
          <w:tcPr>
            <w:tcW w:w="960" w:type="dxa"/>
          </w:tcPr>
          <w:p>
            <w:pPr>
              <w:pStyle w:val="yTableNAm"/>
            </w:pPr>
            <w:r>
              <w:t>8.</w:t>
            </w:r>
          </w:p>
        </w:tc>
        <w:tc>
          <w:tcPr>
            <w:tcW w:w="5082" w:type="dxa"/>
          </w:tcPr>
          <w:p>
            <w:pPr>
              <w:pStyle w:val="yTableNAm"/>
              <w:tabs>
                <w:tab w:val="left" w:leader="dot" w:pos="4866"/>
              </w:tabs>
            </w:pPr>
            <w:r>
              <w:t xml:space="preserve">Inspection of a register </w:t>
            </w:r>
            <w:r>
              <w:tab/>
            </w:r>
          </w:p>
        </w:tc>
        <w:tc>
          <w:tcPr>
            <w:tcW w:w="1038" w:type="dxa"/>
          </w:tcPr>
          <w:p>
            <w:pPr>
              <w:pStyle w:val="yTableNAm"/>
              <w:tabs>
                <w:tab w:val="left" w:pos="1103"/>
              </w:tabs>
            </w:pPr>
            <w:r>
              <w:rPr>
                <w:szCs w:val="22"/>
              </w:rPr>
              <w:t>$10.90</w:t>
            </w:r>
          </w:p>
        </w:tc>
      </w:tr>
      <w:tr>
        <w:tc>
          <w:tcPr>
            <w:tcW w:w="960" w:type="dxa"/>
          </w:tcPr>
          <w:p>
            <w:pPr>
              <w:pStyle w:val="yTableNAm"/>
            </w:pPr>
            <w:r>
              <w:t>9A.</w:t>
            </w:r>
          </w:p>
        </w:tc>
        <w:tc>
          <w:tcPr>
            <w:tcW w:w="5082" w:type="dxa"/>
          </w:tcPr>
          <w:p>
            <w:pPr>
              <w:pStyle w:val="yTableNAm"/>
              <w:tabs>
                <w:tab w:val="left" w:leader="dot" w:pos="4866"/>
              </w:tabs>
            </w:pPr>
            <w:r>
              <w:t xml:space="preserve">Issue of duplicate licence, duplicate certificate of registration or duplicate triennial certificate </w:t>
            </w:r>
            <w:r>
              <w:tab/>
            </w:r>
          </w:p>
        </w:tc>
        <w:tc>
          <w:tcPr>
            <w:tcW w:w="1038" w:type="dxa"/>
          </w:tcPr>
          <w:p>
            <w:pPr>
              <w:pStyle w:val="yTableNAm"/>
              <w:tabs>
                <w:tab w:val="left" w:pos="1103"/>
              </w:tabs>
              <w:rPr>
                <w:szCs w:val="22"/>
              </w:rPr>
            </w:pPr>
            <w:r>
              <w:br/>
              <w:t>$28.00</w:t>
            </w:r>
          </w:p>
        </w:tc>
      </w:tr>
      <w:tr>
        <w:tc>
          <w:tcPr>
            <w:tcW w:w="960" w:type="dxa"/>
          </w:tcPr>
          <w:p>
            <w:pPr>
              <w:pStyle w:val="yTableNAm"/>
            </w:pPr>
            <w:r>
              <w:t>9.</w:t>
            </w:r>
          </w:p>
        </w:tc>
        <w:tc>
          <w:tcPr>
            <w:tcW w:w="5082"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038" w:type="dxa"/>
          </w:tcPr>
          <w:p>
            <w:pPr>
              <w:pStyle w:val="yTableNAm"/>
              <w:tabs>
                <w:tab w:val="left" w:pos="1103"/>
              </w:tabs>
            </w:pPr>
            <w:r>
              <w:br/>
            </w:r>
          </w:p>
          <w:p>
            <w:pPr>
              <w:pStyle w:val="yTableNAm"/>
              <w:tabs>
                <w:tab w:val="left" w:pos="1103"/>
              </w:tabs>
            </w:pPr>
            <w:r>
              <w:rPr>
                <w:szCs w:val="22"/>
              </w:rPr>
              <w:t>$22.00</w:t>
            </w:r>
          </w:p>
          <w:p>
            <w:pPr>
              <w:pStyle w:val="yTableNAm"/>
              <w:tabs>
                <w:tab w:val="left" w:pos="1103"/>
              </w:tabs>
            </w:pPr>
            <w:r>
              <w:rPr>
                <w:szCs w:val="22"/>
              </w:rPr>
              <w:t>$2.20</w:t>
            </w:r>
          </w:p>
        </w:tc>
      </w:tr>
      <w:tr>
        <w:tc>
          <w:tcPr>
            <w:tcW w:w="960" w:type="dxa"/>
          </w:tcPr>
          <w:p>
            <w:pPr>
              <w:pStyle w:val="yTableNAm"/>
            </w:pPr>
            <w:r>
              <w:t>10.</w:t>
            </w:r>
          </w:p>
        </w:tc>
        <w:tc>
          <w:tcPr>
            <w:tcW w:w="5082" w:type="dxa"/>
          </w:tcPr>
          <w:p>
            <w:pPr>
              <w:pStyle w:val="yTableNAm"/>
              <w:tabs>
                <w:tab w:val="left" w:leader="dot" w:pos="4866"/>
              </w:tabs>
            </w:pPr>
            <w:r>
              <w:t xml:space="preserve">Copy (certified or uncertified) or an extract of all registrations in a register </w:t>
            </w:r>
            <w:r>
              <w:tab/>
            </w:r>
          </w:p>
        </w:tc>
        <w:tc>
          <w:tcPr>
            <w:tcW w:w="1038" w:type="dxa"/>
          </w:tcPr>
          <w:p>
            <w:pPr>
              <w:pStyle w:val="yTableNAm"/>
              <w:tabs>
                <w:tab w:val="left" w:pos="1103"/>
              </w:tabs>
            </w:pPr>
            <w:r>
              <w:br/>
            </w:r>
            <w:r>
              <w:rPr>
                <w:szCs w:val="22"/>
              </w:rPr>
              <w:t>$326.00</w:t>
            </w:r>
          </w:p>
        </w:tc>
      </w:tr>
      <w:tr>
        <w:tc>
          <w:tcPr>
            <w:tcW w:w="960" w:type="dxa"/>
          </w:tcPr>
          <w:p>
            <w:pPr>
              <w:pStyle w:val="yTableNAm"/>
              <w:keepNext/>
            </w:pPr>
            <w:r>
              <w:t>11.</w:t>
            </w:r>
          </w:p>
        </w:tc>
        <w:tc>
          <w:tcPr>
            <w:tcW w:w="5082" w:type="dxa"/>
          </w:tcPr>
          <w:p>
            <w:pPr>
              <w:pStyle w:val="yTableNAm"/>
              <w:tabs>
                <w:tab w:val="left" w:leader="dot" w:pos="4866"/>
              </w:tabs>
            </w:pPr>
            <w:r>
              <w:t xml:space="preserve">For the purposes of section 30(2a) (the holding fee) </w:t>
            </w:r>
            <w:r>
              <w:tab/>
            </w:r>
          </w:p>
        </w:tc>
        <w:tc>
          <w:tcPr>
            <w:tcW w:w="1038" w:type="dxa"/>
          </w:tcPr>
          <w:p>
            <w:pPr>
              <w:pStyle w:val="yTableNAm"/>
              <w:tabs>
                <w:tab w:val="left" w:pos="1103"/>
              </w:tabs>
            </w:pPr>
            <w:r>
              <w:rPr>
                <w:szCs w:val="22"/>
              </w:rPr>
              <w:t>$222.00</w:t>
            </w:r>
          </w:p>
        </w:tc>
      </w:tr>
    </w:tbl>
    <w:p>
      <w:pPr>
        <w:pStyle w:val="yFootnotesection"/>
      </w:pPr>
      <w:r>
        <w:tab/>
        <w:t>[Schedule 1 inserted in Gazette 23 Jun 2009 p. 2454; amended in Gazette 25 Jun 2010 p. 2851</w:t>
      </w:r>
      <w:r>
        <w:noBreakHyphen/>
        <w:t>2; 22 Jun 2011 p. 2368; 15 Jun 2012 p. 2600; 27 Jun 2013 p. 2691-2; 17 Jun 2014 p. 1978; 18 Nov 2014 p. 4325.]</w:t>
      </w:r>
    </w:p>
    <w:p>
      <w:pPr>
        <w:pStyle w:val="yScheduleHeading"/>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69" w:name="_Toc404151322"/>
      <w:bookmarkStart w:id="70" w:name="_Toc419375218"/>
      <w:bookmarkStart w:id="71" w:name="_Toc419375255"/>
      <w:r>
        <w:rPr>
          <w:rStyle w:val="CharSchNo"/>
        </w:rPr>
        <w:t>Schedule 1A</w:t>
      </w:r>
      <w:r>
        <w:rPr>
          <w:rStyle w:val="CharSDivNo"/>
        </w:rPr>
        <w:t> </w:t>
      </w:r>
      <w:r>
        <w:t>—</w:t>
      </w:r>
      <w:r>
        <w:rPr>
          <w:rStyle w:val="CharSDivText"/>
        </w:rPr>
        <w:t> </w:t>
      </w:r>
      <w:r>
        <w:rPr>
          <w:rStyle w:val="CharSchText"/>
        </w:rPr>
        <w:t>Professional development subjects</w:t>
      </w:r>
      <w:bookmarkEnd w:id="69"/>
      <w:bookmarkEnd w:id="70"/>
      <w:bookmarkEnd w:id="71"/>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72" w:name="_Toc404151323"/>
      <w:bookmarkStart w:id="73" w:name="_Toc419375219"/>
      <w:bookmarkStart w:id="74" w:name="_Toc419375256"/>
      <w:r>
        <w:rPr>
          <w:rStyle w:val="CharSchNo"/>
        </w:rPr>
        <w:t>Schedule 2</w:t>
      </w:r>
      <w:r>
        <w:rPr>
          <w:rStyle w:val="CharSDivNo"/>
        </w:rPr>
        <w:t> </w:t>
      </w:r>
      <w:r>
        <w:t>—</w:t>
      </w:r>
      <w:r>
        <w:rPr>
          <w:rStyle w:val="CharSDivText"/>
        </w:rPr>
        <w:t> </w:t>
      </w:r>
      <w:r>
        <w:rPr>
          <w:rStyle w:val="CharSchText"/>
        </w:rPr>
        <w:t>Forms</w:t>
      </w:r>
      <w:bookmarkEnd w:id="72"/>
      <w:bookmarkEnd w:id="73"/>
      <w:bookmarkEnd w:id="74"/>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pPr>
      <w:r>
        <w:rPr>
          <w:rStyle w:val="CharSClsNo"/>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r>
        <w:rPr>
          <w:snapToGrid w:val="0"/>
          <w:sz w:val="20"/>
        </w:rPr>
        <w:t>________</w:t>
      </w:r>
      <w:r>
        <w:rPr>
          <w:snapToGrid w:val="0"/>
        </w:rPr>
        <w:t>_</w:t>
      </w:r>
      <w:r>
        <w:rPr>
          <w:snapToGrid w:val="0"/>
          <w:sz w:val="20"/>
        </w:rPr>
        <w:t xml:space="preserve"> (Home)</w:t>
      </w:r>
      <w:r>
        <w:rPr>
          <w:snapToGrid w:val="0"/>
        </w:rPr>
        <w:t xml:space="preserve">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________ </w:t>
      </w:r>
      <w:r>
        <w:rPr>
          <w:snapToGrid w:val="0"/>
          <w:sz w:val="20"/>
        </w:rPr>
        <w:t>(Home)</w:t>
      </w:r>
      <w:r>
        <w:rPr>
          <w:snapToGrid w:val="0"/>
        </w:rPr>
        <w:t xml:space="preserve">_________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spacing w:before="140"/>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spacing w:before="140"/>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Body"/>
        <w:rPr>
          <w:snapToGrid w:val="0"/>
          <w:sz w:val="20"/>
        </w:rPr>
      </w:pPr>
    </w:p>
    <w:p>
      <w:pPr>
        <w:pStyle w:val="yMiscellaneousHeading"/>
        <w:tabs>
          <w:tab w:val="left" w:pos="570"/>
        </w:tabs>
        <w:spacing w:before="40"/>
        <w:jc w:val="left"/>
        <w:rPr>
          <w:b/>
        </w:rPr>
      </w:pPr>
      <w:r>
        <w:rPr>
          <w:b/>
        </w:rPr>
        <w:t>1.</w:t>
      </w:r>
      <w:r>
        <w:rPr>
          <w:b/>
        </w:rPr>
        <w:tab/>
        <w:t>What is the address of the dwelling purchased?</w:t>
      </w:r>
    </w:p>
    <w:p>
      <w:pPr>
        <w:pStyle w:val="yMiscellaneousBody"/>
        <w:tabs>
          <w:tab w:val="left" w:pos="570"/>
          <w:tab w:val="left" w:pos="2552"/>
        </w:tabs>
        <w:spacing w:before="140"/>
        <w:rPr>
          <w:snapToGrid w:val="0"/>
        </w:rPr>
      </w:pPr>
      <w:r>
        <w:rPr>
          <w:snapToGrid w:val="0"/>
        </w:rPr>
        <w:tab/>
        <w:t>Street Address</w:t>
      </w:r>
      <w:r>
        <w:rPr>
          <w:snapToGrid w:val="0"/>
        </w:rPr>
        <w:tab/>
        <w:t>_________________________________________</w:t>
      </w:r>
    </w:p>
    <w:p>
      <w:pPr>
        <w:pStyle w:val="yMiscellaneousBody"/>
        <w:tabs>
          <w:tab w:val="left" w:pos="570"/>
          <w:tab w:val="left" w:pos="2552"/>
        </w:tabs>
        <w:spacing w:before="140"/>
        <w:rPr>
          <w:snapToGrid w:val="0"/>
        </w:rPr>
      </w:pPr>
      <w:r>
        <w:rPr>
          <w:snapToGrid w:val="0"/>
        </w:rPr>
        <w:tab/>
        <w:t>Suburb/Town</w:t>
      </w:r>
      <w:r>
        <w:rPr>
          <w:snapToGrid w:val="0"/>
        </w:rPr>
        <w:tab/>
        <w:t>_______________________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spacing w:before="140"/>
        <w:rPr>
          <w:snapToGrid w:val="0"/>
        </w:rPr>
      </w:pPr>
      <w:r>
        <w:rPr>
          <w:snapToGrid w:val="0"/>
        </w:rPr>
        <w:tab/>
        <w:t>$ _________________________________________________________</w:t>
      </w:r>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spacing w:before="140"/>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______________________________________________________________________________________________________________________</w:t>
      </w:r>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spacing w:before="140"/>
        <w:rPr>
          <w:snapToGrid w:val="0"/>
        </w:rPr>
      </w:pPr>
      <w:r>
        <w:rPr>
          <w:snapToGrid w:val="0"/>
        </w:rPr>
        <w:tab/>
        <w:t>Name</w:t>
      </w:r>
      <w:r>
        <w:rPr>
          <w:snapToGrid w:val="0"/>
        </w:rPr>
        <w:tab/>
        <w:t>______________________________________________</w:t>
      </w:r>
    </w:p>
    <w:p>
      <w:pPr>
        <w:pStyle w:val="yMiscellaneousBody"/>
        <w:tabs>
          <w:tab w:val="left" w:pos="570"/>
          <w:tab w:val="left" w:pos="1985"/>
        </w:tabs>
        <w:spacing w:before="140"/>
        <w:rPr>
          <w:snapToGrid w:val="0"/>
        </w:rPr>
      </w:pPr>
      <w:r>
        <w:rPr>
          <w:snapToGrid w:val="0"/>
        </w:rPr>
        <w:tab/>
        <w:t>Address</w:t>
      </w:r>
      <w:r>
        <w:rPr>
          <w:snapToGrid w:val="0"/>
        </w:rPr>
        <w:tab/>
        <w:t>______________________________________________</w:t>
      </w:r>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spacing w:before="140"/>
        <w:rPr>
          <w:snapToGrid w:val="0"/>
        </w:rPr>
      </w:pPr>
      <w:r>
        <w:rPr>
          <w:snapToGrid w:val="0"/>
        </w:rPr>
        <w:tab/>
        <w:t>If “Yes”:</w:t>
      </w:r>
    </w:p>
    <w:p>
      <w:pPr>
        <w:pStyle w:val="yMiscellaneousBody"/>
        <w:tabs>
          <w:tab w:val="left" w:pos="570"/>
          <w:tab w:val="left" w:pos="1140"/>
        </w:tabs>
        <w:spacing w:before="140"/>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spacing w:before="140"/>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spacing w:before="140"/>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379" w:type="dxa"/>
        <w:tblInd w:w="687" w:type="dxa"/>
        <w:tblLayout w:type="fixed"/>
        <w:tblCellMar>
          <w:left w:w="120" w:type="dxa"/>
          <w:right w:w="120" w:type="dxa"/>
        </w:tblCellMar>
        <w:tblLook w:val="0000" w:firstRow="0" w:lastRow="0" w:firstColumn="0" w:lastColumn="0" w:noHBand="0" w:noVBand="0"/>
      </w:tblPr>
      <w:tblGrid>
        <w:gridCol w:w="4962"/>
        <w:gridCol w:w="1417"/>
      </w:tblGrid>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Expense</w:t>
            </w: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Amount $</w:t>
            </w:r>
          </w:p>
        </w:tc>
      </w:tr>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r>
              <w:t>Settlement / Conveyancing fees</w:t>
            </w:r>
          </w:p>
          <w:p>
            <w:pPr>
              <w:pStyle w:val="yTableNAm"/>
              <w:tabs>
                <w:tab w:val="clear" w:pos="567"/>
                <w:tab w:val="left" w:pos="570"/>
              </w:tabs>
              <w:spacing w:before="80"/>
              <w:rPr>
                <w:sz w:val="16"/>
                <w:szCs w:val="16"/>
              </w:rPr>
            </w:pPr>
            <w:r>
              <w:t>Stamp duty</w:t>
            </w:r>
          </w:p>
          <w:p>
            <w:pPr>
              <w:pStyle w:val="yTableNAm"/>
              <w:tabs>
                <w:tab w:val="clear" w:pos="567"/>
                <w:tab w:val="left" w:pos="570"/>
              </w:tabs>
              <w:spacing w:before="80"/>
            </w:pPr>
            <w:r>
              <w:t xml:space="preserve">Strata company enquiry fee / section 43 </w:t>
            </w:r>
            <w:r>
              <w:br/>
              <w:t>certificate fee</w:t>
            </w:r>
          </w:p>
          <w:p>
            <w:pPr>
              <w:pStyle w:val="yTableNAm"/>
              <w:tabs>
                <w:tab w:val="clear" w:pos="567"/>
                <w:tab w:val="left" w:pos="570"/>
              </w:tabs>
              <w:spacing w:before="80"/>
            </w:pPr>
            <w:r>
              <w:t>Landgate transfer registration fee</w:t>
            </w:r>
          </w:p>
          <w:p>
            <w:pPr>
              <w:pStyle w:val="yTableNAm"/>
              <w:tabs>
                <w:tab w:val="clear" w:pos="567"/>
                <w:tab w:val="left" w:pos="570"/>
              </w:tabs>
              <w:spacing w:before="80"/>
            </w:pPr>
            <w:r>
              <w:t>Inspection fees</w:t>
            </w:r>
          </w:p>
          <w:p>
            <w:pPr>
              <w:pStyle w:val="yTableNAm"/>
              <w:tabs>
                <w:tab w:val="clear" w:pos="567"/>
                <w:tab w:val="left" w:pos="570"/>
              </w:tabs>
              <w:spacing w:before="80"/>
              <w:rPr>
                <w:sz w:val="16"/>
                <w:szCs w:val="16"/>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p>
        </w:tc>
      </w:tr>
      <w:tr>
        <w:tc>
          <w:tcPr>
            <w:tcW w:w="4962"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r>
              <w:rPr>
                <w:b/>
              </w:rPr>
              <w:t>Total</w:t>
            </w:r>
          </w:p>
        </w:tc>
        <w:tc>
          <w:tcPr>
            <w:tcW w:w="1417"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p>
        </w:tc>
      </w:tr>
    </w:tbl>
    <w:p>
      <w:pPr>
        <w:pStyle w:val="yMiscellaneousHeading"/>
        <w:spacing w:before="280"/>
        <w:jc w:val="left"/>
        <w:rPr>
          <w:b/>
        </w:rPr>
      </w:pPr>
      <w:r>
        <w:rPr>
          <w:b/>
        </w:rPr>
        <w:t>Statutory Declaration</w:t>
      </w:r>
    </w:p>
    <w:p>
      <w:pPr>
        <w:pStyle w:val="yMiscellaneousBody"/>
        <w:spacing w:before="140"/>
        <w:rPr>
          <w:snapToGrid w:val="0"/>
        </w:rPr>
      </w:pPr>
      <w:r>
        <w:rPr>
          <w:snapToGrid w:val="0"/>
        </w:rPr>
        <w:t>I/We,</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spacing w:before="140"/>
        <w:rPr>
          <w:snapToGrid w:val="0"/>
        </w:rPr>
      </w:pPr>
      <w:r>
        <w:rPr>
          <w:snapToGrid w:val="0"/>
        </w:rPr>
        <w:t xml:space="preserve">sincerely declare as follows — </w:t>
      </w:r>
    </w:p>
    <w:p>
      <w:pPr>
        <w:pStyle w:val="yMiscellaneousBody"/>
        <w:spacing w:before="120"/>
        <w:ind w:right="305"/>
        <w:rPr>
          <w:snapToGrid w:val="0"/>
        </w:rPr>
      </w:pPr>
      <w:r>
        <w:rPr>
          <w:snapToGrid w:val="0"/>
        </w:rPr>
        <w:t>The information provided by me/us in this Home Buyers Assistance Account Application is true and correct.</w:t>
      </w:r>
    </w:p>
    <w:p>
      <w:pPr>
        <w:pStyle w:val="yMiscellaneousBody"/>
        <w:spacing w:before="120"/>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33"/>
              <w:jc w:val="center"/>
              <w:rPr>
                <w:i/>
                <w:snapToGrid w:val="0"/>
                <w:sz w:val="18"/>
                <w:szCs w:val="18"/>
              </w:rPr>
            </w:pPr>
            <w:r>
              <w:rPr>
                <w:i/>
                <w:snapToGrid w:val="0"/>
                <w:sz w:val="18"/>
                <w:szCs w:val="18"/>
              </w:rPr>
              <w:t>Signature of 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ind w:right="176"/>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175"/>
              <w:jc w:val="center"/>
              <w:rPr>
                <w:i/>
                <w:snapToGrid w:val="0"/>
                <w:sz w:val="18"/>
                <w:szCs w:val="18"/>
              </w:rPr>
            </w:pPr>
            <w:r>
              <w:rPr>
                <w:i/>
                <w:snapToGrid w:val="0"/>
                <w:sz w:val="18"/>
                <w:szCs w:val="18"/>
              </w:rPr>
              <w:t xml:space="preserve">Signature of </w:t>
            </w:r>
            <w:r>
              <w:rPr>
                <w:i/>
                <w:snapToGrid w:val="0"/>
                <w:sz w:val="18"/>
                <w:szCs w:val="18"/>
              </w:rPr>
              <w:br/>
              <w:t>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spacing w:before="24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__________   ________________________</w:t>
      </w:r>
    </w:p>
    <w:p>
      <w:pPr>
        <w:pStyle w:val="yMiscellaneousBody"/>
        <w:tabs>
          <w:tab w:val="left" w:pos="1985"/>
          <w:tab w:val="left" w:pos="2410"/>
          <w:tab w:val="left" w:pos="3119"/>
        </w:tabs>
        <w:rPr>
          <w:snapToGrid w:val="0"/>
        </w:rPr>
      </w:pPr>
      <w:r>
        <w:rPr>
          <w:snapToGrid w:val="0"/>
        </w:rPr>
        <w:t>Name of lending institution</w:t>
      </w:r>
      <w:r>
        <w:rPr>
          <w:snapToGrid w:val="0"/>
        </w:rPr>
        <w:tab/>
        <w:t>____________________________________</w:t>
      </w:r>
    </w:p>
    <w:p>
      <w:pPr>
        <w:pStyle w:val="yMiscellaneousBody"/>
        <w:tabs>
          <w:tab w:val="left" w:pos="1985"/>
          <w:tab w:val="left" w:pos="2410"/>
        </w:tabs>
        <w:rPr>
          <w:snapToGrid w:val="0"/>
        </w:rPr>
      </w:pPr>
      <w:r>
        <w:rPr>
          <w:snapToGrid w:val="0"/>
        </w:rPr>
        <w:t>Address</w:t>
      </w:r>
      <w:r>
        <w:rPr>
          <w:snapToGrid w:val="0"/>
        </w:rPr>
        <w:tab/>
        <w:t>______________________________________________</w:t>
      </w:r>
    </w:p>
    <w:p>
      <w:pPr>
        <w:pStyle w:val="yMiscellaneousBody"/>
        <w:tabs>
          <w:tab w:val="left" w:pos="1985"/>
          <w:tab w:val="left" w:pos="2410"/>
        </w:tabs>
        <w:rPr>
          <w:snapToGrid w:val="0"/>
        </w:rPr>
      </w:pPr>
      <w:r>
        <w:rPr>
          <w:snapToGrid w:val="0"/>
        </w:rPr>
        <w:t>Suburb/Town</w:t>
      </w:r>
      <w:r>
        <w:rPr>
          <w:snapToGrid w:val="0"/>
        </w:rPr>
        <w:tab/>
        <w:t>____________________________ Postcode __________</w:t>
      </w:r>
    </w:p>
    <w:p>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__________________________________________</w:t>
      </w:r>
    </w:p>
    <w:p>
      <w:pPr>
        <w:pStyle w:val="yMiscellaneousBody"/>
        <w:tabs>
          <w:tab w:val="left" w:pos="2410"/>
        </w:tabs>
        <w:rPr>
          <w:snapToGrid w:val="0"/>
        </w:rPr>
      </w:pPr>
      <w:r>
        <w:rPr>
          <w:snapToGrid w:val="0"/>
        </w:rPr>
        <w:t>Business Fax No.</w:t>
      </w:r>
      <w:r>
        <w:rPr>
          <w:snapToGrid w:val="0"/>
        </w:rPr>
        <w:tab/>
        <w:t>__________________________________________</w:t>
      </w:r>
    </w:p>
    <w:p>
      <w:pPr>
        <w:pStyle w:val="yMiscellaneousHeading"/>
        <w:spacing w:before="240" w:after="160"/>
        <w:jc w:val="left"/>
        <w:rPr>
          <w:b/>
        </w:rPr>
      </w:pPr>
      <w:r>
        <w:rPr>
          <w:b/>
        </w:rPr>
        <w:t>Further incidental expenses associated with the loan</w:t>
      </w:r>
    </w:p>
    <w:tbl>
      <w:tblPr>
        <w:tblW w:w="70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418"/>
      </w:tblGrid>
      <w:tr>
        <w:tc>
          <w:tcPr>
            <w:tcW w:w="5670" w:type="dxa"/>
          </w:tcPr>
          <w:p>
            <w:pPr>
              <w:pStyle w:val="yTableNAm"/>
              <w:jc w:val="center"/>
              <w:rPr>
                <w:b/>
                <w:sz w:val="20"/>
              </w:rPr>
            </w:pPr>
            <w:r>
              <w:rPr>
                <w:b/>
                <w:sz w:val="20"/>
              </w:rPr>
              <w:t>Expense</w:t>
            </w:r>
          </w:p>
        </w:tc>
        <w:tc>
          <w:tcPr>
            <w:tcW w:w="1418" w:type="dxa"/>
          </w:tcPr>
          <w:p>
            <w:pPr>
              <w:pStyle w:val="yTableNAm"/>
              <w:jc w:val="center"/>
              <w:rPr>
                <w:b/>
                <w:sz w:val="20"/>
              </w:rPr>
            </w:pPr>
            <w:r>
              <w:rPr>
                <w:b/>
                <w:sz w:val="20"/>
              </w:rPr>
              <w:t>Amount $</w:t>
            </w:r>
          </w:p>
        </w:tc>
      </w:tr>
      <w:tr>
        <w:tc>
          <w:tcPr>
            <w:tcW w:w="5670" w:type="dxa"/>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spacing w:before="0"/>
              <w:rPr>
                <w:sz w:val="20"/>
              </w:rPr>
            </w:pPr>
          </w:p>
        </w:tc>
        <w:tc>
          <w:tcPr>
            <w:tcW w:w="1418" w:type="dxa"/>
          </w:tcPr>
          <w:p>
            <w:pPr>
              <w:pStyle w:val="yTableNAm"/>
              <w:rPr>
                <w:sz w:val="20"/>
              </w:rPr>
            </w:pPr>
          </w:p>
        </w:tc>
      </w:tr>
      <w:tr>
        <w:tc>
          <w:tcPr>
            <w:tcW w:w="5670" w:type="dxa"/>
          </w:tcPr>
          <w:p>
            <w:pPr>
              <w:pStyle w:val="yTableNAm"/>
              <w:jc w:val="center"/>
              <w:rPr>
                <w:b/>
                <w:sz w:val="20"/>
              </w:rPr>
            </w:pPr>
            <w:r>
              <w:rPr>
                <w:b/>
                <w:sz w:val="20"/>
              </w:rPr>
              <w:t>Total</w:t>
            </w:r>
          </w:p>
        </w:tc>
        <w:tc>
          <w:tcPr>
            <w:tcW w:w="1418" w:type="dxa"/>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280"/>
        <w:rPr>
          <w:snapToGrid w:val="0"/>
        </w:rPr>
      </w:pPr>
      <w:r>
        <w:rPr>
          <w:snapToGrid w:val="0"/>
        </w:rPr>
        <w:t>______________________________   ________________________________</w:t>
      </w:r>
    </w:p>
    <w:tbl>
      <w:tblPr>
        <w:tblW w:w="6954" w:type="dxa"/>
        <w:jc w:val="center"/>
        <w:tblInd w:w="820" w:type="dxa"/>
        <w:tblLayout w:type="fixed"/>
        <w:tblLook w:val="0000" w:firstRow="0" w:lastRow="0" w:firstColumn="0" w:lastColumn="0" w:noHBand="0" w:noVBand="0"/>
      </w:tblPr>
      <w:tblGrid>
        <w:gridCol w:w="3477"/>
        <w:gridCol w:w="3477"/>
      </w:tblGrid>
      <w:tr>
        <w:trPr>
          <w:jc w:val="center"/>
        </w:trPr>
        <w:tc>
          <w:tcPr>
            <w:tcW w:w="3477" w:type="dxa"/>
          </w:tcPr>
          <w:p>
            <w:pPr>
              <w:pStyle w:val="Table"/>
              <w:ind w:left="109" w:right="317"/>
              <w:jc w:val="center"/>
              <w:rPr>
                <w:sz w:val="18"/>
                <w:szCs w:val="18"/>
              </w:rPr>
            </w:pPr>
            <w:r>
              <w:rPr>
                <w:i/>
                <w:snapToGrid w:val="0"/>
                <w:sz w:val="18"/>
                <w:szCs w:val="18"/>
              </w:rPr>
              <w:t>Signature of authorised officer of lending institution</w:t>
            </w:r>
          </w:p>
        </w:tc>
        <w:tc>
          <w:tcPr>
            <w:tcW w:w="3477" w:type="dxa"/>
            <w:tcBorders>
              <w:left w:val="nil"/>
            </w:tcBorders>
          </w:tcPr>
          <w:p>
            <w:pPr>
              <w:pStyle w:val="Table"/>
              <w:ind w:left="176" w:right="250"/>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280"/>
        <w:rPr>
          <w:snapToGrid w:val="0"/>
        </w:rPr>
      </w:pPr>
      <w:r>
        <w:rPr>
          <w:snapToGrid w:val="0"/>
        </w:rPr>
        <w:t>________________________________________________________________</w:t>
      </w:r>
    </w:p>
    <w:p>
      <w:pPr>
        <w:pStyle w:val="yMiscellaneousBody"/>
        <w:spacing w:after="12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 in Gazette 23 Oct 2012 p. 5049</w:t>
      </w:r>
      <w:r>
        <w:noBreakHyphen/>
        <w:t>54.]</w:t>
      </w:r>
    </w:p>
    <w:p>
      <w:pPr>
        <w:pStyle w:val="yMiscellaneousHeading"/>
        <w:keepNext w:val="0"/>
        <w:pageBreakBefore/>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50; amended in Gazette 30 Jun 2011 p. 2670; 20 Aug 2013 p. 3839.]</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1; amended in Gazette 30 Jun 2011 p. 2670.]</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75" w:name="_Toc404151324"/>
      <w:bookmarkStart w:id="76" w:name="_Toc419375220"/>
      <w:bookmarkStart w:id="77" w:name="_Toc419375257"/>
      <w:r>
        <w:rPr>
          <w:rStyle w:val="CharSchNo"/>
        </w:rPr>
        <w:t>Schedule 3</w:t>
      </w:r>
      <w:r>
        <w:rPr>
          <w:rStyle w:val="CharSDivNo"/>
        </w:rPr>
        <w:t> </w:t>
      </w:r>
      <w:r>
        <w:t>—</w:t>
      </w:r>
      <w:r>
        <w:rPr>
          <w:rStyle w:val="CharSDivText"/>
        </w:rPr>
        <w:t> </w:t>
      </w:r>
      <w:r>
        <w:rPr>
          <w:rStyle w:val="CharSchText"/>
        </w:rPr>
        <w:t>Prescribed offences and modified penalties</w:t>
      </w:r>
      <w:bookmarkEnd w:id="75"/>
      <w:bookmarkEnd w:id="76"/>
      <w:bookmarkEnd w:id="77"/>
    </w:p>
    <w:p>
      <w:pPr>
        <w:pStyle w:val="yShoulderClause"/>
      </w:pPr>
      <w:r>
        <w:t>[r. 14]</w:t>
      </w:r>
    </w:p>
    <w:p>
      <w:pPr>
        <w:pStyle w:val="yFootnoteheading"/>
        <w:spacing w:after="120"/>
      </w:pPr>
      <w:r>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in Gazette 28 Aug 2009 p. 3351</w:t>
      </w:r>
      <w:r>
        <w:noBreakHyphen/>
        <w:t>2; amended in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Heading2"/>
      </w:pPr>
      <w:bookmarkStart w:id="78" w:name="_Toc404151325"/>
      <w:bookmarkStart w:id="79" w:name="_Toc419375221"/>
      <w:bookmarkStart w:id="80" w:name="_Toc419375258"/>
      <w:r>
        <w:t>Notes</w:t>
      </w:r>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1" w:name="_Toc404151326"/>
      <w:bookmarkStart w:id="82" w:name="_Toc419375259"/>
      <w:r>
        <w:t>Compilation table</w:t>
      </w:r>
      <w:bookmarkEnd w:id="81"/>
      <w:bookmarkEnd w:id="8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4" w:type="dxa"/>
            <w:tcBorders>
              <w:top w:val="single" w:sz="8" w:space="0" w:color="auto"/>
            </w:tcBorders>
          </w:tcPr>
          <w:p>
            <w:pPr>
              <w:pStyle w:val="nTable"/>
              <w:spacing w:after="40"/>
            </w:pPr>
            <w:r>
              <w:t>1 Sep 1979</w:t>
            </w:r>
          </w:p>
        </w:tc>
      </w:tr>
      <w:tr>
        <w:trPr>
          <w:cantSplit/>
        </w:trPr>
        <w:tc>
          <w:tcPr>
            <w:tcW w:w="3118"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4" w:type="dxa"/>
          </w:tcPr>
          <w:p>
            <w:pPr>
              <w:pStyle w:val="nTable"/>
              <w:spacing w:after="40"/>
            </w:pPr>
            <w:r>
              <w:t>26 Sep 1980</w:t>
            </w:r>
          </w:p>
        </w:tc>
      </w:tr>
      <w:tr>
        <w:trPr>
          <w:cantSplit/>
        </w:trPr>
        <w:tc>
          <w:tcPr>
            <w:tcW w:w="3118"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4" w:type="dxa"/>
          </w:tcPr>
          <w:p>
            <w:pPr>
              <w:pStyle w:val="nTable"/>
              <w:spacing w:after="40"/>
            </w:pPr>
            <w:r>
              <w:t>26 Jun 1981</w:t>
            </w:r>
          </w:p>
        </w:tc>
      </w:tr>
      <w:tr>
        <w:trPr>
          <w:cantSplit/>
        </w:trPr>
        <w:tc>
          <w:tcPr>
            <w:tcW w:w="3118"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4" w:type="dxa"/>
          </w:tcPr>
          <w:p>
            <w:pPr>
              <w:pStyle w:val="nTable"/>
              <w:spacing w:after="40"/>
            </w:pPr>
            <w:r>
              <w:t>1 Dec 1981 (see r. 2)</w:t>
            </w:r>
          </w:p>
        </w:tc>
      </w:tr>
      <w:tr>
        <w:trPr>
          <w:cantSplit/>
        </w:trPr>
        <w:tc>
          <w:tcPr>
            <w:tcW w:w="3118"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4" w:type="dxa"/>
          </w:tcPr>
          <w:p>
            <w:pPr>
              <w:pStyle w:val="nTable"/>
              <w:spacing w:after="40"/>
            </w:pPr>
            <w:r>
              <w:t>2 Jul 1982 </w:t>
            </w:r>
            <w:r>
              <w:rPr>
                <w:vertAlign w:val="superscript"/>
              </w:rPr>
              <w:t>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rPr>
          <w:cantSplit/>
        </w:trPr>
        <w:tc>
          <w:tcPr>
            <w:tcW w:w="3118"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4" w:type="dxa"/>
          </w:tcPr>
          <w:p>
            <w:pPr>
              <w:pStyle w:val="nTable"/>
              <w:spacing w:after="40"/>
            </w:pPr>
            <w:r>
              <w:t>1 Jan 1984 (see r. 2)</w:t>
            </w:r>
          </w:p>
        </w:tc>
      </w:tr>
      <w:tr>
        <w:trPr>
          <w:cantSplit/>
        </w:trPr>
        <w:tc>
          <w:tcPr>
            <w:tcW w:w="3118"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4" w:type="dxa"/>
          </w:tcPr>
          <w:p>
            <w:pPr>
              <w:pStyle w:val="nTable"/>
              <w:spacing w:after="40"/>
            </w:pPr>
            <w:r>
              <w:t>30 Dec 1983</w:t>
            </w:r>
          </w:p>
        </w:tc>
      </w:tr>
      <w:tr>
        <w:trPr>
          <w:cantSplit/>
        </w:trPr>
        <w:tc>
          <w:tcPr>
            <w:tcW w:w="3118" w:type="dxa"/>
          </w:tcPr>
          <w:p>
            <w:pPr>
              <w:pStyle w:val="nTable"/>
              <w:spacing w:after="40"/>
              <w:ind w:right="113"/>
              <w:rPr>
                <w:vertAlign w:val="superscript"/>
              </w:rPr>
            </w:pPr>
            <w:r>
              <w:rPr>
                <w:i/>
              </w:rPr>
              <w:t>Real Estate and Business Agents (General) Amendment Regulations 1984</w:t>
            </w:r>
            <w:r>
              <w:t> </w:t>
            </w:r>
            <w:r>
              <w:rPr>
                <w:iCs/>
                <w:vertAlign w:val="superscript"/>
              </w:rPr>
              <w:t>3</w:t>
            </w:r>
          </w:p>
        </w:tc>
        <w:tc>
          <w:tcPr>
            <w:tcW w:w="1276" w:type="dxa"/>
          </w:tcPr>
          <w:p>
            <w:pPr>
              <w:pStyle w:val="nTable"/>
              <w:spacing w:after="40"/>
            </w:pPr>
            <w:r>
              <w:t>21 Dec 1984 p. 4191</w:t>
            </w:r>
          </w:p>
        </w:tc>
        <w:tc>
          <w:tcPr>
            <w:tcW w:w="2694" w:type="dxa"/>
          </w:tcPr>
          <w:p>
            <w:pPr>
              <w:pStyle w:val="nTable"/>
              <w:spacing w:after="40"/>
            </w:pPr>
            <w:r>
              <w:t>21 Dec 1984</w:t>
            </w:r>
          </w:p>
        </w:tc>
      </w:tr>
      <w:tr>
        <w:trPr>
          <w:cantSplit/>
        </w:trPr>
        <w:tc>
          <w:tcPr>
            <w:tcW w:w="3118"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4" w:type="dxa"/>
          </w:tcPr>
          <w:p>
            <w:pPr>
              <w:pStyle w:val="nTable"/>
              <w:spacing w:after="40"/>
            </w:pPr>
            <w:r>
              <w:t>21 Jun 1985</w:t>
            </w:r>
          </w:p>
        </w:tc>
      </w:tr>
      <w:tr>
        <w:trPr>
          <w:cantSplit/>
        </w:trPr>
        <w:tc>
          <w:tcPr>
            <w:tcW w:w="3118"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4" w:type="dxa"/>
          </w:tcPr>
          <w:p>
            <w:pPr>
              <w:pStyle w:val="nTable"/>
              <w:spacing w:after="40"/>
            </w:pPr>
            <w:r>
              <w:t>1 Jul 1986 (see r. 2)</w:t>
            </w:r>
          </w:p>
        </w:tc>
      </w:tr>
      <w:tr>
        <w:trPr>
          <w:cantSplit/>
        </w:trPr>
        <w:tc>
          <w:tcPr>
            <w:tcW w:w="3118"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4" w:type="dxa"/>
          </w:tcPr>
          <w:p>
            <w:pPr>
              <w:pStyle w:val="nTable"/>
              <w:spacing w:after="40"/>
            </w:pPr>
            <w:r>
              <w:t>1 Feb 1987 (see r. 2)</w:t>
            </w:r>
          </w:p>
        </w:tc>
      </w:tr>
      <w:tr>
        <w:trPr>
          <w:cantSplit/>
        </w:trPr>
        <w:tc>
          <w:tcPr>
            <w:tcW w:w="3118"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4" w:type="dxa"/>
          </w:tcPr>
          <w:p>
            <w:pPr>
              <w:pStyle w:val="nTable"/>
              <w:spacing w:after="40"/>
            </w:pPr>
            <w:r>
              <w:t>24 Dec 1986</w:t>
            </w:r>
          </w:p>
        </w:tc>
      </w:tr>
      <w:tr>
        <w:trPr>
          <w:cantSplit/>
        </w:trPr>
        <w:tc>
          <w:tcPr>
            <w:tcW w:w="3118"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4" w:type="dxa"/>
          </w:tcPr>
          <w:p>
            <w:pPr>
              <w:pStyle w:val="nTable"/>
              <w:spacing w:after="40"/>
            </w:pPr>
            <w:r>
              <w:t>8 May 1987</w:t>
            </w:r>
          </w:p>
        </w:tc>
      </w:tr>
      <w:tr>
        <w:trPr>
          <w:cantSplit/>
        </w:trPr>
        <w:tc>
          <w:tcPr>
            <w:tcW w:w="3118"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4" w:type="dxa"/>
          </w:tcPr>
          <w:p>
            <w:pPr>
              <w:pStyle w:val="nTable"/>
              <w:spacing w:after="40"/>
            </w:pPr>
            <w:r>
              <w:t>4 Sep 1987</w:t>
            </w:r>
          </w:p>
        </w:tc>
      </w:tr>
      <w:tr>
        <w:trPr>
          <w:cantSplit/>
        </w:trPr>
        <w:tc>
          <w:tcPr>
            <w:tcW w:w="3118"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4" w:type="dxa"/>
          </w:tcPr>
          <w:p>
            <w:pPr>
              <w:pStyle w:val="nTable"/>
              <w:spacing w:after="40"/>
            </w:pPr>
            <w:r>
              <w:t>30 Oct 1987</w:t>
            </w:r>
          </w:p>
        </w:tc>
      </w:tr>
      <w:tr>
        <w:trPr>
          <w:cantSplit/>
        </w:trPr>
        <w:tc>
          <w:tcPr>
            <w:tcW w:w="3118"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4" w:type="dxa"/>
          </w:tcPr>
          <w:p>
            <w:pPr>
              <w:pStyle w:val="nTable"/>
              <w:spacing w:after="40"/>
            </w:pPr>
            <w:r>
              <w:t>18 Dec 1987</w:t>
            </w:r>
          </w:p>
        </w:tc>
      </w:tr>
      <w:tr>
        <w:trPr>
          <w:cantSplit/>
        </w:trPr>
        <w:tc>
          <w:tcPr>
            <w:tcW w:w="3118"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4" w:type="dxa"/>
          </w:tcPr>
          <w:p>
            <w:pPr>
              <w:pStyle w:val="nTable"/>
              <w:spacing w:after="40"/>
            </w:pPr>
            <w:r>
              <w:t>12 Aug 1988</w:t>
            </w:r>
          </w:p>
        </w:tc>
      </w:tr>
      <w:tr>
        <w:trPr>
          <w:cantSplit/>
        </w:trPr>
        <w:tc>
          <w:tcPr>
            <w:tcW w:w="3118"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4" w:type="dxa"/>
          </w:tcPr>
          <w:p>
            <w:pPr>
              <w:pStyle w:val="nTable"/>
              <w:spacing w:after="40"/>
            </w:pPr>
            <w:r>
              <w:t>2 Sep 1988</w:t>
            </w:r>
          </w:p>
        </w:tc>
      </w:tr>
      <w:tr>
        <w:trPr>
          <w:cantSplit/>
        </w:trPr>
        <w:tc>
          <w:tcPr>
            <w:tcW w:w="3118"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4" w:type="dxa"/>
          </w:tcPr>
          <w:p>
            <w:pPr>
              <w:pStyle w:val="nTable"/>
              <w:spacing w:after="40"/>
            </w:pPr>
            <w:r>
              <w:t>20 Jan 1989</w:t>
            </w:r>
          </w:p>
        </w:tc>
      </w:tr>
      <w:tr>
        <w:trPr>
          <w:cantSplit/>
        </w:trPr>
        <w:tc>
          <w:tcPr>
            <w:tcW w:w="3118"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4" w:type="dxa"/>
          </w:tcPr>
          <w:p>
            <w:pPr>
              <w:pStyle w:val="nTable"/>
              <w:spacing w:after="40"/>
            </w:pPr>
            <w:r>
              <w:t>3 Feb 1989</w:t>
            </w:r>
          </w:p>
        </w:tc>
      </w:tr>
      <w:tr>
        <w:trPr>
          <w:cantSplit/>
        </w:trPr>
        <w:tc>
          <w:tcPr>
            <w:tcW w:w="3118"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4" w:type="dxa"/>
          </w:tcPr>
          <w:p>
            <w:pPr>
              <w:pStyle w:val="nTable"/>
              <w:spacing w:after="40"/>
            </w:pPr>
            <w:r>
              <w:t>1 Jul 1989 (see r. 2)</w:t>
            </w:r>
          </w:p>
        </w:tc>
      </w:tr>
      <w:tr>
        <w:trPr>
          <w:cantSplit/>
        </w:trPr>
        <w:tc>
          <w:tcPr>
            <w:tcW w:w="3118"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4" w:type="dxa"/>
          </w:tcPr>
          <w:p>
            <w:pPr>
              <w:pStyle w:val="nTable"/>
              <w:spacing w:after="40"/>
            </w:pPr>
            <w:r>
              <w:t>15 Jun 1990</w:t>
            </w:r>
          </w:p>
        </w:tc>
      </w:tr>
      <w:tr>
        <w:trPr>
          <w:cantSplit/>
        </w:trPr>
        <w:tc>
          <w:tcPr>
            <w:tcW w:w="3118"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4" w:type="dxa"/>
          </w:tcPr>
          <w:p>
            <w:pPr>
              <w:pStyle w:val="nTable"/>
              <w:spacing w:after="40"/>
            </w:pPr>
            <w:r>
              <w:t>20 Jul 1990</w:t>
            </w:r>
          </w:p>
        </w:tc>
      </w:tr>
      <w:tr>
        <w:trPr>
          <w:cantSplit/>
        </w:trPr>
        <w:tc>
          <w:tcPr>
            <w:tcW w:w="3118"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4" w:type="dxa"/>
          </w:tcPr>
          <w:p>
            <w:pPr>
              <w:pStyle w:val="nTable"/>
              <w:spacing w:after="40"/>
            </w:pPr>
            <w:r>
              <w:t>1 Aug 1990</w:t>
            </w:r>
          </w:p>
        </w:tc>
      </w:tr>
      <w:tr>
        <w:trPr>
          <w:cantSplit/>
        </w:trPr>
        <w:tc>
          <w:tcPr>
            <w:tcW w:w="3118"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4" w:type="dxa"/>
          </w:tcPr>
          <w:p>
            <w:pPr>
              <w:pStyle w:val="nTable"/>
              <w:spacing w:after="40"/>
            </w:pPr>
            <w:r>
              <w:t>26 Oct 1990</w:t>
            </w:r>
          </w:p>
        </w:tc>
      </w:tr>
      <w:tr>
        <w:trPr>
          <w:cantSplit/>
        </w:trPr>
        <w:tc>
          <w:tcPr>
            <w:tcW w:w="3118"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4" w:type="dxa"/>
          </w:tcPr>
          <w:p>
            <w:pPr>
              <w:pStyle w:val="nTable"/>
              <w:spacing w:after="40"/>
            </w:pPr>
            <w:r>
              <w:t>28 Jun 1991</w:t>
            </w:r>
          </w:p>
        </w:tc>
      </w:tr>
      <w:tr>
        <w:trPr>
          <w:cantSplit/>
        </w:trPr>
        <w:tc>
          <w:tcPr>
            <w:tcW w:w="3118"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4" w:type="dxa"/>
          </w:tcPr>
          <w:p>
            <w:pPr>
              <w:pStyle w:val="nTable"/>
              <w:spacing w:after="40"/>
            </w:pPr>
            <w:r>
              <w:t>14 Aug 1992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rPr>
          <w:cantSplit/>
        </w:trPr>
        <w:tc>
          <w:tcPr>
            <w:tcW w:w="3118"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4" w:type="dxa"/>
          </w:tcPr>
          <w:p>
            <w:pPr>
              <w:pStyle w:val="nTable"/>
              <w:spacing w:after="40"/>
            </w:pPr>
            <w:r>
              <w:t>30 Nov 1993</w:t>
            </w:r>
          </w:p>
        </w:tc>
      </w:tr>
      <w:tr>
        <w:trPr>
          <w:cantSplit/>
        </w:trPr>
        <w:tc>
          <w:tcPr>
            <w:tcW w:w="3118"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4" w:type="dxa"/>
          </w:tcPr>
          <w:p>
            <w:pPr>
              <w:pStyle w:val="nTable"/>
              <w:spacing w:after="40"/>
            </w:pPr>
            <w:r>
              <w:t>6 Oct 1994 (see r. 2)</w:t>
            </w:r>
          </w:p>
        </w:tc>
      </w:tr>
      <w:tr>
        <w:trPr>
          <w:cantSplit/>
        </w:trPr>
        <w:tc>
          <w:tcPr>
            <w:tcW w:w="3118"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4" w:type="dxa"/>
          </w:tcPr>
          <w:p>
            <w:pPr>
              <w:pStyle w:val="nTable"/>
              <w:spacing w:after="40"/>
            </w:pPr>
            <w:r>
              <w:t>9 Dec 1994</w:t>
            </w:r>
          </w:p>
        </w:tc>
      </w:tr>
      <w:tr>
        <w:trPr>
          <w:cantSplit/>
        </w:trPr>
        <w:tc>
          <w:tcPr>
            <w:tcW w:w="3118"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4" w:type="dxa"/>
          </w:tcPr>
          <w:p>
            <w:pPr>
              <w:pStyle w:val="nTable"/>
              <w:spacing w:after="40"/>
            </w:pPr>
            <w:r>
              <w:t>7 Jun 1996</w:t>
            </w:r>
          </w:p>
        </w:tc>
      </w:tr>
      <w:tr>
        <w:trPr>
          <w:cantSplit/>
        </w:trPr>
        <w:tc>
          <w:tcPr>
            <w:tcW w:w="3118"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4"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4" w:type="dxa"/>
          </w:tcPr>
          <w:p>
            <w:pPr>
              <w:pStyle w:val="nTable"/>
              <w:spacing w:after="40"/>
            </w:pPr>
            <w:r>
              <w:t xml:space="preserve">1 Jul 1996 (see r. 2 and </w:t>
            </w:r>
            <w:r>
              <w:rPr>
                <w:i/>
              </w:rPr>
              <w:t>Gazette</w:t>
            </w:r>
            <w:r>
              <w:t xml:space="preserve"> 1 Jul 1996 p. 3179)</w:t>
            </w:r>
          </w:p>
        </w:tc>
      </w:tr>
      <w:tr>
        <w:trPr>
          <w:cantSplit/>
        </w:trPr>
        <w:tc>
          <w:tcPr>
            <w:tcW w:w="3118"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4" w:type="dxa"/>
          </w:tcPr>
          <w:p>
            <w:pPr>
              <w:pStyle w:val="nTable"/>
              <w:spacing w:after="40"/>
            </w:pPr>
            <w:r>
              <w:t>1 Jul 1997 (see r. 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rPr>
          <w:cantSplit/>
        </w:trPr>
        <w:tc>
          <w:tcPr>
            <w:tcW w:w="3118"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4" w:type="dxa"/>
          </w:tcPr>
          <w:p>
            <w:pPr>
              <w:pStyle w:val="nTable"/>
              <w:spacing w:after="40"/>
            </w:pPr>
            <w:r>
              <w:t xml:space="preserve">1 Nov 1998 (see r. 2 and </w:t>
            </w:r>
            <w:r>
              <w:rPr>
                <w:i/>
              </w:rPr>
              <w:t>Gazette</w:t>
            </w:r>
            <w:r>
              <w:t xml:space="preserve"> 16 Oct 1998 p. 5729)</w:t>
            </w:r>
          </w:p>
        </w:tc>
      </w:tr>
      <w:tr>
        <w:trPr>
          <w:cantSplit/>
        </w:trPr>
        <w:tc>
          <w:tcPr>
            <w:tcW w:w="3118"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4" w:type="dxa"/>
          </w:tcPr>
          <w:p>
            <w:pPr>
              <w:pStyle w:val="nTable"/>
              <w:spacing w:after="40"/>
            </w:pPr>
            <w:r>
              <w:t>8 Oct 1999</w:t>
            </w:r>
          </w:p>
        </w:tc>
      </w:tr>
      <w:tr>
        <w:trPr>
          <w:cantSplit/>
        </w:trPr>
        <w:tc>
          <w:tcPr>
            <w:tcW w:w="3118"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4" w:type="dxa"/>
          </w:tcPr>
          <w:p>
            <w:pPr>
              <w:pStyle w:val="nTable"/>
              <w:spacing w:after="40"/>
            </w:pPr>
            <w:r>
              <w:t>18 Feb 2000</w:t>
            </w:r>
          </w:p>
        </w:tc>
      </w:tr>
      <w:tr>
        <w:trPr>
          <w:cantSplit/>
        </w:trPr>
        <w:tc>
          <w:tcPr>
            <w:tcW w:w="3118"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4" w:type="dxa"/>
          </w:tcPr>
          <w:p>
            <w:pPr>
              <w:pStyle w:val="nTable"/>
              <w:spacing w:after="40"/>
            </w:pPr>
            <w:r>
              <w:t>6 Nov 2001</w:t>
            </w:r>
          </w:p>
        </w:tc>
      </w:tr>
      <w:tr>
        <w:trPr>
          <w:cantSplit/>
        </w:trPr>
        <w:tc>
          <w:tcPr>
            <w:tcW w:w="3118"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4" w:type="dxa"/>
          </w:tcPr>
          <w:p>
            <w:pPr>
              <w:pStyle w:val="nTable"/>
              <w:spacing w:after="40"/>
            </w:pPr>
            <w:r>
              <w:t>8 Feb 2002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rPr>
          <w:cantSplit/>
        </w:trPr>
        <w:tc>
          <w:tcPr>
            <w:tcW w:w="3118" w:type="dxa"/>
          </w:tcPr>
          <w:p>
            <w:pPr>
              <w:pStyle w:val="nTable"/>
              <w:spacing w:after="40"/>
              <w:ind w:right="113"/>
              <w:rPr>
                <w:i/>
                <w:vertAlign w:val="superscript"/>
              </w:rPr>
            </w:pPr>
            <w:r>
              <w:rPr>
                <w:i/>
              </w:rPr>
              <w:t>Real Estate and Business Agents (General) Amendment Regulations 2003</w:t>
            </w:r>
            <w:r>
              <w:t> </w:t>
            </w:r>
            <w:r>
              <w:rPr>
                <w:vertAlign w:val="superscript"/>
              </w:rPr>
              <w:t>4</w:t>
            </w:r>
          </w:p>
        </w:tc>
        <w:tc>
          <w:tcPr>
            <w:tcW w:w="1276" w:type="dxa"/>
          </w:tcPr>
          <w:p>
            <w:pPr>
              <w:pStyle w:val="nTable"/>
              <w:spacing w:after="40"/>
            </w:pPr>
            <w:r>
              <w:t>7 Feb 2003 p. 384</w:t>
            </w:r>
            <w:r>
              <w:noBreakHyphen/>
              <w:t>7 (as amended 13 Jan 2004 p. 145</w:t>
            </w:r>
            <w:r>
              <w:noBreakHyphen/>
              <w:t>6)</w:t>
            </w:r>
          </w:p>
        </w:tc>
        <w:tc>
          <w:tcPr>
            <w:tcW w:w="2694" w:type="dxa"/>
          </w:tcPr>
          <w:p>
            <w:pPr>
              <w:pStyle w:val="nTable"/>
              <w:spacing w:after="40"/>
            </w:pPr>
            <w:r>
              <w:t>7 Feb 2003</w:t>
            </w:r>
          </w:p>
        </w:tc>
      </w:tr>
      <w:tr>
        <w:trPr>
          <w:cantSplit/>
        </w:trPr>
        <w:tc>
          <w:tcPr>
            <w:tcW w:w="3118"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4" w:type="dxa"/>
          </w:tcPr>
          <w:p>
            <w:pPr>
              <w:pStyle w:val="nTable"/>
              <w:spacing w:after="40"/>
            </w:pPr>
            <w:r>
              <w:t>13 Jan 2004</w:t>
            </w:r>
          </w:p>
        </w:tc>
      </w:tr>
      <w:tr>
        <w:trPr>
          <w:cantSplit/>
        </w:trPr>
        <w:tc>
          <w:tcPr>
            <w:tcW w:w="3118"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4" w:type="dxa"/>
          </w:tcPr>
          <w:p>
            <w:pPr>
              <w:pStyle w:val="nTable"/>
              <w:spacing w:after="40"/>
            </w:pPr>
            <w:r>
              <w:t>17 Nov 2006</w:t>
            </w:r>
          </w:p>
        </w:tc>
      </w:tr>
      <w:tr>
        <w:trPr>
          <w:cantSplit/>
        </w:trPr>
        <w:tc>
          <w:tcPr>
            <w:tcW w:w="3118"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4" w:type="dxa"/>
          </w:tcPr>
          <w:p>
            <w:pPr>
              <w:pStyle w:val="nTable"/>
              <w:spacing w:after="40"/>
            </w:pPr>
            <w:r>
              <w:t>6 Feb 2007</w:t>
            </w:r>
          </w:p>
        </w:tc>
      </w:tr>
      <w:tr>
        <w:trPr>
          <w:cantSplit/>
        </w:trPr>
        <w:tc>
          <w:tcPr>
            <w:tcW w:w="3118"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4" w:type="dxa"/>
          </w:tcPr>
          <w:p>
            <w:pPr>
              <w:pStyle w:val="nTable"/>
              <w:spacing w:after="40"/>
            </w:pPr>
            <w:r>
              <w:t>9 Mar 2007</w:t>
            </w:r>
          </w:p>
        </w:tc>
      </w:tr>
      <w:tr>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rPr>
          <w:cantSplit/>
        </w:trPr>
        <w:tc>
          <w:tcPr>
            <w:tcW w:w="3118"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4"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rPr>
          <w:cantSplit/>
        </w:trPr>
        <w:tc>
          <w:tcPr>
            <w:tcW w:w="3118"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4" w:type="dxa"/>
          </w:tcPr>
          <w:p>
            <w:pPr>
              <w:pStyle w:val="nTable"/>
              <w:spacing w:after="40"/>
            </w:pPr>
            <w:r>
              <w:t>r. 1 and 2: 28 Dec 2007 (see r. 2(a));</w:t>
            </w:r>
          </w:p>
          <w:p>
            <w:pPr>
              <w:pStyle w:val="nTable"/>
              <w:spacing w:after="40"/>
              <w:rPr>
                <w:snapToGrid w:val="0"/>
              </w:rPr>
            </w:pPr>
            <w:r>
              <w:t>Regulations other than r. 1 and 2: 29 Dec 2007 (see r. 2(b))</w:t>
            </w:r>
          </w:p>
        </w:tc>
      </w:tr>
      <w:tr>
        <w:trPr>
          <w:cantSplit/>
        </w:trPr>
        <w:tc>
          <w:tcPr>
            <w:tcW w:w="3118"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4" w:type="dxa"/>
          </w:tcPr>
          <w:p>
            <w:pPr>
              <w:pStyle w:val="nTable"/>
              <w:spacing w:after="40"/>
            </w:pPr>
            <w:r>
              <w:t>r. 1 and 2: 17 Jun 2008 (see r. 2(a));</w:t>
            </w:r>
            <w:r>
              <w:br/>
              <w:t>Regulations other than r. 1 and 2: 1 Jul 2008 (see r. 2(b))</w:t>
            </w:r>
          </w:p>
        </w:tc>
      </w:tr>
      <w:tr>
        <w:trPr>
          <w:cantSplit/>
        </w:trPr>
        <w:tc>
          <w:tcPr>
            <w:tcW w:w="3118"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4" w:type="dxa"/>
          </w:tcPr>
          <w:p>
            <w:pPr>
              <w:pStyle w:val="nTable"/>
              <w:spacing w:after="40"/>
            </w:pPr>
            <w:r>
              <w:t>r. 1 and 2: 24 Jun 2008 (see r. 2(a));</w:t>
            </w:r>
            <w:r>
              <w:br/>
              <w:t>Regulations other than r. 1 and 2: 25 Jun 2008 (see r. 2(b))</w:t>
            </w:r>
          </w:p>
        </w:tc>
      </w:tr>
      <w:tr>
        <w:trPr>
          <w:cantSplit/>
        </w:trPr>
        <w:tc>
          <w:tcPr>
            <w:tcW w:w="3118"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4" w:type="dxa"/>
          </w:tcPr>
          <w:p>
            <w:pPr>
              <w:pStyle w:val="nTable"/>
              <w:spacing w:after="40"/>
            </w:pPr>
            <w:r>
              <w:t>r. 1 and 2: 23 Dec 2008 (see r. 2(a));</w:t>
            </w:r>
            <w:r>
              <w:br/>
              <w:t>Regulations other than r. 1 and 2: 24 Dec 2008 (see r. 2(b))</w:t>
            </w:r>
          </w:p>
        </w:tc>
      </w:tr>
      <w:tr>
        <w:trPr>
          <w:cantSplit/>
        </w:trPr>
        <w:tc>
          <w:tcPr>
            <w:tcW w:w="3118"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4"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4" w:type="dxa"/>
          </w:tcPr>
          <w:p>
            <w:pPr>
              <w:pStyle w:val="nTable"/>
              <w:spacing w:after="40"/>
              <w:rPr>
                <w:rFonts w:ascii="Times" w:hAnsi="Times"/>
              </w:rPr>
            </w:pPr>
            <w:r>
              <w:rPr>
                <w:rFonts w:ascii="Times" w:hAnsi="Times"/>
              </w:rPr>
              <w:t>r. 1 and 2: 8 May 2009 (see r. 2(a));</w:t>
            </w:r>
            <w:r>
              <w:rPr>
                <w:rFonts w:ascii="Times" w:hAnsi="Times"/>
              </w:rPr>
              <w:br/>
              <w:t>Regulations other than r. 1 and 2: 1 Jul 2009 (see r. 2(b))</w:t>
            </w:r>
          </w:p>
        </w:tc>
      </w:tr>
      <w:tr>
        <w:trPr>
          <w:cantSplit/>
        </w:trPr>
        <w:tc>
          <w:tcPr>
            <w:tcW w:w="3118"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4" w:type="dxa"/>
          </w:tcPr>
          <w:p>
            <w:pPr>
              <w:pStyle w:val="nTable"/>
              <w:spacing w:after="40"/>
              <w:rPr>
                <w:rFonts w:ascii="Times" w:hAnsi="Times"/>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4" w:type="dxa"/>
          </w:tcPr>
          <w:p>
            <w:pPr>
              <w:pStyle w:val="nTable"/>
              <w:spacing w:after="40"/>
              <w:rPr>
                <w:rFonts w:ascii="Times" w:hAnsi="Times"/>
                <w:snapToGrid w:val="0"/>
              </w:rPr>
            </w:pPr>
            <w:r>
              <w:rPr>
                <w:rFonts w:ascii="Times" w:hAnsi="Times"/>
                <w:snapToGrid w:val="0"/>
              </w:rPr>
              <w:t>r. 1 and 2: 28 Aug 2009 (see r. 2(a));</w:t>
            </w:r>
            <w:r>
              <w:rPr>
                <w:rFonts w:ascii="Times" w:hAnsi="Times"/>
                <w:snapToGrid w:val="0"/>
              </w:rPr>
              <w:br/>
              <w:t>Regulations other than r. 1 and 2: 29 Aug 2009 (see r. 2(b))</w:t>
            </w:r>
          </w:p>
        </w:tc>
      </w:tr>
      <w:tr>
        <w:trPr>
          <w:cantSplit/>
        </w:trPr>
        <w:tc>
          <w:tcPr>
            <w:tcW w:w="3118"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4" w:type="dxa"/>
          </w:tcPr>
          <w:p>
            <w:pPr>
              <w:pStyle w:val="nTable"/>
              <w:spacing w:after="40"/>
              <w:rPr>
                <w:rFonts w:ascii="Times" w:hAnsi="Times"/>
                <w:snapToGrid w:val="0"/>
              </w:rPr>
            </w:pPr>
            <w:r>
              <w:rPr>
                <w:rFonts w:ascii="Times" w:hAnsi="Times"/>
                <w:snapToGrid w:val="0"/>
              </w:rPr>
              <w:t>r. 1 and 2: 10 Nov 2009 (see r. 2(a));</w:t>
            </w:r>
            <w:r>
              <w:rPr>
                <w:rFonts w:ascii="Times" w:hAnsi="Times"/>
                <w:snapToGrid w:val="0"/>
              </w:rPr>
              <w:br/>
              <w:t>Regulations other than r. 1 and 2: 11 Nov 2009 (see r. 2(b))</w:t>
            </w:r>
          </w:p>
        </w:tc>
      </w:tr>
      <w:tr>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rPr>
          <w:cantSplit/>
        </w:trPr>
        <w:tc>
          <w:tcPr>
            <w:tcW w:w="3118"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4" w:type="dxa"/>
          </w:tcPr>
          <w:p>
            <w:pPr>
              <w:pStyle w:val="nTable"/>
              <w:spacing w:after="40"/>
              <w:rPr>
                <w:rFonts w:ascii="Times" w:hAnsi="Times"/>
                <w:snapToGrid w:val="0"/>
              </w:rPr>
            </w:pPr>
            <w:r>
              <w:rPr>
                <w:rFonts w:ascii="Times" w:hAnsi="Times"/>
                <w:snapToGrid w:val="0"/>
              </w:rPr>
              <w:t>r. 1 and 2: 28 May 2010 (see r. 2(a));</w:t>
            </w:r>
            <w:r>
              <w:rPr>
                <w:rFonts w:ascii="Times" w:hAnsi="Times"/>
                <w:snapToGrid w:val="0"/>
              </w:rPr>
              <w:br/>
              <w:t>Regulations other than r. 1 and 2: 29 May 2010 (see r. 2(b))</w:t>
            </w:r>
          </w:p>
        </w:tc>
      </w:tr>
      <w:tr>
        <w:trPr>
          <w:cantSplit/>
        </w:trPr>
        <w:tc>
          <w:tcPr>
            <w:tcW w:w="3118"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4"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8"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4"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4" w:type="dxa"/>
            <w:shd w:val="clear" w:color="auto" w:fill="auto"/>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rPr>
          <w:cantSplit/>
        </w:trPr>
        <w:tc>
          <w:tcPr>
            <w:tcW w:w="3118"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4" w:type="dxa"/>
            <w:shd w:val="clear" w:color="auto" w:fill="auto"/>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4" w:type="dxa"/>
            <w:shd w:val="clear" w:color="auto" w:fill="auto"/>
          </w:tcPr>
          <w:p>
            <w:pPr>
              <w:pStyle w:val="nTable"/>
              <w:spacing w:after="40"/>
              <w:rPr>
                <w:rFonts w:ascii="Times" w:hAnsi="Times"/>
                <w:snapToGrid w:val="0"/>
              </w:rPr>
            </w:pPr>
            <w:r>
              <w:rPr>
                <w:rFonts w:ascii="Times" w:hAnsi="Times"/>
                <w:snapToGrid w:val="0"/>
              </w:rPr>
              <w:t>r. 1 and 2: 23 Oct 2012 (see r. 2(a));</w:t>
            </w:r>
            <w:r>
              <w:rPr>
                <w:rFonts w:ascii="Times" w:hAnsi="Times"/>
                <w:snapToGrid w:val="0"/>
              </w:rPr>
              <w:br/>
              <w:t>Regulations other than r. 1 and 2: 24 Oct 2012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4" w:type="dxa"/>
            <w:shd w:val="clear" w:color="auto" w:fill="auto"/>
          </w:tcPr>
          <w:p>
            <w:pPr>
              <w:pStyle w:val="nTable"/>
              <w:spacing w:after="40"/>
              <w:rPr>
                <w:rFonts w:ascii="Times" w:hAnsi="Times"/>
                <w:b/>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4" w:type="dxa"/>
            <w:shd w:val="clear" w:color="auto" w:fill="auto"/>
          </w:tcPr>
          <w:p>
            <w:pPr>
              <w:pStyle w:val="nTable"/>
              <w:spacing w:after="40"/>
              <w:rPr>
                <w:rFonts w:ascii="Times" w:hAnsi="Times"/>
                <w:b/>
                <w:snapToGrid w:val="0"/>
                <w:spacing w:val="-2"/>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rPr>
          <w:cantSplit/>
        </w:trPr>
        <w:tc>
          <w:tcPr>
            <w:tcW w:w="3118"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4"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i/>
              </w:rPr>
            </w:pPr>
            <w:r>
              <w:rPr>
                <w:i/>
              </w:rPr>
              <w:t>Real Estate and Business Agents (General) Amendment Regulations (No. 2) 2014</w:t>
            </w:r>
          </w:p>
        </w:tc>
        <w:tc>
          <w:tcPr>
            <w:tcW w:w="1276" w:type="dxa"/>
            <w:tcBorders>
              <w:bottom w:val="single" w:sz="4" w:space="0" w:color="auto"/>
            </w:tcBorders>
            <w:shd w:val="clear" w:color="auto" w:fill="auto"/>
          </w:tcPr>
          <w:p>
            <w:pPr>
              <w:pStyle w:val="nTable"/>
              <w:spacing w:after="40"/>
            </w:pPr>
            <w:r>
              <w:t>18 Nov 2014 p. 4324-5</w:t>
            </w:r>
          </w:p>
        </w:tc>
        <w:tc>
          <w:tcPr>
            <w:tcW w:w="2694" w:type="dxa"/>
            <w:tcBorders>
              <w:bottom w:val="single" w:sz="4" w:space="0" w:color="auto"/>
            </w:tcBorders>
            <w:shd w:val="clear" w:color="auto" w:fill="auto"/>
          </w:tcPr>
          <w:p>
            <w:pPr>
              <w:pStyle w:val="nTable"/>
              <w:spacing w:after="40"/>
              <w:rPr>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bl>
    <w:p>
      <w:pPr>
        <w:pStyle w:val="nSubsection"/>
        <w:spacing w:before="120"/>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Subsection"/>
        <w:spacing w:before="120"/>
        <w:rPr>
          <w:snapToGrid w:val="0"/>
        </w:rPr>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84" w:name="_Toc419375260"/>
      <w:r>
        <w:rPr>
          <w:sz w:val="28"/>
        </w:rPr>
        <w:t>Defined terms</w:t>
      </w:r>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financial institution</w:t>
      </w:r>
      <w:r>
        <w:tab/>
        <w:t>6C</w:t>
      </w:r>
    </w:p>
    <w:p>
      <w:pPr>
        <w:pStyle w:val="DefinedTerms"/>
      </w:pPr>
      <w:r>
        <w:t>business</w:t>
      </w:r>
      <w:r>
        <w:tab/>
        <w:t>6E(2)</w:t>
      </w:r>
    </w:p>
    <w:p>
      <w:pPr>
        <w:pStyle w:val="DefinedTerms"/>
      </w:pPr>
      <w:r>
        <w:t>calendar year</w:t>
      </w:r>
      <w:r>
        <w:tab/>
        <w:t>2</w:t>
      </w:r>
    </w:p>
    <w:p>
      <w:pPr>
        <w:pStyle w:val="DefinedTerms"/>
      </w:pPr>
      <w:r>
        <w:t>CPD activity</w:t>
      </w:r>
      <w:r>
        <w:tab/>
        <w:t>2</w:t>
      </w:r>
    </w:p>
    <w:p>
      <w:pPr>
        <w:pStyle w:val="DefinedTerms"/>
      </w:pPr>
      <w:r>
        <w:t>CPD subject</w:t>
      </w:r>
      <w:r>
        <w:tab/>
        <w:t>2</w:t>
      </w:r>
    </w:p>
    <w:p>
      <w:pPr>
        <w:pStyle w:val="DefinedTerms"/>
      </w:pPr>
      <w:r>
        <w:t>CPP07 Property Services Training Package</w:t>
      </w:r>
      <w:r>
        <w:tab/>
        <w:t>6A(2)</w:t>
      </w:r>
    </w:p>
    <w:p>
      <w:pPr>
        <w:pStyle w:val="DefinedTerms"/>
      </w:pPr>
      <w:r>
        <w:t>dwelling</w:t>
      </w:r>
      <w:r>
        <w:tab/>
        <w:t>2</w:t>
      </w:r>
    </w:p>
    <w:p>
      <w:pPr>
        <w:pStyle w:val="DefinedTerms"/>
      </w:pPr>
      <w:r>
        <w:t>educational activity</w:t>
      </w:r>
      <w:r>
        <w:tab/>
        <w:t>2</w:t>
      </w:r>
    </w:p>
    <w:p>
      <w:pPr>
        <w:pStyle w:val="DefinedTerms"/>
      </w:pPr>
      <w:r>
        <w:t>holding fee</w:t>
      </w:r>
      <w:r>
        <w:tab/>
        <w:t>4A(1)</w:t>
      </w:r>
    </w:p>
    <w:p>
      <w:pPr>
        <w:pStyle w:val="DefinedTerms"/>
      </w:pPr>
      <w:r>
        <w:t>mandatory CPD activity</w:t>
      </w:r>
      <w:r>
        <w:tab/>
        <w:t>2</w:t>
      </w:r>
    </w:p>
    <w:p>
      <w:pPr>
        <w:pStyle w:val="DefinedTerms"/>
      </w:pPr>
      <w:r>
        <w:t>mandatory CPD subject</w:t>
      </w:r>
      <w:r>
        <w:tab/>
        <w:t>2</w:t>
      </w:r>
    </w:p>
    <w:p>
      <w:pPr>
        <w:pStyle w:val="DefinedTerms"/>
      </w:pPr>
      <w:r>
        <w:t>point value</w:t>
      </w:r>
      <w:r>
        <w:tab/>
        <w:t>2</w:t>
      </w:r>
    </w:p>
    <w:p>
      <w:pPr>
        <w:pStyle w:val="DefinedTerms"/>
      </w:pPr>
      <w:r>
        <w:t>record</w:t>
      </w:r>
      <w:r>
        <w:tab/>
        <w:t>2</w:t>
      </w:r>
    </w:p>
    <w:p>
      <w:pPr>
        <w:pStyle w:val="DefinedTerms"/>
      </w:pPr>
      <w:r>
        <w:t>register</w:t>
      </w:r>
      <w:r>
        <w:tab/>
        <w:t>2</w:t>
      </w:r>
    </w:p>
    <w:p>
      <w:pPr>
        <w:pStyle w:val="DefinedTerms"/>
      </w:pPr>
      <w:r>
        <w:t>registered training provider</w:t>
      </w:r>
      <w:r>
        <w:tab/>
        <w:t>2</w:t>
      </w:r>
    </w:p>
    <w:p>
      <w:pPr>
        <w:pStyle w:val="DefinedTerms"/>
      </w:pPr>
      <w:r>
        <w:t>regulated person</w:t>
      </w:r>
      <w:r>
        <w:tab/>
        <w:t>2</w:t>
      </w:r>
    </w:p>
    <w:p>
      <w:pPr>
        <w:pStyle w:val="DefinedTerms"/>
      </w:pPr>
      <w:r>
        <w:t>relevant bank accepted bills rate</w:t>
      </w:r>
      <w:r>
        <w:tab/>
        <w:t>6F(2)</w:t>
      </w:r>
    </w:p>
    <w:p>
      <w:pPr>
        <w:pStyle w:val="DefinedTerms"/>
      </w:pPr>
      <w:r>
        <w:t>relevant day</w:t>
      </w:r>
      <w:r>
        <w:tab/>
        <w:t>2</w:t>
      </w:r>
    </w:p>
    <w:p>
      <w:pPr>
        <w:pStyle w:val="DefinedTerms"/>
      </w:pPr>
      <w:r>
        <w:t>working day</w:t>
      </w:r>
      <w:r>
        <w:tab/>
        <w:t>2</w:t>
      </w:r>
    </w:p>
    <w:p>
      <w:pPr>
        <w:pStyle w:val="DefinedTerms"/>
        <w:sectPr>
          <w:headerReference w:type="even" r:id="rId39"/>
          <w:headerReference w:type="default" r:id="rId40"/>
          <w:pgSz w:w="11907" w:h="16840" w:code="9"/>
          <w:pgMar w:top="2381" w:right="2409" w:bottom="3543" w:left="2409" w:header="720" w:footer="3380" w:gutter="0"/>
          <w:cols w:space="720"/>
          <w:noEndnote/>
          <w:docGrid w:linePitch="326"/>
        </w:sectPr>
      </w:pPr>
    </w:p>
    <w:p>
      <w:pPr>
        <w:jc w:val="center"/>
        <w:rPr>
          <w:rFonts w:ascii="Arial" w:hAnsi="Arial" w:cs="Arial"/>
          <w:sz w:val="12"/>
        </w:rPr>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8" w:name="Schedule"/>
    <w:bookmarkEnd w:id="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4135140"/>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png"/><Relationship Id="rId38" Type="http://schemas.openxmlformats.org/officeDocument/2006/relationships/header" Target="header21.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80E8-8D9F-4356-9BEB-FFFE9AE3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9935</Words>
  <Characters>51071</Characters>
  <Application>Microsoft Office Word</Application>
  <DocSecurity>0</DocSecurity>
  <Lines>1823</Lines>
  <Paragraphs>1129</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Company>Ministry of Justice</Company>
  <LinksUpToDate>false</LinksUpToDate>
  <CharactersWithSpaces>59877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1979 - 08-b0-01</dc:title>
  <dc:subject>SubIF_R</dc:subject>
  <dc:creator>Matthew Pether</dc:creator>
  <cp:lastModifiedBy>svcMRProcess</cp:lastModifiedBy>
  <cp:revision>4</cp:revision>
  <cp:lastPrinted>2014-10-02T03:16:00Z</cp:lastPrinted>
  <dcterms:created xsi:type="dcterms:W3CDTF">2015-05-14T06:00:00Z</dcterms:created>
  <dcterms:modified xsi:type="dcterms:W3CDTF">2015-05-14T06:01:00Z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20141119</vt:lpwstr>
  </property>
  <property fmtid="{D5CDD505-2E9C-101B-9397-08002B2CF9AE}" pid="4" name="DocumentType">
    <vt:lpwstr>Reg</vt:lpwstr>
  </property>
  <property fmtid="{D5CDD505-2E9C-101B-9397-08002B2CF9AE}" pid="5" name="OwlsUID">
    <vt:i4>4732</vt:i4>
  </property>
  <property fmtid="{D5CDD505-2E9C-101B-9397-08002B2CF9AE}" pid="6" name="ReprintNo">
    <vt:lpwstr>8</vt:lpwstr>
  </property>
  <property fmtid="{D5CDD505-2E9C-101B-9397-08002B2CF9AE}" pid="7" name="ReprintedAsAt">
    <vt:filetime>2014-09-18T16:00:00Z</vt:filetime>
  </property>
  <property fmtid="{D5CDD505-2E9C-101B-9397-08002B2CF9AE}" pid="8" name="AsAtDate">
    <vt:lpwstr>19 Nov 2014</vt:lpwstr>
  </property>
  <property fmtid="{D5CDD505-2E9C-101B-9397-08002B2CF9AE}" pid="9" name="Suffix">
    <vt:lpwstr>08-b0-01</vt:lpwstr>
  </property>
</Properties>
</file>