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Products Pricing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_Toc416961678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_Toc416961679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_Toc416961680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other Acts, etc.</w:t>
      </w:r>
      <w:r>
        <w:tab/>
      </w:r>
      <w:r>
        <w:fldChar w:fldCharType="begin"/>
      </w:r>
      <w:r>
        <w:instrText xml:space="preserve"> PAGEREF _Toc416961681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Administration</w:t>
      </w:r>
    </w:p>
    <w:p>
      <w:pPr>
        <w:pStyle w:val="TOC8"/>
        <w:rPr>
          <w:rFonts w:asciiTheme="minorHAnsi" w:eastAsiaTheme="minorEastAsia" w:hAnsiTheme="minorHAnsi" w:cstheme="minorBidi"/>
          <w:szCs w:val="22"/>
        </w:rPr>
      </w:pPr>
      <w:r>
        <w:t>5.</w:t>
      </w:r>
      <w:r>
        <w:tab/>
        <w:t>Commissioner</w:t>
      </w:r>
      <w:r>
        <w:tab/>
      </w:r>
      <w:r>
        <w:fldChar w:fldCharType="begin"/>
      </w:r>
      <w:r>
        <w:instrText xml:space="preserve"> PAGEREF _Toc416961683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 and purposes</w:t>
      </w:r>
      <w:r>
        <w:tab/>
      </w:r>
      <w:r>
        <w:fldChar w:fldCharType="begin"/>
      </w:r>
      <w:r>
        <w:instrText xml:space="preserve"> PAGEREF _Toc416961684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administration, and the powers and duties of the Commissioner</w:t>
      </w:r>
      <w:r>
        <w:tab/>
      </w:r>
      <w:r>
        <w:fldChar w:fldCharType="begin"/>
      </w:r>
      <w:r>
        <w:instrText xml:space="preserve"> PAGEREF _Toc416961685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Prices advisory committees</w:t>
      </w:r>
      <w:r>
        <w:tab/>
      </w:r>
      <w:r>
        <w:fldChar w:fldCharType="begin"/>
      </w:r>
      <w:r>
        <w:instrText xml:space="preserve"> PAGEREF _Toc416961686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of office of members of committees</w:t>
      </w:r>
      <w:r>
        <w:tab/>
      </w:r>
      <w:r>
        <w:fldChar w:fldCharType="begin"/>
      </w:r>
      <w:r>
        <w:instrText xml:space="preserve"> PAGEREF _Toc416961687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Regulation of prices and rates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Declaration of goods and services</w:t>
      </w:r>
    </w:p>
    <w:p>
      <w:pPr>
        <w:pStyle w:val="TOC8"/>
        <w:rPr>
          <w:rFonts w:asciiTheme="minorHAnsi" w:eastAsiaTheme="minorEastAsia" w:hAnsiTheme="minorHAnsi" w:cstheme="minorBidi"/>
          <w:szCs w:val="22"/>
        </w:rPr>
      </w:pPr>
      <w:r>
        <w:t>10</w:t>
      </w:r>
      <w:r>
        <w:rPr>
          <w:snapToGrid w:val="0"/>
        </w:rPr>
        <w:t>.</w:t>
      </w:r>
      <w:r>
        <w:rPr>
          <w:snapToGrid w:val="0"/>
        </w:rPr>
        <w:tab/>
        <w:t>Declaration of goods and services</w:t>
      </w:r>
      <w:r>
        <w:tab/>
      </w:r>
      <w:r>
        <w:fldChar w:fldCharType="begin"/>
      </w:r>
      <w:r>
        <w:instrText xml:space="preserve"> PAGEREF _Toc416961690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when increase in price or rate of declared goods or declared service proposed</w:t>
      </w:r>
      <w:r>
        <w:tab/>
      </w:r>
      <w:r>
        <w:fldChar w:fldCharType="begin"/>
      </w:r>
      <w:r>
        <w:instrText xml:space="preserve"> PAGEREF _Toc416961691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Determination of maximum prices and rates for goods and services</w:t>
      </w:r>
    </w:p>
    <w:p>
      <w:pPr>
        <w:pStyle w:val="TOC8"/>
        <w:rPr>
          <w:rFonts w:asciiTheme="minorHAnsi" w:eastAsiaTheme="minorEastAsia" w:hAnsiTheme="minorHAnsi" w:cstheme="minorBidi"/>
          <w:szCs w:val="22"/>
        </w:rPr>
      </w:pPr>
      <w:r>
        <w:t>12</w:t>
      </w:r>
      <w:r>
        <w:rPr>
          <w:snapToGrid w:val="0"/>
        </w:rPr>
        <w:t>.</w:t>
      </w:r>
      <w:r>
        <w:rPr>
          <w:snapToGrid w:val="0"/>
        </w:rPr>
        <w:tab/>
        <w:t>Determination of maximum prices and rates</w:t>
      </w:r>
      <w:r>
        <w:tab/>
      </w:r>
      <w:r>
        <w:fldChar w:fldCharType="begin"/>
      </w:r>
      <w:r>
        <w:instrText xml:space="preserve"> PAGEREF _Toc416961693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Minister to suspend order</w:t>
      </w:r>
      <w:r>
        <w:tab/>
      </w:r>
      <w:r>
        <w:fldChar w:fldCharType="begin"/>
      </w:r>
      <w:r>
        <w:instrText xml:space="preserve"> PAGEREF _Toc416961694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Enforcement of maximum prices and rates</w:t>
      </w:r>
    </w:p>
    <w:p>
      <w:pPr>
        <w:pStyle w:val="TOC8"/>
        <w:rPr>
          <w:rFonts w:asciiTheme="minorHAnsi" w:eastAsiaTheme="minorEastAsia" w:hAnsiTheme="minorHAnsi" w:cstheme="minorBidi"/>
          <w:szCs w:val="22"/>
        </w:rPr>
      </w:pPr>
      <w:r>
        <w:t>14</w:t>
      </w:r>
      <w:r>
        <w:rPr>
          <w:snapToGrid w:val="0"/>
        </w:rPr>
        <w:t>.</w:t>
      </w:r>
      <w:r>
        <w:rPr>
          <w:snapToGrid w:val="0"/>
        </w:rPr>
        <w:tab/>
        <w:t>Offence to sell goods at price higher than maximum price or supply service at rate higher than maximum rate</w:t>
      </w:r>
      <w:r>
        <w:tab/>
      </w:r>
      <w:r>
        <w:fldChar w:fldCharType="begin"/>
      </w:r>
      <w:r>
        <w:instrText xml:space="preserve"> PAGEREF _Toc416961696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Delivery of goods less in quantity than, or of inferior quality to, those sold</w:t>
      </w:r>
      <w:r>
        <w:tab/>
      </w:r>
      <w:r>
        <w:fldChar w:fldCharType="begin"/>
      </w:r>
      <w:r>
        <w:instrText xml:space="preserve"> PAGEREF _Toc416961697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Alterations in mode of packing or recipe or formula</w:t>
      </w:r>
      <w:r>
        <w:tab/>
      </w:r>
      <w:r>
        <w:fldChar w:fldCharType="begin"/>
      </w:r>
      <w:r>
        <w:instrText xml:space="preserve"> PAGEREF _Toc416961698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Price or rate of controlled goods or service to be specified separately</w:t>
      </w:r>
      <w:r>
        <w:tab/>
      </w:r>
      <w:r>
        <w:fldChar w:fldCharType="begin"/>
      </w:r>
      <w:r>
        <w:instrText xml:space="preserve"> PAGEREF _Toc416961699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prohibit certain transactions</w:t>
      </w:r>
      <w:r>
        <w:tab/>
      </w:r>
      <w:r>
        <w:fldChar w:fldCharType="begin"/>
      </w:r>
      <w:r>
        <w:instrText xml:space="preserve"> PAGEREF _Toc416961700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Refusal to sell goods at fixed price</w:t>
      </w:r>
      <w:r>
        <w:tab/>
      </w:r>
      <w:r>
        <w:fldChar w:fldCharType="begin"/>
      </w:r>
      <w:r>
        <w:instrText xml:space="preserve"> PAGEREF _Toc416961701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Refusal to supply service at fixed rate</w:t>
      </w:r>
      <w:r>
        <w:tab/>
      </w:r>
      <w:r>
        <w:fldChar w:fldCharType="begin"/>
      </w:r>
      <w:r>
        <w:instrText xml:space="preserve"> PAGEREF _Toc416961702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Refusal to sell or supply unless other goods or services are also purchased</w:t>
      </w:r>
      <w:r>
        <w:tab/>
      </w:r>
      <w:r>
        <w:fldChar w:fldCharType="begin"/>
      </w:r>
      <w:r>
        <w:instrText xml:space="preserve"> PAGEREF _Toc416961703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t>
      </w:r>
      <w:r>
        <w:t>Offer</w:t>
      </w:r>
      <w:r>
        <w:rPr>
          <w:snapToGrid w:val="0"/>
        </w:rPr>
        <w:t>” includes notification of price or rate</w:t>
      </w:r>
      <w:r>
        <w:tab/>
      </w:r>
      <w:r>
        <w:fldChar w:fldCharType="begin"/>
      </w:r>
      <w:r>
        <w:instrText xml:space="preserve"> PAGEREF _Toc416961704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IIIA — Special provisions about motor fuel</w:t>
      </w:r>
    </w:p>
    <w:p>
      <w:pPr>
        <w:pStyle w:val="TOC4"/>
        <w:tabs>
          <w:tab w:val="right" w:leader="dot" w:pos="7077"/>
        </w:tabs>
        <w:rPr>
          <w:rFonts w:asciiTheme="minorHAnsi" w:eastAsiaTheme="minorEastAsia" w:hAnsiTheme="minorHAnsi" w:cstheme="minorBidi"/>
          <w:b w:val="0"/>
          <w:szCs w:val="22"/>
        </w:rPr>
      </w:pPr>
      <w:r>
        <w:t>Division 1 — Before retail sale</w:t>
      </w:r>
    </w:p>
    <w:p>
      <w:pPr>
        <w:pStyle w:val="TOC8"/>
        <w:rPr>
          <w:rFonts w:asciiTheme="minorHAnsi" w:eastAsiaTheme="minorEastAsia" w:hAnsiTheme="minorHAnsi" w:cstheme="minorBidi"/>
          <w:szCs w:val="22"/>
        </w:rPr>
      </w:pPr>
      <w:r>
        <w:t>22A.</w:t>
      </w:r>
      <w:r>
        <w:tab/>
        <w:t>Definitions</w:t>
      </w:r>
      <w:r>
        <w:tab/>
      </w:r>
      <w:r>
        <w:fldChar w:fldCharType="begin"/>
      </w:r>
      <w:r>
        <w:instrText xml:space="preserve"> PAGEREF _Toc416961707 \h </w:instrText>
      </w:r>
      <w:r>
        <w:fldChar w:fldCharType="separate"/>
      </w:r>
      <w:r>
        <w:t>29</w:t>
      </w:r>
      <w:r>
        <w:fldChar w:fldCharType="end"/>
      </w:r>
    </w:p>
    <w:p>
      <w:pPr>
        <w:pStyle w:val="TOC8"/>
        <w:rPr>
          <w:rFonts w:asciiTheme="minorHAnsi" w:eastAsiaTheme="minorEastAsia" w:hAnsiTheme="minorHAnsi" w:cstheme="minorBidi"/>
          <w:szCs w:val="22"/>
        </w:rPr>
      </w:pPr>
      <w:r>
        <w:t>22B.</w:t>
      </w:r>
      <w:r>
        <w:tab/>
        <w:t>Commissioner to be notified of proposed price changes</w:t>
      </w:r>
      <w:r>
        <w:tab/>
      </w:r>
      <w:r>
        <w:fldChar w:fldCharType="begin"/>
      </w:r>
      <w:r>
        <w:instrText xml:space="preserve"> PAGEREF _Toc416961708 \h </w:instrText>
      </w:r>
      <w:r>
        <w:fldChar w:fldCharType="separate"/>
      </w:r>
      <w:r>
        <w:t>30</w:t>
      </w:r>
      <w:r>
        <w:fldChar w:fldCharType="end"/>
      </w:r>
    </w:p>
    <w:p>
      <w:pPr>
        <w:pStyle w:val="TOC8"/>
        <w:rPr>
          <w:rFonts w:asciiTheme="minorHAnsi" w:eastAsiaTheme="minorEastAsia" w:hAnsiTheme="minorHAnsi" w:cstheme="minorBidi"/>
          <w:szCs w:val="22"/>
        </w:rPr>
      </w:pPr>
      <w:r>
        <w:t>22E.</w:t>
      </w:r>
      <w:r>
        <w:tab/>
        <w:t>Price to be compared to maximum price fixed</w:t>
      </w:r>
      <w:r>
        <w:tab/>
      </w:r>
      <w:r>
        <w:fldChar w:fldCharType="begin"/>
      </w:r>
      <w:r>
        <w:instrText xml:space="preserve"> PAGEREF _Toc416961709 \h </w:instrText>
      </w:r>
      <w:r>
        <w:fldChar w:fldCharType="separate"/>
      </w:r>
      <w:r>
        <w:t>30</w:t>
      </w:r>
      <w:r>
        <w:fldChar w:fldCharType="end"/>
      </w:r>
    </w:p>
    <w:p>
      <w:pPr>
        <w:pStyle w:val="TOC8"/>
        <w:rPr>
          <w:rFonts w:asciiTheme="minorHAnsi" w:eastAsiaTheme="minorEastAsia" w:hAnsiTheme="minorHAnsi" w:cstheme="minorBidi"/>
          <w:szCs w:val="22"/>
        </w:rPr>
      </w:pPr>
      <w:r>
        <w:t>22F.</w:t>
      </w:r>
      <w:r>
        <w:tab/>
        <w:t>Information that supplier is to provide</w:t>
      </w:r>
      <w:r>
        <w:tab/>
      </w:r>
      <w:r>
        <w:fldChar w:fldCharType="begin"/>
      </w:r>
      <w:r>
        <w:instrText xml:space="preserve"> PAGEREF _Toc416961710 \h </w:instrText>
      </w:r>
      <w:r>
        <w:fldChar w:fldCharType="separate"/>
      </w:r>
      <w:r>
        <w:t>31</w:t>
      </w:r>
      <w:r>
        <w:fldChar w:fldCharType="end"/>
      </w:r>
    </w:p>
    <w:p>
      <w:pPr>
        <w:pStyle w:val="TOC8"/>
        <w:rPr>
          <w:rFonts w:asciiTheme="minorHAnsi" w:eastAsiaTheme="minorEastAsia" w:hAnsiTheme="minorHAnsi" w:cstheme="minorBidi"/>
          <w:szCs w:val="22"/>
        </w:rPr>
      </w:pPr>
      <w:r>
        <w:t>22G.</w:t>
      </w:r>
      <w:r>
        <w:tab/>
        <w:t>Obligation to supply from declared terminal</w:t>
      </w:r>
      <w:r>
        <w:tab/>
      </w:r>
      <w:r>
        <w:fldChar w:fldCharType="begin"/>
      </w:r>
      <w:r>
        <w:instrText xml:space="preserve"> PAGEREF _Toc416961711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Retail sale</w:t>
      </w:r>
    </w:p>
    <w:p>
      <w:pPr>
        <w:pStyle w:val="TOC8"/>
        <w:rPr>
          <w:rFonts w:asciiTheme="minorHAnsi" w:eastAsiaTheme="minorEastAsia" w:hAnsiTheme="minorHAnsi" w:cstheme="minorBidi"/>
          <w:szCs w:val="22"/>
        </w:rPr>
      </w:pPr>
      <w:r>
        <w:t>22H.</w:t>
      </w:r>
      <w:r>
        <w:tab/>
        <w:t>Definitions</w:t>
      </w:r>
      <w:r>
        <w:tab/>
      </w:r>
      <w:r>
        <w:fldChar w:fldCharType="begin"/>
      </w:r>
      <w:r>
        <w:instrText xml:space="preserve"> PAGEREF _Toc416961713 \h </w:instrText>
      </w:r>
      <w:r>
        <w:fldChar w:fldCharType="separate"/>
      </w:r>
      <w:r>
        <w:t>33</w:t>
      </w:r>
      <w:r>
        <w:fldChar w:fldCharType="end"/>
      </w:r>
    </w:p>
    <w:p>
      <w:pPr>
        <w:pStyle w:val="TOC8"/>
        <w:rPr>
          <w:rFonts w:asciiTheme="minorHAnsi" w:eastAsiaTheme="minorEastAsia" w:hAnsiTheme="minorHAnsi" w:cstheme="minorBidi"/>
          <w:szCs w:val="22"/>
        </w:rPr>
      </w:pPr>
      <w:r>
        <w:t>22I.</w:t>
      </w:r>
      <w:r>
        <w:tab/>
        <w:t>Regulations to require retailers to display prices</w:t>
      </w:r>
      <w:r>
        <w:tab/>
      </w:r>
      <w:r>
        <w:fldChar w:fldCharType="begin"/>
      </w:r>
      <w:r>
        <w:instrText xml:space="preserve"> PAGEREF _Toc416961714 \h </w:instrText>
      </w:r>
      <w:r>
        <w:fldChar w:fldCharType="separate"/>
      </w:r>
      <w:r>
        <w:t>34</w:t>
      </w:r>
      <w:r>
        <w:fldChar w:fldCharType="end"/>
      </w:r>
    </w:p>
    <w:p>
      <w:pPr>
        <w:pStyle w:val="TOC8"/>
        <w:rPr>
          <w:rFonts w:asciiTheme="minorHAnsi" w:eastAsiaTheme="minorEastAsia" w:hAnsiTheme="minorHAnsi" w:cstheme="minorBidi"/>
          <w:szCs w:val="22"/>
        </w:rPr>
      </w:pPr>
      <w:r>
        <w:t>22J.</w:t>
      </w:r>
      <w:r>
        <w:tab/>
        <w:t>Regulations requiring notification of, and restricting change of, price</w:t>
      </w:r>
      <w:r>
        <w:tab/>
      </w:r>
      <w:r>
        <w:fldChar w:fldCharType="begin"/>
      </w:r>
      <w:r>
        <w:instrText xml:space="preserve"> PAGEREF _Toc416961715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Obtaining information</w:t>
      </w:r>
    </w:p>
    <w:p>
      <w:pPr>
        <w:pStyle w:val="TOC8"/>
        <w:rPr>
          <w:rFonts w:asciiTheme="minorHAnsi" w:eastAsiaTheme="minorEastAsia" w:hAnsiTheme="minorHAnsi" w:cstheme="minorBidi"/>
          <w:szCs w:val="22"/>
        </w:rPr>
      </w:pPr>
      <w:r>
        <w:t>23</w:t>
      </w:r>
      <w:r>
        <w:rPr>
          <w:snapToGrid w:val="0"/>
        </w:rPr>
        <w:t>.</w:t>
      </w:r>
      <w:r>
        <w:rPr>
          <w:snapToGrid w:val="0"/>
        </w:rPr>
        <w:tab/>
        <w:t>Power of Commissioner to inquire, investigate, and obtain information</w:t>
      </w:r>
      <w:r>
        <w:tab/>
      </w:r>
      <w:r>
        <w:fldChar w:fldCharType="begin"/>
      </w:r>
      <w:r>
        <w:instrText xml:space="preserve"> PAGEREF _Toc416961717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Sufficient notice to be given to enable questions, etc. to be answered</w:t>
      </w:r>
      <w:r>
        <w:tab/>
      </w:r>
      <w:r>
        <w:fldChar w:fldCharType="begin"/>
      </w:r>
      <w:r>
        <w:instrText xml:space="preserve"> PAGEREF _Toc416961718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Failure to supply information</w:t>
      </w:r>
      <w:r>
        <w:tab/>
      </w:r>
      <w:r>
        <w:fldChar w:fldCharType="begin"/>
      </w:r>
      <w:r>
        <w:instrText xml:space="preserve"> PAGEREF _Toc416961719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Obstructing Commissioner</w:t>
      </w:r>
      <w:r>
        <w:tab/>
      </w:r>
      <w:r>
        <w:fldChar w:fldCharType="begin"/>
      </w:r>
      <w:r>
        <w:instrText xml:space="preserve"> PAGEREF _Toc416961720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of Commissioner to require returns</w:t>
      </w:r>
      <w:r>
        <w:tab/>
      </w:r>
      <w:r>
        <w:fldChar w:fldCharType="begin"/>
      </w:r>
      <w:r>
        <w:instrText xml:space="preserve"> PAGEREF _Toc416961721 \h </w:instrText>
      </w:r>
      <w:r>
        <w:fldChar w:fldCharType="separate"/>
      </w:r>
      <w:r>
        <w:t>39</w:t>
      </w:r>
      <w:r>
        <w:fldChar w:fldCharType="end"/>
      </w:r>
    </w:p>
    <w:p>
      <w:pPr>
        <w:pStyle w:val="TOC8"/>
        <w:rPr>
          <w:rFonts w:asciiTheme="minorHAnsi" w:eastAsiaTheme="minorEastAsia" w:hAnsiTheme="minorHAnsi" w:cstheme="minorBidi"/>
          <w:szCs w:val="22"/>
        </w:rPr>
      </w:pPr>
      <w:r>
        <w:t>27A.</w:t>
      </w:r>
      <w:r>
        <w:tab/>
        <w:t>Further powers of Commissioner to obtain information</w:t>
      </w:r>
      <w:r>
        <w:tab/>
      </w:r>
      <w:r>
        <w:fldChar w:fldCharType="begin"/>
      </w:r>
      <w:r>
        <w:instrText xml:space="preserve"> PAGEREF _Toc416961722 \h </w:instrText>
      </w:r>
      <w:r>
        <w:fldChar w:fldCharType="separate"/>
      </w:r>
      <w:r>
        <w:t>41</w:t>
      </w:r>
      <w:r>
        <w:fldChar w:fldCharType="end"/>
      </w:r>
    </w:p>
    <w:p>
      <w:pPr>
        <w:pStyle w:val="TOC8"/>
        <w:rPr>
          <w:rFonts w:asciiTheme="minorHAnsi" w:eastAsiaTheme="minorEastAsia" w:hAnsiTheme="minorHAnsi" w:cstheme="minorBidi"/>
          <w:szCs w:val="22"/>
        </w:rPr>
      </w:pPr>
      <w:r>
        <w:t>27B.</w:t>
      </w:r>
      <w:r>
        <w:tab/>
        <w:t>Publication by Commissioner of information</w:t>
      </w:r>
      <w:r>
        <w:tab/>
      </w:r>
      <w:r>
        <w:fldChar w:fldCharType="begin"/>
      </w:r>
      <w:r>
        <w:instrText xml:space="preserve"> PAGEREF _Toc416961723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w:t>
      </w:r>
      <w:r>
        <w:t>Commissioner</w:t>
      </w:r>
      <w:r>
        <w:rPr>
          <w:snapToGrid w:val="0"/>
        </w:rPr>
        <w:t>” includes other officers</w:t>
      </w:r>
      <w:r>
        <w:tab/>
      </w:r>
      <w:r>
        <w:fldChar w:fldCharType="begin"/>
      </w:r>
      <w:r>
        <w:instrText xml:space="preserve"> PAGEREF _Toc416961724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Offences and penalties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29</w:t>
      </w:r>
      <w:r>
        <w:rPr>
          <w:snapToGrid w:val="0"/>
        </w:rPr>
        <w:t>.</w:t>
      </w:r>
      <w:r>
        <w:rPr>
          <w:snapToGrid w:val="0"/>
        </w:rPr>
        <w:tab/>
        <w:t>Liability of officers etc., of body corporate</w:t>
      </w:r>
      <w:r>
        <w:tab/>
      </w:r>
      <w:r>
        <w:fldChar w:fldCharType="begin"/>
      </w:r>
      <w:r>
        <w:instrText xml:space="preserve"> PAGEREF _Toc416961727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order refund of amount paid in excess of maximum price or rate</w:t>
      </w:r>
      <w:r>
        <w:tab/>
      </w:r>
      <w:r>
        <w:fldChar w:fldCharType="begin"/>
      </w:r>
      <w:r>
        <w:instrText xml:space="preserve"> PAGEREF _Toc416961728 \h </w:instrText>
      </w:r>
      <w:r>
        <w:fldChar w:fldCharType="separate"/>
      </w:r>
      <w:r>
        <w:t>43</w:t>
      </w:r>
      <w:r>
        <w:fldChar w:fldCharType="end"/>
      </w:r>
    </w:p>
    <w:p>
      <w:pPr>
        <w:pStyle w:val="TOC8"/>
        <w:rPr>
          <w:rFonts w:asciiTheme="minorHAnsi" w:eastAsiaTheme="minorEastAsia" w:hAnsiTheme="minorHAnsi" w:cstheme="minorBidi"/>
          <w:szCs w:val="22"/>
        </w:rPr>
      </w:pPr>
      <w:r>
        <w:t>31.</w:t>
      </w:r>
      <w:r>
        <w:tab/>
        <w:t>Limitation period for prosecutions</w:t>
      </w:r>
      <w:r>
        <w:tab/>
      </w:r>
      <w:r>
        <w:fldChar w:fldCharType="begin"/>
      </w:r>
      <w:r>
        <w:instrText xml:space="preserve"> PAGEREF _Toc416961729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31A.</w:t>
      </w:r>
      <w:r>
        <w:tab/>
        <w:t>Infringement notices</w:t>
      </w:r>
      <w:r>
        <w:tab/>
      </w:r>
      <w:r>
        <w:fldChar w:fldCharType="begin"/>
      </w:r>
      <w:r>
        <w:instrText xml:space="preserve"> PAGEREF _Toc416961731 \h </w:instrText>
      </w:r>
      <w:r>
        <w:fldChar w:fldCharType="separate"/>
      </w:r>
      <w:r>
        <w:t>44</w:t>
      </w:r>
      <w:r>
        <w:fldChar w:fldCharType="end"/>
      </w:r>
    </w:p>
    <w:p>
      <w:pPr>
        <w:pStyle w:val="TOC8"/>
        <w:rPr>
          <w:rFonts w:asciiTheme="minorHAnsi" w:eastAsiaTheme="minorEastAsia" w:hAnsiTheme="minorHAnsi" w:cstheme="minorBidi"/>
          <w:szCs w:val="22"/>
        </w:rPr>
      </w:pPr>
      <w:r>
        <w:t>31B.</w:t>
      </w:r>
      <w:r>
        <w:tab/>
        <w:t>Giving of notice</w:t>
      </w:r>
      <w:r>
        <w:tab/>
      </w:r>
      <w:r>
        <w:fldChar w:fldCharType="begin"/>
      </w:r>
      <w:r>
        <w:instrText xml:space="preserve"> PAGEREF _Toc416961732 \h </w:instrText>
      </w:r>
      <w:r>
        <w:fldChar w:fldCharType="separate"/>
      </w:r>
      <w:r>
        <w:t>44</w:t>
      </w:r>
      <w:r>
        <w:fldChar w:fldCharType="end"/>
      </w:r>
    </w:p>
    <w:p>
      <w:pPr>
        <w:pStyle w:val="TOC8"/>
        <w:rPr>
          <w:rFonts w:asciiTheme="minorHAnsi" w:eastAsiaTheme="minorEastAsia" w:hAnsiTheme="minorHAnsi" w:cstheme="minorBidi"/>
          <w:szCs w:val="22"/>
        </w:rPr>
      </w:pPr>
      <w:r>
        <w:t>31C.</w:t>
      </w:r>
      <w:r>
        <w:tab/>
        <w:t>Content of notice</w:t>
      </w:r>
      <w:r>
        <w:tab/>
      </w:r>
      <w:r>
        <w:fldChar w:fldCharType="begin"/>
      </w:r>
      <w:r>
        <w:instrText xml:space="preserve"> PAGEREF _Toc416961733 \h </w:instrText>
      </w:r>
      <w:r>
        <w:fldChar w:fldCharType="separate"/>
      </w:r>
      <w:r>
        <w:t>45</w:t>
      </w:r>
      <w:r>
        <w:fldChar w:fldCharType="end"/>
      </w:r>
    </w:p>
    <w:p>
      <w:pPr>
        <w:pStyle w:val="TOC8"/>
        <w:rPr>
          <w:rFonts w:asciiTheme="minorHAnsi" w:eastAsiaTheme="minorEastAsia" w:hAnsiTheme="minorHAnsi" w:cstheme="minorBidi"/>
          <w:szCs w:val="22"/>
        </w:rPr>
      </w:pPr>
      <w:r>
        <w:t>31D.</w:t>
      </w:r>
      <w:r>
        <w:tab/>
        <w:t>Extension of time</w:t>
      </w:r>
      <w:r>
        <w:tab/>
      </w:r>
      <w:r>
        <w:fldChar w:fldCharType="begin"/>
      </w:r>
      <w:r>
        <w:instrText xml:space="preserve"> PAGEREF _Toc416961734 \h </w:instrText>
      </w:r>
      <w:r>
        <w:fldChar w:fldCharType="separate"/>
      </w:r>
      <w:r>
        <w:t>45</w:t>
      </w:r>
      <w:r>
        <w:fldChar w:fldCharType="end"/>
      </w:r>
    </w:p>
    <w:p>
      <w:pPr>
        <w:pStyle w:val="TOC8"/>
        <w:rPr>
          <w:rFonts w:asciiTheme="minorHAnsi" w:eastAsiaTheme="minorEastAsia" w:hAnsiTheme="minorHAnsi" w:cstheme="minorBidi"/>
          <w:szCs w:val="22"/>
        </w:rPr>
      </w:pPr>
      <w:r>
        <w:t>31E.</w:t>
      </w:r>
      <w:r>
        <w:tab/>
        <w:t>Withdrawal of notice</w:t>
      </w:r>
      <w:r>
        <w:tab/>
      </w:r>
      <w:r>
        <w:fldChar w:fldCharType="begin"/>
      </w:r>
      <w:r>
        <w:instrText xml:space="preserve"> PAGEREF _Toc416961735 \h </w:instrText>
      </w:r>
      <w:r>
        <w:fldChar w:fldCharType="separate"/>
      </w:r>
      <w:r>
        <w:t>46</w:t>
      </w:r>
      <w:r>
        <w:fldChar w:fldCharType="end"/>
      </w:r>
    </w:p>
    <w:p>
      <w:pPr>
        <w:pStyle w:val="TOC8"/>
        <w:rPr>
          <w:rFonts w:asciiTheme="minorHAnsi" w:eastAsiaTheme="minorEastAsia" w:hAnsiTheme="minorHAnsi" w:cstheme="minorBidi"/>
          <w:szCs w:val="22"/>
        </w:rPr>
      </w:pPr>
      <w:r>
        <w:t>31F.</w:t>
      </w:r>
      <w:r>
        <w:tab/>
        <w:t>Benefit of paying modified penalty</w:t>
      </w:r>
      <w:r>
        <w:tab/>
      </w:r>
      <w:r>
        <w:fldChar w:fldCharType="begin"/>
      </w:r>
      <w:r>
        <w:instrText xml:space="preserve"> PAGEREF _Toc416961736 \h </w:instrText>
      </w:r>
      <w:r>
        <w:fldChar w:fldCharType="separate"/>
      </w:r>
      <w:r>
        <w:t>46</w:t>
      </w:r>
      <w:r>
        <w:fldChar w:fldCharType="end"/>
      </w:r>
    </w:p>
    <w:p>
      <w:pPr>
        <w:pStyle w:val="TOC8"/>
        <w:rPr>
          <w:rFonts w:asciiTheme="minorHAnsi" w:eastAsiaTheme="minorEastAsia" w:hAnsiTheme="minorHAnsi" w:cstheme="minorBidi"/>
          <w:szCs w:val="22"/>
        </w:rPr>
      </w:pPr>
      <w:r>
        <w:t>31G.</w:t>
      </w:r>
      <w:r>
        <w:tab/>
        <w:t>Application of penalties collected</w:t>
      </w:r>
      <w:r>
        <w:tab/>
      </w:r>
      <w:r>
        <w:fldChar w:fldCharType="begin"/>
      </w:r>
      <w:r>
        <w:instrText xml:space="preserve"> PAGEREF _Toc416961737 \h </w:instrText>
      </w:r>
      <w:r>
        <w:fldChar w:fldCharType="separate"/>
      </w:r>
      <w:r>
        <w:t>46</w:t>
      </w:r>
      <w:r>
        <w:fldChar w:fldCharType="end"/>
      </w:r>
    </w:p>
    <w:p>
      <w:pPr>
        <w:pStyle w:val="TOC8"/>
        <w:rPr>
          <w:rFonts w:asciiTheme="minorHAnsi" w:eastAsiaTheme="minorEastAsia" w:hAnsiTheme="minorHAnsi" w:cstheme="minorBidi"/>
          <w:szCs w:val="22"/>
        </w:rPr>
      </w:pPr>
      <w:r>
        <w:t>31H.</w:t>
      </w:r>
      <w:r>
        <w:tab/>
        <w:t>Appointment of authorised persons</w:t>
      </w:r>
      <w:r>
        <w:tab/>
      </w:r>
      <w:r>
        <w:fldChar w:fldCharType="begin"/>
      </w:r>
      <w:r>
        <w:instrText xml:space="preserve"> PAGEREF _Toc416961738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VI — Miscellaneous</w:t>
      </w:r>
    </w:p>
    <w:p>
      <w:pPr>
        <w:pStyle w:val="TOC8"/>
        <w:rPr>
          <w:rFonts w:asciiTheme="minorHAnsi" w:eastAsiaTheme="minorEastAsia" w:hAnsiTheme="minorHAnsi" w:cstheme="minorBidi"/>
          <w:szCs w:val="22"/>
        </w:rPr>
      </w:pPr>
      <w:r>
        <w:t>32</w:t>
      </w:r>
      <w:r>
        <w:rPr>
          <w:snapToGrid w:val="0"/>
        </w:rPr>
        <w:t>.</w:t>
      </w:r>
      <w:r>
        <w:rPr>
          <w:snapToGrid w:val="0"/>
        </w:rPr>
        <w:tab/>
        <w:t>Application of orders and notices</w:t>
      </w:r>
      <w:r>
        <w:tab/>
      </w:r>
      <w:r>
        <w:fldChar w:fldCharType="begin"/>
      </w:r>
      <w:r>
        <w:instrText xml:space="preserve"> PAGEREF _Toc416961740 \h </w:instrText>
      </w:r>
      <w:r>
        <w:fldChar w:fldCharType="separate"/>
      </w:r>
      <w:r>
        <w:t>48</w:t>
      </w:r>
      <w:r>
        <w:fldChar w:fldCharType="end"/>
      </w:r>
    </w:p>
    <w:p>
      <w:pPr>
        <w:pStyle w:val="TOC8"/>
        <w:rPr>
          <w:rFonts w:asciiTheme="minorHAnsi" w:eastAsiaTheme="minorEastAsia" w:hAnsiTheme="minorHAnsi" w:cstheme="minorBidi"/>
          <w:szCs w:val="22"/>
        </w:rPr>
      </w:pPr>
      <w:r>
        <w:t>32A.</w:t>
      </w:r>
      <w:r>
        <w:tab/>
        <w:t>Delegation by Commissioner</w:t>
      </w:r>
      <w:r>
        <w:tab/>
      </w:r>
      <w:r>
        <w:fldChar w:fldCharType="begin"/>
      </w:r>
      <w:r>
        <w:instrText xml:space="preserve"> PAGEREF _Toc416961741 \h </w:instrText>
      </w:r>
      <w:r>
        <w:fldChar w:fldCharType="separate"/>
      </w:r>
      <w:r>
        <w:t>48</w:t>
      </w:r>
      <w:r>
        <w:fldChar w:fldCharType="end"/>
      </w:r>
    </w:p>
    <w:p>
      <w:pPr>
        <w:pStyle w:val="TOC8"/>
        <w:rPr>
          <w:rFonts w:asciiTheme="minorHAnsi" w:eastAsiaTheme="minorEastAsia" w:hAnsiTheme="minorHAnsi" w:cstheme="minorBidi"/>
          <w:szCs w:val="22"/>
        </w:rPr>
      </w:pPr>
      <w:r>
        <w:t>32B.</w:t>
      </w:r>
      <w:r>
        <w:tab/>
        <w:t>Protection from liability for wrongdoing</w:t>
      </w:r>
      <w:r>
        <w:tab/>
      </w:r>
      <w:r>
        <w:fldChar w:fldCharType="begin"/>
      </w:r>
      <w:r>
        <w:instrText xml:space="preserve"> PAGEREF _Toc416961742 \h </w:instrText>
      </w:r>
      <w:r>
        <w:fldChar w:fldCharType="separate"/>
      </w:r>
      <w:r>
        <w:t>49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r>
      <w:r>
        <w:t>Judicial</w:t>
      </w:r>
      <w:r>
        <w:rPr>
          <w:snapToGrid w:val="0"/>
        </w:rPr>
        <w:t xml:space="preserve"> notice</w:t>
      </w:r>
      <w:r>
        <w:tab/>
      </w:r>
      <w:r>
        <w:fldChar w:fldCharType="begin"/>
      </w:r>
      <w:r>
        <w:instrText xml:space="preserve"> PAGEREF _Toc416961743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Secrecy</w:t>
      </w:r>
      <w:r>
        <w:tab/>
      </w:r>
      <w:r>
        <w:fldChar w:fldCharType="begin"/>
      </w:r>
      <w:r>
        <w:instrText xml:space="preserve"> PAGEREF _Toc416961744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_Toc416961745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Certain exclusions from definition of “petroleum product”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_Toc416961748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_Toc416961749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3" w:name="_Toc404158565"/>
      <w:bookmarkStart w:id="4" w:name="_Toc404158645"/>
      <w:bookmarkStart w:id="5" w:name="_Toc416961604"/>
      <w:bookmarkStart w:id="6" w:name="_Toc41696167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4158646"/>
      <w:bookmarkStart w:id="8" w:name="_Toc41696167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9" w:name="_Toc404158647"/>
      <w:bookmarkStart w:id="10" w:name="_Toc41696167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 w:name="_Toc404158648"/>
      <w:bookmarkStart w:id="12" w:name="_Toc416961680"/>
      <w:r>
        <w:rPr>
          <w:rStyle w:val="CharSectno"/>
        </w:rPr>
        <w:t>3</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13" w:name="_Toc404158649"/>
      <w:bookmarkStart w:id="14" w:name="_Toc416961681"/>
      <w:r>
        <w:rPr>
          <w:rStyle w:val="CharSectno"/>
        </w:rPr>
        <w:t>4</w:t>
      </w:r>
      <w:r>
        <w:rPr>
          <w:snapToGrid w:val="0"/>
        </w:rPr>
        <w:t>.</w:t>
      </w:r>
      <w:r>
        <w:rPr>
          <w:snapToGrid w:val="0"/>
        </w:rPr>
        <w:tab/>
        <w:t>Relationship to other Acts, etc.</w:t>
      </w:r>
      <w:bookmarkEnd w:id="13"/>
      <w:bookmarkEnd w:id="14"/>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15" w:name="_Toc404158570"/>
      <w:bookmarkStart w:id="16" w:name="_Toc404158650"/>
      <w:bookmarkStart w:id="17" w:name="_Toc416961609"/>
      <w:bookmarkStart w:id="18" w:name="_Toc416961682"/>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r>
        <w:rPr>
          <w:rStyle w:val="CharPartText"/>
        </w:rPr>
        <w:t xml:space="preserve"> </w:t>
      </w:r>
    </w:p>
    <w:p>
      <w:pPr>
        <w:pStyle w:val="Heading5"/>
      </w:pPr>
      <w:bookmarkStart w:id="19" w:name="_Toc404158651"/>
      <w:bookmarkStart w:id="20" w:name="_Toc416961683"/>
      <w:r>
        <w:rPr>
          <w:rStyle w:val="CharSectno"/>
        </w:rPr>
        <w:t>5</w:t>
      </w:r>
      <w:r>
        <w:t>.</w:t>
      </w:r>
      <w:r>
        <w:tab/>
        <w:t>Commissioner</w:t>
      </w:r>
      <w:bookmarkEnd w:id="19"/>
      <w:bookmarkEnd w:id="20"/>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21" w:name="_Toc404158652"/>
      <w:bookmarkStart w:id="22" w:name="_Toc416961684"/>
      <w:r>
        <w:rPr>
          <w:rStyle w:val="CharSectno"/>
        </w:rPr>
        <w:t>6</w:t>
      </w:r>
      <w:r>
        <w:rPr>
          <w:snapToGrid w:val="0"/>
        </w:rPr>
        <w:t>.</w:t>
      </w:r>
      <w:r>
        <w:rPr>
          <w:snapToGrid w:val="0"/>
        </w:rPr>
        <w:tab/>
        <w:t>Object and purposes</w:t>
      </w:r>
      <w:bookmarkEnd w:id="21"/>
      <w:bookmarkEnd w:id="22"/>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23" w:name="_Toc404158653"/>
      <w:bookmarkStart w:id="24" w:name="_Toc416961685"/>
      <w:r>
        <w:rPr>
          <w:rStyle w:val="CharSectno"/>
        </w:rPr>
        <w:t>7</w:t>
      </w:r>
      <w:r>
        <w:rPr>
          <w:snapToGrid w:val="0"/>
        </w:rPr>
        <w:t>.</w:t>
      </w:r>
      <w:r>
        <w:rPr>
          <w:snapToGrid w:val="0"/>
        </w:rPr>
        <w:tab/>
        <w:t>General administration, and the powers and duties of the Commissioner</w:t>
      </w:r>
      <w:bookmarkEnd w:id="23"/>
      <w:bookmarkEnd w:id="24"/>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25" w:name="_Toc404158654"/>
      <w:bookmarkStart w:id="26" w:name="_Toc416961686"/>
      <w:r>
        <w:rPr>
          <w:rStyle w:val="CharSectno"/>
        </w:rPr>
        <w:t>8</w:t>
      </w:r>
      <w:r>
        <w:rPr>
          <w:snapToGrid w:val="0"/>
        </w:rPr>
        <w:t>.</w:t>
      </w:r>
      <w:r>
        <w:rPr>
          <w:snapToGrid w:val="0"/>
        </w:rPr>
        <w:tab/>
        <w:t>Prices advisory committees</w:t>
      </w:r>
      <w:bookmarkEnd w:id="25"/>
      <w:bookmarkEnd w:id="26"/>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27" w:name="_Toc404158655"/>
      <w:bookmarkStart w:id="28" w:name="_Toc416961687"/>
      <w:r>
        <w:rPr>
          <w:rStyle w:val="CharSectno"/>
        </w:rPr>
        <w:t>9</w:t>
      </w:r>
      <w:r>
        <w:rPr>
          <w:snapToGrid w:val="0"/>
        </w:rPr>
        <w:t>.</w:t>
      </w:r>
      <w:r>
        <w:rPr>
          <w:snapToGrid w:val="0"/>
        </w:rPr>
        <w:tab/>
        <w:t>Terms of office of members of committees</w:t>
      </w:r>
      <w:bookmarkEnd w:id="27"/>
      <w:bookmarkEnd w:id="28"/>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by No. 18 of 2009 s. 66.]</w:t>
      </w:r>
    </w:p>
    <w:p>
      <w:pPr>
        <w:pStyle w:val="Heading2"/>
      </w:pPr>
      <w:bookmarkStart w:id="29" w:name="_Toc404158576"/>
      <w:bookmarkStart w:id="30" w:name="_Toc404158656"/>
      <w:bookmarkStart w:id="31" w:name="_Toc416961615"/>
      <w:bookmarkStart w:id="32" w:name="_Toc416961688"/>
      <w:r>
        <w:rPr>
          <w:rStyle w:val="CharPartNo"/>
        </w:rPr>
        <w:t>Part III</w:t>
      </w:r>
      <w:r>
        <w:t> — </w:t>
      </w:r>
      <w:r>
        <w:rPr>
          <w:rStyle w:val="CharPartText"/>
        </w:rPr>
        <w:t>Regulation of prices and rates</w:t>
      </w:r>
      <w:bookmarkEnd w:id="29"/>
      <w:bookmarkEnd w:id="30"/>
      <w:bookmarkEnd w:id="31"/>
      <w:bookmarkEnd w:id="32"/>
      <w:r>
        <w:rPr>
          <w:rStyle w:val="CharPartText"/>
        </w:rPr>
        <w:t xml:space="preserve"> </w:t>
      </w:r>
    </w:p>
    <w:p>
      <w:pPr>
        <w:pStyle w:val="Heading3"/>
        <w:rPr>
          <w:snapToGrid w:val="0"/>
        </w:rPr>
      </w:pPr>
      <w:bookmarkStart w:id="33" w:name="_Toc404158577"/>
      <w:bookmarkStart w:id="34" w:name="_Toc404158657"/>
      <w:bookmarkStart w:id="35" w:name="_Toc416961616"/>
      <w:bookmarkStart w:id="36" w:name="_Toc416961689"/>
      <w:r>
        <w:rPr>
          <w:rStyle w:val="CharDivNo"/>
        </w:rPr>
        <w:t>Division 1</w:t>
      </w:r>
      <w:r>
        <w:rPr>
          <w:snapToGrid w:val="0"/>
        </w:rPr>
        <w:t> — </w:t>
      </w:r>
      <w:r>
        <w:rPr>
          <w:rStyle w:val="CharDivText"/>
        </w:rPr>
        <w:t>Declaration of goods and services</w:t>
      </w:r>
      <w:bookmarkEnd w:id="33"/>
      <w:bookmarkEnd w:id="34"/>
      <w:bookmarkEnd w:id="35"/>
      <w:bookmarkEnd w:id="36"/>
      <w:r>
        <w:rPr>
          <w:rStyle w:val="CharDivText"/>
        </w:rPr>
        <w:t xml:space="preserve"> </w:t>
      </w:r>
    </w:p>
    <w:p>
      <w:pPr>
        <w:pStyle w:val="Heading5"/>
        <w:rPr>
          <w:snapToGrid w:val="0"/>
        </w:rPr>
      </w:pPr>
      <w:bookmarkStart w:id="37" w:name="_Toc404158658"/>
      <w:bookmarkStart w:id="38" w:name="_Toc416961690"/>
      <w:r>
        <w:rPr>
          <w:rStyle w:val="CharSectno"/>
        </w:rPr>
        <w:t>10</w:t>
      </w:r>
      <w:r>
        <w:rPr>
          <w:snapToGrid w:val="0"/>
        </w:rPr>
        <w:t>.</w:t>
      </w:r>
      <w:r>
        <w:rPr>
          <w:snapToGrid w:val="0"/>
        </w:rPr>
        <w:tab/>
        <w:t>Declaration of goods and services</w:t>
      </w:r>
      <w:bookmarkEnd w:id="37"/>
      <w:bookmarkEnd w:id="3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39" w:name="_Toc404158659"/>
      <w:bookmarkStart w:id="40" w:name="_Toc416961691"/>
      <w:r>
        <w:rPr>
          <w:rStyle w:val="CharSectno"/>
        </w:rPr>
        <w:t>11</w:t>
      </w:r>
      <w:r>
        <w:rPr>
          <w:snapToGrid w:val="0"/>
        </w:rPr>
        <w:t>.</w:t>
      </w:r>
      <w:r>
        <w:rPr>
          <w:snapToGrid w:val="0"/>
        </w:rPr>
        <w:tab/>
        <w:t>Procedure when increase in price or rate of declared goods or declared service proposed</w:t>
      </w:r>
      <w:bookmarkEnd w:id="39"/>
      <w:bookmarkEnd w:id="40"/>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41" w:name="_Toc404158580"/>
      <w:bookmarkStart w:id="42" w:name="_Toc404158660"/>
      <w:bookmarkStart w:id="43" w:name="_Toc416961619"/>
      <w:bookmarkStart w:id="44" w:name="_Toc416961692"/>
      <w:r>
        <w:rPr>
          <w:rStyle w:val="CharDivNo"/>
        </w:rPr>
        <w:t>Division 2</w:t>
      </w:r>
      <w:r>
        <w:rPr>
          <w:snapToGrid w:val="0"/>
        </w:rPr>
        <w:t> — </w:t>
      </w:r>
      <w:r>
        <w:rPr>
          <w:rStyle w:val="CharDivText"/>
        </w:rPr>
        <w:t>Determination of maximum prices and rates for goods and services</w:t>
      </w:r>
      <w:bookmarkEnd w:id="41"/>
      <w:bookmarkEnd w:id="42"/>
      <w:bookmarkEnd w:id="43"/>
      <w:bookmarkEnd w:id="44"/>
    </w:p>
    <w:p>
      <w:pPr>
        <w:pStyle w:val="Heading5"/>
        <w:rPr>
          <w:snapToGrid w:val="0"/>
        </w:rPr>
      </w:pPr>
      <w:bookmarkStart w:id="45" w:name="_Toc404158661"/>
      <w:bookmarkStart w:id="46" w:name="_Toc416961693"/>
      <w:r>
        <w:rPr>
          <w:rStyle w:val="CharSectno"/>
        </w:rPr>
        <w:t>12</w:t>
      </w:r>
      <w:r>
        <w:rPr>
          <w:snapToGrid w:val="0"/>
        </w:rPr>
        <w:t>.</w:t>
      </w:r>
      <w:r>
        <w:rPr>
          <w:snapToGrid w:val="0"/>
        </w:rPr>
        <w:tab/>
        <w:t>Determination of maximum prices and rates</w:t>
      </w:r>
      <w:bookmarkEnd w:id="45"/>
      <w:bookmarkEnd w:id="46"/>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47" w:name="_Toc404158662"/>
      <w:bookmarkStart w:id="48" w:name="_Toc416961694"/>
      <w:r>
        <w:rPr>
          <w:rStyle w:val="CharSectno"/>
        </w:rPr>
        <w:t>13</w:t>
      </w:r>
      <w:r>
        <w:rPr>
          <w:snapToGrid w:val="0"/>
        </w:rPr>
        <w:t>.</w:t>
      </w:r>
      <w:r>
        <w:rPr>
          <w:snapToGrid w:val="0"/>
        </w:rPr>
        <w:tab/>
        <w:t>Power of Minister to suspend order</w:t>
      </w:r>
      <w:bookmarkEnd w:id="47"/>
      <w:bookmarkEnd w:id="48"/>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49" w:name="_Toc404158583"/>
      <w:bookmarkStart w:id="50" w:name="_Toc404158663"/>
      <w:bookmarkStart w:id="51" w:name="_Toc416961622"/>
      <w:bookmarkStart w:id="52" w:name="_Toc416961695"/>
      <w:r>
        <w:rPr>
          <w:rStyle w:val="CharDivNo"/>
        </w:rPr>
        <w:t>Division 3</w:t>
      </w:r>
      <w:r>
        <w:rPr>
          <w:snapToGrid w:val="0"/>
        </w:rPr>
        <w:t> — </w:t>
      </w:r>
      <w:r>
        <w:rPr>
          <w:rStyle w:val="CharDivText"/>
        </w:rPr>
        <w:t>Enforcement of maximum prices and rates</w:t>
      </w:r>
      <w:bookmarkEnd w:id="49"/>
      <w:bookmarkEnd w:id="50"/>
      <w:bookmarkEnd w:id="51"/>
      <w:bookmarkEnd w:id="52"/>
      <w:r>
        <w:rPr>
          <w:rStyle w:val="CharDivText"/>
        </w:rPr>
        <w:t xml:space="preserve"> </w:t>
      </w:r>
    </w:p>
    <w:p>
      <w:pPr>
        <w:pStyle w:val="Heading5"/>
        <w:rPr>
          <w:snapToGrid w:val="0"/>
        </w:rPr>
      </w:pPr>
      <w:bookmarkStart w:id="53" w:name="_Toc404158664"/>
      <w:bookmarkStart w:id="54" w:name="_Toc416961696"/>
      <w:r>
        <w:rPr>
          <w:rStyle w:val="CharSectno"/>
        </w:rPr>
        <w:t>14</w:t>
      </w:r>
      <w:r>
        <w:rPr>
          <w:snapToGrid w:val="0"/>
        </w:rPr>
        <w:t>.</w:t>
      </w:r>
      <w:r>
        <w:rPr>
          <w:snapToGrid w:val="0"/>
        </w:rPr>
        <w:tab/>
        <w:t>Offence to sell goods at price higher than maximum price or supply service at rate higher than maximum rate</w:t>
      </w:r>
      <w:bookmarkEnd w:id="53"/>
      <w:bookmarkEnd w:id="54"/>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55" w:name="_Toc404158665"/>
      <w:bookmarkStart w:id="56" w:name="_Toc416961697"/>
      <w:r>
        <w:rPr>
          <w:rStyle w:val="CharSectno"/>
        </w:rPr>
        <w:t>15</w:t>
      </w:r>
      <w:r>
        <w:rPr>
          <w:snapToGrid w:val="0"/>
        </w:rPr>
        <w:t>.</w:t>
      </w:r>
      <w:r>
        <w:rPr>
          <w:snapToGrid w:val="0"/>
        </w:rPr>
        <w:tab/>
        <w:t>Delivery of goods less in quantity than, or of inferior quality to, those sold</w:t>
      </w:r>
      <w:bookmarkEnd w:id="55"/>
      <w:bookmarkEnd w:id="56"/>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57" w:name="_Toc404158666"/>
      <w:bookmarkStart w:id="58" w:name="_Toc416961698"/>
      <w:r>
        <w:rPr>
          <w:rStyle w:val="CharSectno"/>
        </w:rPr>
        <w:t>16</w:t>
      </w:r>
      <w:r>
        <w:rPr>
          <w:snapToGrid w:val="0"/>
        </w:rPr>
        <w:t>.</w:t>
      </w:r>
      <w:r>
        <w:rPr>
          <w:snapToGrid w:val="0"/>
        </w:rPr>
        <w:tab/>
        <w:t>Alterations in mode of packing or recipe or formula</w:t>
      </w:r>
      <w:bookmarkEnd w:id="57"/>
      <w:bookmarkEnd w:id="58"/>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59" w:name="_Toc404158667"/>
      <w:bookmarkStart w:id="60" w:name="_Toc416961699"/>
      <w:r>
        <w:rPr>
          <w:rStyle w:val="CharSectno"/>
        </w:rPr>
        <w:t>17</w:t>
      </w:r>
      <w:r>
        <w:rPr>
          <w:snapToGrid w:val="0"/>
        </w:rPr>
        <w:t>.</w:t>
      </w:r>
      <w:r>
        <w:rPr>
          <w:snapToGrid w:val="0"/>
        </w:rPr>
        <w:tab/>
        <w:t>Price or rate of controlled goods or service to be specified separately</w:t>
      </w:r>
      <w:bookmarkEnd w:id="59"/>
      <w:bookmarkEnd w:id="6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61" w:name="_Toc404158668"/>
      <w:bookmarkStart w:id="62" w:name="_Toc416961700"/>
      <w:r>
        <w:rPr>
          <w:rStyle w:val="CharSectno"/>
        </w:rPr>
        <w:t>18</w:t>
      </w:r>
      <w:r>
        <w:rPr>
          <w:snapToGrid w:val="0"/>
        </w:rPr>
        <w:t>.</w:t>
      </w:r>
      <w:r>
        <w:rPr>
          <w:snapToGrid w:val="0"/>
        </w:rPr>
        <w:tab/>
        <w:t>Power of Commissioner to prohibit certain transactions</w:t>
      </w:r>
      <w:bookmarkEnd w:id="61"/>
      <w:bookmarkEnd w:id="62"/>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63" w:name="_Toc404158669"/>
      <w:bookmarkStart w:id="64" w:name="_Toc416961701"/>
      <w:r>
        <w:rPr>
          <w:rStyle w:val="CharSectno"/>
        </w:rPr>
        <w:t>19</w:t>
      </w:r>
      <w:r>
        <w:rPr>
          <w:snapToGrid w:val="0"/>
        </w:rPr>
        <w:t>.</w:t>
      </w:r>
      <w:r>
        <w:rPr>
          <w:snapToGrid w:val="0"/>
        </w:rPr>
        <w:tab/>
        <w:t>Refusal to sell goods at fixed price</w:t>
      </w:r>
      <w:bookmarkEnd w:id="63"/>
      <w:bookmarkEnd w:id="64"/>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65" w:name="_Toc404158670"/>
      <w:bookmarkStart w:id="66" w:name="_Toc416961702"/>
      <w:r>
        <w:rPr>
          <w:rStyle w:val="CharSectno"/>
        </w:rPr>
        <w:t>20</w:t>
      </w:r>
      <w:r>
        <w:rPr>
          <w:snapToGrid w:val="0"/>
        </w:rPr>
        <w:t>.</w:t>
      </w:r>
      <w:r>
        <w:rPr>
          <w:snapToGrid w:val="0"/>
        </w:rPr>
        <w:tab/>
        <w:t>Refusal to supply service at fixed rate</w:t>
      </w:r>
      <w:bookmarkEnd w:id="65"/>
      <w:bookmarkEnd w:id="66"/>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67" w:name="_Toc404158671"/>
      <w:bookmarkStart w:id="68" w:name="_Toc416961703"/>
      <w:r>
        <w:rPr>
          <w:rStyle w:val="CharSectno"/>
        </w:rPr>
        <w:t>21</w:t>
      </w:r>
      <w:r>
        <w:rPr>
          <w:snapToGrid w:val="0"/>
        </w:rPr>
        <w:t>.</w:t>
      </w:r>
      <w:r>
        <w:rPr>
          <w:snapToGrid w:val="0"/>
        </w:rPr>
        <w:tab/>
        <w:t>Refusal to sell or supply unless other goods or services are also purchased</w:t>
      </w:r>
      <w:bookmarkEnd w:id="67"/>
      <w:bookmarkEnd w:id="6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69" w:name="_Toc404158672"/>
      <w:bookmarkStart w:id="70" w:name="_Toc416961704"/>
      <w:r>
        <w:rPr>
          <w:rStyle w:val="CharSectno"/>
        </w:rPr>
        <w:t>22</w:t>
      </w:r>
      <w:r>
        <w:rPr>
          <w:snapToGrid w:val="0"/>
        </w:rPr>
        <w:t>.</w:t>
      </w:r>
      <w:r>
        <w:rPr>
          <w:snapToGrid w:val="0"/>
        </w:rPr>
        <w:tab/>
        <w:t>“</w:t>
      </w:r>
      <w:r>
        <w:t>Offer</w:t>
      </w:r>
      <w:r>
        <w:rPr>
          <w:snapToGrid w:val="0"/>
        </w:rPr>
        <w:t>” includes notification of price or rate</w:t>
      </w:r>
      <w:bookmarkEnd w:id="69"/>
      <w:bookmarkEnd w:id="70"/>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71" w:name="_Toc404158593"/>
      <w:bookmarkStart w:id="72" w:name="_Toc404158673"/>
      <w:bookmarkStart w:id="73" w:name="_Toc416961632"/>
      <w:bookmarkStart w:id="74" w:name="_Toc416961705"/>
      <w:r>
        <w:rPr>
          <w:rStyle w:val="CharPartNo"/>
        </w:rPr>
        <w:t>Part IIIA</w:t>
      </w:r>
      <w:r>
        <w:t> — </w:t>
      </w:r>
      <w:r>
        <w:rPr>
          <w:rStyle w:val="CharPartText"/>
        </w:rPr>
        <w:t>Special provisions about motor fuel</w:t>
      </w:r>
      <w:bookmarkEnd w:id="71"/>
      <w:bookmarkEnd w:id="72"/>
      <w:bookmarkEnd w:id="73"/>
      <w:bookmarkEnd w:id="74"/>
      <w:r>
        <w:rPr>
          <w:rStyle w:val="CharPartText"/>
        </w:rPr>
        <w:t> </w:t>
      </w:r>
    </w:p>
    <w:p>
      <w:pPr>
        <w:pStyle w:val="Footnoteheading"/>
        <w:ind w:left="890"/>
      </w:pPr>
      <w:r>
        <w:tab/>
        <w:t>[Heading inserted by No. 73 of 2000 s. 8.]</w:t>
      </w:r>
    </w:p>
    <w:p>
      <w:pPr>
        <w:pStyle w:val="Heading3"/>
      </w:pPr>
      <w:bookmarkStart w:id="75" w:name="_Toc404158594"/>
      <w:bookmarkStart w:id="76" w:name="_Toc404158674"/>
      <w:bookmarkStart w:id="77" w:name="_Toc416961633"/>
      <w:bookmarkStart w:id="78" w:name="_Toc416961706"/>
      <w:r>
        <w:rPr>
          <w:rStyle w:val="CharDivNo"/>
        </w:rPr>
        <w:t>Division 1</w:t>
      </w:r>
      <w:r>
        <w:t> — </w:t>
      </w:r>
      <w:r>
        <w:rPr>
          <w:rStyle w:val="CharDivText"/>
        </w:rPr>
        <w:t>Before retail sale</w:t>
      </w:r>
      <w:bookmarkEnd w:id="75"/>
      <w:bookmarkEnd w:id="76"/>
      <w:bookmarkEnd w:id="77"/>
      <w:bookmarkEnd w:id="78"/>
      <w:r>
        <w:rPr>
          <w:rStyle w:val="CharDivText"/>
        </w:rPr>
        <w:t> </w:t>
      </w:r>
    </w:p>
    <w:p>
      <w:pPr>
        <w:pStyle w:val="Footnoteheading"/>
        <w:ind w:left="890"/>
      </w:pPr>
      <w:r>
        <w:tab/>
        <w:t>[Heading inserted by No. 73 of 2000 s. 8.]</w:t>
      </w:r>
    </w:p>
    <w:p>
      <w:pPr>
        <w:pStyle w:val="Heading5"/>
      </w:pPr>
      <w:bookmarkStart w:id="79" w:name="_Toc404158675"/>
      <w:bookmarkStart w:id="80" w:name="_Toc416961707"/>
      <w:r>
        <w:rPr>
          <w:rStyle w:val="CharSectno"/>
        </w:rPr>
        <w:t>22A</w:t>
      </w:r>
      <w:r>
        <w:t>.</w:t>
      </w:r>
      <w:r>
        <w:tab/>
        <w:t>Definitions</w:t>
      </w:r>
      <w:bookmarkEnd w:id="79"/>
      <w:bookmarkEnd w:id="80"/>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p>
    <w:p>
      <w:pPr>
        <w:pStyle w:val="Defpara"/>
      </w:pPr>
      <w:r>
        <w:tab/>
        <w:t>(a)</w:t>
      </w:r>
      <w:r>
        <w:tab/>
        <w:t>was not the subject of any agreement or arrangement affecting price; and</w:t>
      </w:r>
    </w:p>
    <w:p>
      <w:pPr>
        <w:pStyle w:val="Defpara"/>
      </w:pPr>
      <w:r>
        <w:tab/>
        <w:t>(b)</w:t>
      </w:r>
      <w:r>
        <w:tab/>
        <w:t>took delivery of the motor fuel at the terminal from which it was supplied;</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 amended by No. 23 of 2014 s. 64.]</w:t>
      </w:r>
    </w:p>
    <w:p>
      <w:pPr>
        <w:pStyle w:val="Heading5"/>
      </w:pPr>
      <w:bookmarkStart w:id="81" w:name="_Toc404158676"/>
      <w:bookmarkStart w:id="82" w:name="_Toc416961708"/>
      <w:r>
        <w:rPr>
          <w:rStyle w:val="CharSectno"/>
        </w:rPr>
        <w:t>22B</w:t>
      </w:r>
      <w:r>
        <w:t>.</w:t>
      </w:r>
      <w:r>
        <w:tab/>
        <w:t>Commissioner to be notified of proposed price changes</w:t>
      </w:r>
      <w:bookmarkEnd w:id="81"/>
      <w:bookmarkEnd w:id="82"/>
    </w:p>
    <w:p>
      <w:pPr>
        <w:pStyle w:val="Subsection"/>
      </w:pPr>
      <w:r>
        <w:tab/>
      </w:r>
      <w:r>
        <w:tab/>
        <w:t xml:space="preserve">Whenever the relevant price for a kind of motor fuel supplied from a declared terminal is proposed to be changed, the supplier of the motor fuel is required to notify the Commissioner of the proposed price change — </w:t>
      </w:r>
    </w:p>
    <w:p>
      <w:pPr>
        <w:pStyle w:val="Indenta"/>
      </w:pPr>
      <w:r>
        <w:tab/>
        <w:t>(a)</w:t>
      </w:r>
      <w:r>
        <w:tab/>
        <w:t>before the proposed price change has effect; and</w:t>
      </w:r>
    </w:p>
    <w:p>
      <w:pPr>
        <w:pStyle w:val="Indenta"/>
      </w:pPr>
      <w:r>
        <w:tab/>
        <w:t>(b)</w:t>
      </w:r>
      <w:r>
        <w:tab/>
        <w:t>in accordance with the provisions of any regulations that apply to that notification.</w:t>
      </w:r>
    </w:p>
    <w:p>
      <w:pPr>
        <w:pStyle w:val="Penstart"/>
      </w:pPr>
      <w:r>
        <w:tab/>
        <w:t>Penalty: a fine of $20 000.</w:t>
      </w:r>
    </w:p>
    <w:p>
      <w:pPr>
        <w:pStyle w:val="Footnotesection"/>
      </w:pPr>
      <w:r>
        <w:tab/>
        <w:t>[Section 22B inserted by No. 23 of 2014 s. 65.]</w:t>
      </w:r>
    </w:p>
    <w:p>
      <w:pPr>
        <w:pStyle w:val="Ednotesection"/>
      </w:pPr>
      <w:r>
        <w:t>[</w:t>
      </w:r>
      <w:r>
        <w:rPr>
          <w:b/>
        </w:rPr>
        <w:t>22C, 22D.</w:t>
      </w:r>
      <w:r>
        <w:rPr>
          <w:b/>
        </w:rPr>
        <w:tab/>
      </w:r>
      <w:r>
        <w:t xml:space="preserve">Deleted by No. 23 of 2014 s. 66.] </w:t>
      </w:r>
    </w:p>
    <w:p>
      <w:pPr>
        <w:pStyle w:val="Heading5"/>
      </w:pPr>
      <w:bookmarkStart w:id="83" w:name="_Toc404158677"/>
      <w:bookmarkStart w:id="84" w:name="_Toc416961709"/>
      <w:r>
        <w:rPr>
          <w:rStyle w:val="CharSectno"/>
        </w:rPr>
        <w:t>22E</w:t>
      </w:r>
      <w:r>
        <w:t>.</w:t>
      </w:r>
      <w:r>
        <w:tab/>
        <w:t>Price to be compared to maximum price fixed</w:t>
      </w:r>
      <w:bookmarkEnd w:id="83"/>
      <w:bookmarkEnd w:id="84"/>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relevant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relevant price;</w:t>
      </w:r>
    </w:p>
    <w:p>
      <w:pPr>
        <w:pStyle w:val="Indenta"/>
      </w:pPr>
      <w:r>
        <w:tab/>
        <w:t>(b)</w:t>
      </w:r>
      <w:r>
        <w:tab/>
        <w:t>the maximum price fixed by the order; and</w:t>
      </w:r>
    </w:p>
    <w:p>
      <w:pPr>
        <w:pStyle w:val="Indenta"/>
      </w:pPr>
      <w:r>
        <w:tab/>
        <w:t>(c)</w:t>
      </w:r>
      <w:r>
        <w:tab/>
        <w:t>if the relevant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relevant price for any motor fuel is such that subsection (2)(c) would require the supplier to give details of the relevant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 No. 23 of 2014 s. 67.]</w:t>
      </w:r>
    </w:p>
    <w:p>
      <w:pPr>
        <w:pStyle w:val="Heading5"/>
        <w:spacing w:before="180"/>
      </w:pPr>
      <w:bookmarkStart w:id="85" w:name="_Toc404158678"/>
      <w:bookmarkStart w:id="86" w:name="_Toc416961710"/>
      <w:r>
        <w:rPr>
          <w:rStyle w:val="CharSectno"/>
        </w:rPr>
        <w:t>22F</w:t>
      </w:r>
      <w:r>
        <w:t>.</w:t>
      </w:r>
      <w:r>
        <w:tab/>
        <w:t>Information that supplier is to provide</w:t>
      </w:r>
      <w:bookmarkEnd w:id="85"/>
      <w:bookmarkEnd w:id="86"/>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87" w:name="_Toc404158679"/>
      <w:bookmarkStart w:id="88" w:name="_Toc416961711"/>
      <w:r>
        <w:rPr>
          <w:rStyle w:val="CharSectno"/>
        </w:rPr>
        <w:t>22G</w:t>
      </w:r>
      <w:r>
        <w:t>.</w:t>
      </w:r>
      <w:r>
        <w:tab/>
        <w:t>Obligation to supply from declared terminal</w:t>
      </w:r>
      <w:bookmarkEnd w:id="87"/>
      <w:bookmarkEnd w:id="88"/>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89" w:name="_Toc404158600"/>
      <w:bookmarkStart w:id="90" w:name="_Toc404158680"/>
      <w:bookmarkStart w:id="91" w:name="_Toc416961639"/>
      <w:bookmarkStart w:id="92" w:name="_Toc416961712"/>
      <w:r>
        <w:rPr>
          <w:rStyle w:val="CharDivNo"/>
        </w:rPr>
        <w:t>Division 2</w:t>
      </w:r>
      <w:r>
        <w:t xml:space="preserve"> — </w:t>
      </w:r>
      <w:r>
        <w:rPr>
          <w:rStyle w:val="CharDivText"/>
        </w:rPr>
        <w:t>Retail sale</w:t>
      </w:r>
      <w:bookmarkEnd w:id="89"/>
      <w:bookmarkEnd w:id="90"/>
      <w:bookmarkEnd w:id="91"/>
      <w:bookmarkEnd w:id="92"/>
      <w:r>
        <w:t xml:space="preserve"> </w:t>
      </w:r>
    </w:p>
    <w:p>
      <w:pPr>
        <w:pStyle w:val="Footnoteheading"/>
        <w:ind w:left="890"/>
      </w:pPr>
      <w:r>
        <w:tab/>
        <w:t>[Heading inserted by No. 73 of 2000 s. 8.]</w:t>
      </w:r>
    </w:p>
    <w:p>
      <w:pPr>
        <w:pStyle w:val="Heading5"/>
      </w:pPr>
      <w:bookmarkStart w:id="93" w:name="_Toc404158681"/>
      <w:bookmarkStart w:id="94" w:name="_Toc416961713"/>
      <w:r>
        <w:rPr>
          <w:rStyle w:val="CharSectno"/>
        </w:rPr>
        <w:t>22H</w:t>
      </w:r>
      <w:r>
        <w:t>.</w:t>
      </w:r>
      <w:r>
        <w:tab/>
        <w:t>Definitions</w:t>
      </w:r>
      <w:bookmarkEnd w:id="93"/>
      <w:bookmarkEnd w:id="94"/>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95" w:name="_Toc404158682"/>
      <w:bookmarkStart w:id="96" w:name="_Toc416961714"/>
      <w:r>
        <w:rPr>
          <w:rStyle w:val="CharSectno"/>
        </w:rPr>
        <w:t>22I</w:t>
      </w:r>
      <w:r>
        <w:t>.</w:t>
      </w:r>
      <w:r>
        <w:tab/>
        <w:t>Regulations to require retailers to display prices</w:t>
      </w:r>
      <w:bookmarkEnd w:id="95"/>
      <w:bookmarkEnd w:id="96"/>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97" w:name="_Toc404158683"/>
      <w:bookmarkStart w:id="98" w:name="_Toc416961715"/>
      <w:r>
        <w:rPr>
          <w:rStyle w:val="CharSectno"/>
        </w:rPr>
        <w:t>22J</w:t>
      </w:r>
      <w:r>
        <w:t>.</w:t>
      </w:r>
      <w:r>
        <w:tab/>
        <w:t>Regulations requiring notification of, and restricting change of, price</w:t>
      </w:r>
      <w:bookmarkEnd w:id="97"/>
      <w:bookmarkEnd w:id="98"/>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99" w:name="_Toc404158604"/>
      <w:bookmarkStart w:id="100" w:name="_Toc404158684"/>
      <w:bookmarkStart w:id="101" w:name="_Toc416961643"/>
      <w:bookmarkStart w:id="102" w:name="_Toc416961716"/>
      <w:r>
        <w:rPr>
          <w:rStyle w:val="CharPartNo"/>
        </w:rPr>
        <w:t>Part IV</w:t>
      </w:r>
      <w:r>
        <w:rPr>
          <w:rStyle w:val="CharDivNo"/>
        </w:rPr>
        <w:t> </w:t>
      </w:r>
      <w:r>
        <w:t>—</w:t>
      </w:r>
      <w:r>
        <w:rPr>
          <w:rStyle w:val="CharDivText"/>
        </w:rPr>
        <w:t> </w:t>
      </w:r>
      <w:r>
        <w:rPr>
          <w:rStyle w:val="CharPartText"/>
        </w:rPr>
        <w:t>Obtaining information</w:t>
      </w:r>
      <w:bookmarkEnd w:id="99"/>
      <w:bookmarkEnd w:id="100"/>
      <w:bookmarkEnd w:id="101"/>
      <w:bookmarkEnd w:id="102"/>
      <w:r>
        <w:rPr>
          <w:rStyle w:val="CharPartText"/>
        </w:rPr>
        <w:t xml:space="preserve"> </w:t>
      </w:r>
    </w:p>
    <w:p>
      <w:pPr>
        <w:pStyle w:val="Heading5"/>
        <w:rPr>
          <w:snapToGrid w:val="0"/>
        </w:rPr>
      </w:pPr>
      <w:bookmarkStart w:id="103" w:name="_Toc404158685"/>
      <w:bookmarkStart w:id="104" w:name="_Toc416961717"/>
      <w:r>
        <w:rPr>
          <w:rStyle w:val="CharSectno"/>
        </w:rPr>
        <w:t>23</w:t>
      </w:r>
      <w:r>
        <w:rPr>
          <w:snapToGrid w:val="0"/>
        </w:rPr>
        <w:t>.</w:t>
      </w:r>
      <w:r>
        <w:rPr>
          <w:snapToGrid w:val="0"/>
        </w:rPr>
        <w:tab/>
        <w:t>Power of Commissioner to inquire, investigate, and obtain information</w:t>
      </w:r>
      <w:bookmarkEnd w:id="103"/>
      <w:bookmarkEnd w:id="104"/>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105" w:name="_Toc404158686"/>
      <w:bookmarkStart w:id="106" w:name="_Toc416961718"/>
      <w:r>
        <w:rPr>
          <w:rStyle w:val="CharSectno"/>
        </w:rPr>
        <w:t>24</w:t>
      </w:r>
      <w:r>
        <w:rPr>
          <w:snapToGrid w:val="0"/>
        </w:rPr>
        <w:t>.</w:t>
      </w:r>
      <w:r>
        <w:rPr>
          <w:snapToGrid w:val="0"/>
        </w:rPr>
        <w:tab/>
        <w:t>Sufficient notice to be given to enable questions, etc. to be answered</w:t>
      </w:r>
      <w:bookmarkEnd w:id="105"/>
      <w:bookmarkEnd w:id="106"/>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107" w:name="_Toc404158687"/>
      <w:bookmarkStart w:id="108" w:name="_Toc416961719"/>
      <w:r>
        <w:rPr>
          <w:rStyle w:val="CharSectno"/>
        </w:rPr>
        <w:t>25</w:t>
      </w:r>
      <w:r>
        <w:rPr>
          <w:snapToGrid w:val="0"/>
        </w:rPr>
        <w:t>.</w:t>
      </w:r>
      <w:r>
        <w:rPr>
          <w:snapToGrid w:val="0"/>
        </w:rPr>
        <w:tab/>
        <w:t>Failure to supply information</w:t>
      </w:r>
      <w:bookmarkEnd w:id="107"/>
      <w:bookmarkEnd w:id="108"/>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109" w:name="_Toc404158688"/>
      <w:bookmarkStart w:id="110" w:name="_Toc416961720"/>
      <w:r>
        <w:rPr>
          <w:rStyle w:val="CharSectno"/>
        </w:rPr>
        <w:t>26</w:t>
      </w:r>
      <w:r>
        <w:rPr>
          <w:snapToGrid w:val="0"/>
        </w:rPr>
        <w:t>.</w:t>
      </w:r>
      <w:r>
        <w:rPr>
          <w:snapToGrid w:val="0"/>
        </w:rPr>
        <w:tab/>
        <w:t>Obstructing Commissioner</w:t>
      </w:r>
      <w:bookmarkEnd w:id="109"/>
      <w:bookmarkEnd w:id="110"/>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111" w:name="_Toc404158689"/>
      <w:bookmarkStart w:id="112" w:name="_Toc416961721"/>
      <w:r>
        <w:rPr>
          <w:rStyle w:val="CharSectno"/>
        </w:rPr>
        <w:t>27</w:t>
      </w:r>
      <w:r>
        <w:rPr>
          <w:snapToGrid w:val="0"/>
        </w:rPr>
        <w:t>.</w:t>
      </w:r>
      <w:r>
        <w:rPr>
          <w:snapToGrid w:val="0"/>
        </w:rPr>
        <w:tab/>
        <w:t>Power of Commissioner to require returns</w:t>
      </w:r>
      <w:bookmarkEnd w:id="111"/>
      <w:bookmarkEnd w:id="112"/>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113" w:name="_Toc404158690"/>
      <w:bookmarkStart w:id="114" w:name="_Toc416961722"/>
      <w:r>
        <w:rPr>
          <w:rStyle w:val="CharSectno"/>
        </w:rPr>
        <w:t>27A</w:t>
      </w:r>
      <w:r>
        <w:t>.</w:t>
      </w:r>
      <w:r>
        <w:tab/>
        <w:t>Further powers of Commissioner to obtain information</w:t>
      </w:r>
      <w:bookmarkEnd w:id="113"/>
      <w:bookmarkEnd w:id="114"/>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115" w:name="_Toc404158691"/>
      <w:bookmarkStart w:id="116" w:name="_Toc416961723"/>
      <w:r>
        <w:rPr>
          <w:rStyle w:val="CharSectno"/>
        </w:rPr>
        <w:t>27B</w:t>
      </w:r>
      <w:r>
        <w:t>.</w:t>
      </w:r>
      <w:r>
        <w:tab/>
        <w:t>Publication by Commissioner of information</w:t>
      </w:r>
      <w:bookmarkEnd w:id="115"/>
      <w:bookmarkEnd w:id="116"/>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117" w:name="_Toc404158692"/>
      <w:bookmarkStart w:id="118" w:name="_Toc416961724"/>
      <w:r>
        <w:rPr>
          <w:rStyle w:val="CharSectno"/>
        </w:rPr>
        <w:t>28</w:t>
      </w:r>
      <w:r>
        <w:rPr>
          <w:snapToGrid w:val="0"/>
        </w:rPr>
        <w:t>.</w:t>
      </w:r>
      <w:r>
        <w:rPr>
          <w:snapToGrid w:val="0"/>
        </w:rPr>
        <w:tab/>
        <w:t>“</w:t>
      </w:r>
      <w:r>
        <w:t>Commissioner</w:t>
      </w:r>
      <w:r>
        <w:rPr>
          <w:snapToGrid w:val="0"/>
        </w:rPr>
        <w:t>” includes other officers</w:t>
      </w:r>
      <w:bookmarkEnd w:id="117"/>
      <w:bookmarkEnd w:id="118"/>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119" w:name="_Toc404158613"/>
      <w:bookmarkStart w:id="120" w:name="_Toc404158693"/>
      <w:bookmarkStart w:id="121" w:name="_Toc416961652"/>
      <w:bookmarkStart w:id="122" w:name="_Toc416961725"/>
      <w:r>
        <w:rPr>
          <w:rStyle w:val="CharPartNo"/>
        </w:rPr>
        <w:t>Part V</w:t>
      </w:r>
      <w:r>
        <w:t> — </w:t>
      </w:r>
      <w:r>
        <w:rPr>
          <w:rStyle w:val="CharPartText"/>
        </w:rPr>
        <w:t>Offences and penalties</w:t>
      </w:r>
      <w:bookmarkEnd w:id="119"/>
      <w:bookmarkEnd w:id="120"/>
      <w:bookmarkEnd w:id="121"/>
      <w:bookmarkEnd w:id="122"/>
      <w:r>
        <w:rPr>
          <w:rStyle w:val="CharPartText"/>
        </w:rPr>
        <w:t xml:space="preserve"> </w:t>
      </w:r>
    </w:p>
    <w:p>
      <w:pPr>
        <w:pStyle w:val="Heading3"/>
        <w:spacing w:before="200"/>
        <w:rPr>
          <w:b w:val="0"/>
        </w:rPr>
      </w:pPr>
      <w:bookmarkStart w:id="123" w:name="_Toc404158614"/>
      <w:bookmarkStart w:id="124" w:name="_Toc404158694"/>
      <w:bookmarkStart w:id="125" w:name="_Toc416961653"/>
      <w:bookmarkStart w:id="126" w:name="_Toc416961726"/>
      <w:r>
        <w:rPr>
          <w:rStyle w:val="CharDivNo"/>
        </w:rPr>
        <w:t>Division 1</w:t>
      </w:r>
      <w:r>
        <w:rPr>
          <w:b w:val="0"/>
        </w:rPr>
        <w:t> — </w:t>
      </w:r>
      <w:r>
        <w:rPr>
          <w:rStyle w:val="CharDivText"/>
        </w:rPr>
        <w:t>General provisions</w:t>
      </w:r>
      <w:bookmarkEnd w:id="123"/>
      <w:bookmarkEnd w:id="124"/>
      <w:bookmarkEnd w:id="125"/>
      <w:bookmarkEnd w:id="126"/>
      <w:r>
        <w:rPr>
          <w:b w:val="0"/>
        </w:rPr>
        <w:t> </w:t>
      </w:r>
    </w:p>
    <w:p>
      <w:pPr>
        <w:pStyle w:val="Footnoteheading"/>
        <w:ind w:left="890"/>
      </w:pPr>
      <w:r>
        <w:tab/>
        <w:t>[Heading inserted by No. 73 of 2000 s. 11(1).]</w:t>
      </w:r>
    </w:p>
    <w:p>
      <w:pPr>
        <w:pStyle w:val="Heading5"/>
        <w:spacing w:before="180"/>
        <w:rPr>
          <w:snapToGrid w:val="0"/>
        </w:rPr>
      </w:pPr>
      <w:bookmarkStart w:id="127" w:name="_Toc404158695"/>
      <w:bookmarkStart w:id="128" w:name="_Toc416961727"/>
      <w:r>
        <w:rPr>
          <w:rStyle w:val="CharSectno"/>
        </w:rPr>
        <w:t>29</w:t>
      </w:r>
      <w:r>
        <w:rPr>
          <w:snapToGrid w:val="0"/>
        </w:rPr>
        <w:t>.</w:t>
      </w:r>
      <w:r>
        <w:rPr>
          <w:snapToGrid w:val="0"/>
        </w:rPr>
        <w:tab/>
        <w:t>Liability of officers etc., of body corporate</w:t>
      </w:r>
      <w:bookmarkEnd w:id="127"/>
      <w:bookmarkEnd w:id="128"/>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129" w:name="_Toc404158696"/>
      <w:bookmarkStart w:id="130" w:name="_Toc416961728"/>
      <w:r>
        <w:rPr>
          <w:rStyle w:val="CharSectno"/>
        </w:rPr>
        <w:t>30</w:t>
      </w:r>
      <w:r>
        <w:rPr>
          <w:snapToGrid w:val="0"/>
        </w:rPr>
        <w:t>.</w:t>
      </w:r>
      <w:r>
        <w:rPr>
          <w:snapToGrid w:val="0"/>
        </w:rPr>
        <w:tab/>
        <w:t>Court may order refund of amount paid in excess of maximum price or rate</w:t>
      </w:r>
      <w:bookmarkEnd w:id="129"/>
      <w:bookmarkEnd w:id="130"/>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131" w:name="_Toc404158697"/>
      <w:bookmarkStart w:id="132" w:name="_Toc416961729"/>
      <w:r>
        <w:rPr>
          <w:rStyle w:val="CharSectno"/>
        </w:rPr>
        <w:t>31</w:t>
      </w:r>
      <w:r>
        <w:t>.</w:t>
      </w:r>
      <w:r>
        <w:tab/>
        <w:t>Limitation period for prosecutions</w:t>
      </w:r>
      <w:bookmarkEnd w:id="131"/>
      <w:bookmarkEnd w:id="132"/>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133" w:name="_Toc404158618"/>
      <w:bookmarkStart w:id="134" w:name="_Toc404158698"/>
      <w:bookmarkStart w:id="135" w:name="_Toc416961657"/>
      <w:bookmarkStart w:id="136" w:name="_Toc416961730"/>
      <w:r>
        <w:rPr>
          <w:rStyle w:val="CharDivNo"/>
        </w:rPr>
        <w:t>Division 2</w:t>
      </w:r>
      <w:r>
        <w:t> — </w:t>
      </w:r>
      <w:r>
        <w:rPr>
          <w:rStyle w:val="CharDivText"/>
        </w:rPr>
        <w:t>Infringement notices</w:t>
      </w:r>
      <w:bookmarkEnd w:id="133"/>
      <w:bookmarkEnd w:id="134"/>
      <w:bookmarkEnd w:id="135"/>
      <w:bookmarkEnd w:id="136"/>
      <w:r>
        <w:t> </w:t>
      </w:r>
    </w:p>
    <w:p>
      <w:pPr>
        <w:pStyle w:val="Footnoteheading"/>
        <w:ind w:left="890"/>
      </w:pPr>
      <w:r>
        <w:tab/>
        <w:t>[Heading inserted by No. 73 of 2000 s. 11(2).]</w:t>
      </w:r>
    </w:p>
    <w:p>
      <w:pPr>
        <w:pStyle w:val="Heading5"/>
      </w:pPr>
      <w:bookmarkStart w:id="137" w:name="_Toc404158699"/>
      <w:bookmarkStart w:id="138" w:name="_Toc416961731"/>
      <w:r>
        <w:rPr>
          <w:rStyle w:val="CharSectno"/>
        </w:rPr>
        <w:t>31A</w:t>
      </w:r>
      <w:r>
        <w:t>.</w:t>
      </w:r>
      <w:r>
        <w:tab/>
        <w:t>Infringement notices</w:t>
      </w:r>
      <w:bookmarkEnd w:id="137"/>
      <w:bookmarkEnd w:id="138"/>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 by No. 73 of 2000 s. 11(2).]</w:t>
      </w:r>
    </w:p>
    <w:p>
      <w:pPr>
        <w:pStyle w:val="Heading5"/>
      </w:pPr>
      <w:bookmarkStart w:id="139" w:name="_Toc404158700"/>
      <w:bookmarkStart w:id="140" w:name="_Toc416961732"/>
      <w:r>
        <w:rPr>
          <w:rStyle w:val="CharSectno"/>
        </w:rPr>
        <w:t>31B</w:t>
      </w:r>
      <w:r>
        <w:t>.</w:t>
      </w:r>
      <w:r>
        <w:tab/>
        <w:t>Giving of notice</w:t>
      </w:r>
      <w:bookmarkEnd w:id="139"/>
      <w:bookmarkEnd w:id="140"/>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 by No. 73 of 2000 s. 11(2).]</w:t>
      </w:r>
    </w:p>
    <w:p>
      <w:pPr>
        <w:pStyle w:val="Heading5"/>
      </w:pPr>
      <w:bookmarkStart w:id="141" w:name="_Toc404158701"/>
      <w:bookmarkStart w:id="142" w:name="_Toc416961733"/>
      <w:r>
        <w:rPr>
          <w:rStyle w:val="CharSectno"/>
        </w:rPr>
        <w:t>31C</w:t>
      </w:r>
      <w:r>
        <w:t>.</w:t>
      </w:r>
      <w:r>
        <w:tab/>
        <w:t>Content of notice</w:t>
      </w:r>
      <w:bookmarkEnd w:id="141"/>
      <w:bookmarkEnd w:id="142"/>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143" w:name="_Toc404158702"/>
      <w:bookmarkStart w:id="144" w:name="_Toc416961734"/>
      <w:r>
        <w:rPr>
          <w:rStyle w:val="CharSectno"/>
        </w:rPr>
        <w:t>31D</w:t>
      </w:r>
      <w:r>
        <w:t>.</w:t>
      </w:r>
      <w:r>
        <w:tab/>
        <w:t>Extension of time</w:t>
      </w:r>
      <w:bookmarkEnd w:id="143"/>
      <w:bookmarkEnd w:id="144"/>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145" w:name="_Toc404158703"/>
      <w:bookmarkStart w:id="146" w:name="_Toc416961735"/>
      <w:r>
        <w:rPr>
          <w:rStyle w:val="CharSectno"/>
        </w:rPr>
        <w:t>31E</w:t>
      </w:r>
      <w:r>
        <w:t>.</w:t>
      </w:r>
      <w:r>
        <w:tab/>
        <w:t>Withdrawal of notice</w:t>
      </w:r>
      <w:bookmarkEnd w:id="145"/>
      <w:bookmarkEnd w:id="146"/>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 by No. 73 of 2000 s. 11(2).]</w:t>
      </w:r>
    </w:p>
    <w:p>
      <w:pPr>
        <w:pStyle w:val="Heading5"/>
      </w:pPr>
      <w:bookmarkStart w:id="147" w:name="_Toc404158704"/>
      <w:bookmarkStart w:id="148" w:name="_Toc416961736"/>
      <w:r>
        <w:rPr>
          <w:rStyle w:val="CharSectno"/>
        </w:rPr>
        <w:t>31F</w:t>
      </w:r>
      <w:r>
        <w:t>.</w:t>
      </w:r>
      <w:r>
        <w:tab/>
        <w:t>Benefit of paying modified penalty</w:t>
      </w:r>
      <w:bookmarkEnd w:id="147"/>
      <w:bookmarkEnd w:id="14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149" w:name="_Toc404158705"/>
      <w:bookmarkStart w:id="150" w:name="_Toc416961737"/>
      <w:r>
        <w:rPr>
          <w:rStyle w:val="CharSectno"/>
        </w:rPr>
        <w:t>31G</w:t>
      </w:r>
      <w:r>
        <w:t>.</w:t>
      </w:r>
      <w:r>
        <w:tab/>
        <w:t>Application of penalties collected</w:t>
      </w:r>
      <w:bookmarkEnd w:id="149"/>
      <w:bookmarkEnd w:id="150"/>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151" w:name="_Toc404158706"/>
      <w:bookmarkStart w:id="152" w:name="_Toc416961738"/>
      <w:r>
        <w:rPr>
          <w:rStyle w:val="CharSectno"/>
        </w:rPr>
        <w:t>31H</w:t>
      </w:r>
      <w:r>
        <w:t>.</w:t>
      </w:r>
      <w:r>
        <w:tab/>
        <w:t>Appointment of authorised persons</w:t>
      </w:r>
      <w:bookmarkEnd w:id="151"/>
      <w:bookmarkEnd w:id="152"/>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153" w:name="_Toc404158627"/>
      <w:bookmarkStart w:id="154" w:name="_Toc404158707"/>
      <w:bookmarkStart w:id="155" w:name="_Toc416961666"/>
      <w:bookmarkStart w:id="156" w:name="_Toc416961739"/>
      <w:r>
        <w:rPr>
          <w:rStyle w:val="CharPartNo"/>
        </w:rPr>
        <w:t>Part VI</w:t>
      </w:r>
      <w:r>
        <w:rPr>
          <w:rStyle w:val="CharDivNo"/>
        </w:rPr>
        <w:t> </w:t>
      </w:r>
      <w:r>
        <w:t>—</w:t>
      </w:r>
      <w:r>
        <w:rPr>
          <w:rStyle w:val="CharDivText"/>
        </w:rPr>
        <w:t> </w:t>
      </w:r>
      <w:r>
        <w:rPr>
          <w:rStyle w:val="CharPartText"/>
        </w:rPr>
        <w:t>Miscellaneous</w:t>
      </w:r>
      <w:bookmarkEnd w:id="153"/>
      <w:bookmarkEnd w:id="154"/>
      <w:bookmarkEnd w:id="155"/>
      <w:bookmarkEnd w:id="156"/>
      <w:r>
        <w:rPr>
          <w:rStyle w:val="CharPartText"/>
        </w:rPr>
        <w:t xml:space="preserve"> </w:t>
      </w:r>
    </w:p>
    <w:p>
      <w:pPr>
        <w:pStyle w:val="Heading5"/>
        <w:spacing w:before="240"/>
        <w:rPr>
          <w:snapToGrid w:val="0"/>
        </w:rPr>
      </w:pPr>
      <w:bookmarkStart w:id="157" w:name="_Toc404158708"/>
      <w:bookmarkStart w:id="158" w:name="_Toc416961740"/>
      <w:r>
        <w:rPr>
          <w:rStyle w:val="CharSectno"/>
        </w:rPr>
        <w:t>32</w:t>
      </w:r>
      <w:r>
        <w:rPr>
          <w:snapToGrid w:val="0"/>
        </w:rPr>
        <w:t>.</w:t>
      </w:r>
      <w:r>
        <w:rPr>
          <w:snapToGrid w:val="0"/>
        </w:rPr>
        <w:tab/>
        <w:t>Application of orders and notices</w:t>
      </w:r>
      <w:bookmarkEnd w:id="157"/>
      <w:bookmarkEnd w:id="158"/>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159" w:name="_Toc404158709"/>
      <w:bookmarkStart w:id="160" w:name="_Toc416961741"/>
      <w:r>
        <w:rPr>
          <w:rStyle w:val="CharSectno"/>
        </w:rPr>
        <w:t>32A</w:t>
      </w:r>
      <w:r>
        <w:t>.</w:t>
      </w:r>
      <w:r>
        <w:tab/>
        <w:t>Delegation by Commissioner</w:t>
      </w:r>
      <w:bookmarkEnd w:id="159"/>
      <w:bookmarkEnd w:id="160"/>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 by No. 28 of 2006 s. 126.]</w:t>
      </w:r>
    </w:p>
    <w:p>
      <w:pPr>
        <w:pStyle w:val="Heading5"/>
      </w:pPr>
      <w:bookmarkStart w:id="161" w:name="_Toc404158710"/>
      <w:bookmarkStart w:id="162" w:name="_Toc416961742"/>
      <w:r>
        <w:rPr>
          <w:rStyle w:val="CharSectno"/>
        </w:rPr>
        <w:t>32B</w:t>
      </w:r>
      <w:r>
        <w:t>.</w:t>
      </w:r>
      <w:r>
        <w:tab/>
        <w:t>Protection from liability for wrongdoing</w:t>
      </w:r>
      <w:bookmarkEnd w:id="161"/>
      <w:bookmarkEnd w:id="162"/>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 by No. 28 of 2006 s. 126.]</w:t>
      </w:r>
    </w:p>
    <w:p>
      <w:pPr>
        <w:pStyle w:val="Heading5"/>
        <w:rPr>
          <w:snapToGrid w:val="0"/>
        </w:rPr>
      </w:pPr>
      <w:bookmarkStart w:id="163" w:name="_Toc404158711"/>
      <w:bookmarkStart w:id="164" w:name="_Toc416961743"/>
      <w:r>
        <w:rPr>
          <w:rStyle w:val="CharSectno"/>
        </w:rPr>
        <w:t>32C</w:t>
      </w:r>
      <w:r>
        <w:rPr>
          <w:snapToGrid w:val="0"/>
        </w:rPr>
        <w:t>.</w:t>
      </w:r>
      <w:r>
        <w:rPr>
          <w:snapToGrid w:val="0"/>
        </w:rPr>
        <w:tab/>
      </w:r>
      <w:r>
        <w:t>Judicial</w:t>
      </w:r>
      <w:r>
        <w:rPr>
          <w:snapToGrid w:val="0"/>
        </w:rPr>
        <w:t xml:space="preserve"> notice</w:t>
      </w:r>
      <w:bookmarkEnd w:id="163"/>
      <w:bookmarkEnd w:id="16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165" w:name="_Toc404158712"/>
      <w:bookmarkStart w:id="166" w:name="_Toc416961744"/>
      <w:r>
        <w:rPr>
          <w:rStyle w:val="CharSectno"/>
        </w:rPr>
        <w:t>33</w:t>
      </w:r>
      <w:r>
        <w:rPr>
          <w:snapToGrid w:val="0"/>
        </w:rPr>
        <w:t>.</w:t>
      </w:r>
      <w:r>
        <w:rPr>
          <w:snapToGrid w:val="0"/>
        </w:rPr>
        <w:tab/>
        <w:t>Secrecy</w:t>
      </w:r>
      <w:bookmarkEnd w:id="165"/>
      <w:bookmarkEnd w:id="166"/>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167" w:name="_Toc404158713"/>
      <w:bookmarkStart w:id="168" w:name="_Toc416961745"/>
      <w:r>
        <w:rPr>
          <w:rStyle w:val="CharSectno"/>
        </w:rPr>
        <w:t>34</w:t>
      </w:r>
      <w:r>
        <w:rPr>
          <w:snapToGrid w:val="0"/>
        </w:rPr>
        <w:t>.</w:t>
      </w:r>
      <w:r>
        <w:rPr>
          <w:snapToGrid w:val="0"/>
        </w:rPr>
        <w:tab/>
        <w:t>Regulations</w:t>
      </w:r>
      <w:bookmarkEnd w:id="167"/>
      <w:bookmarkEnd w:id="168"/>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69" w:name="_Toc404158634"/>
      <w:bookmarkStart w:id="170" w:name="_Toc404158714"/>
      <w:bookmarkStart w:id="171" w:name="_Toc416961673"/>
      <w:bookmarkStart w:id="172" w:name="_Toc416961746"/>
      <w:r>
        <w:rPr>
          <w:rStyle w:val="CharSchNo"/>
        </w:rPr>
        <w:t>Schedule 1</w:t>
      </w:r>
      <w:r>
        <w:t xml:space="preserve"> — </w:t>
      </w:r>
      <w:r>
        <w:rPr>
          <w:rStyle w:val="CharSchText"/>
        </w:rPr>
        <w:t>Certain exclusions from definition of “petroleum product”</w:t>
      </w:r>
      <w:bookmarkEnd w:id="169"/>
      <w:bookmarkEnd w:id="170"/>
      <w:bookmarkEnd w:id="171"/>
      <w:bookmarkEnd w:id="172"/>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smartTag w:uri="urn:schemas-microsoft-com:office:smarttags" w:element="place">
        <w:r>
          <w:t>Lake</w:t>
        </w:r>
      </w:smartTag>
      <w:r>
        <w:t xml:space="preserv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smartTag w:uri="urn:schemas-microsoft-com:office:smarttags" w:element="City">
        <w:smartTag w:uri="urn:schemas-microsoft-com:office:smarttags" w:element="place">
          <w:r>
            <w:t>Sulphur</w:t>
          </w:r>
        </w:smartTag>
      </w:smartTag>
      <w:r>
        <w:t xml:space="preserve"> compounds</w:t>
      </w:r>
    </w:p>
    <w:p>
      <w:pPr>
        <w:pStyle w:val="yMiscellaneousBody"/>
        <w:spacing w:before="0"/>
      </w:pPr>
      <w:smartTag w:uri="urn:schemas-microsoft-com:office:smarttags" w:element="City">
        <w:smartTag w:uri="urn:schemas-microsoft-com:office:smarttags" w:element="place">
          <w:r>
            <w:t>Sulphur</w:t>
          </w:r>
        </w:smartTag>
      </w:smartTag>
      <w:r>
        <w:t xml:space="preserve">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5"/>
          <w:headerReference w:type="default" r:id="rId26"/>
          <w:headerReference w:type="first" r:id="rId27"/>
          <w:pgSz w:w="11907" w:h="16840" w:code="9"/>
          <w:pgMar w:top="2381" w:right="2410" w:bottom="3544" w:left="2410" w:header="720" w:footer="3380" w:gutter="0"/>
          <w:cols w:space="720"/>
          <w:noEndnote/>
          <w:docGrid w:linePitch="326"/>
        </w:sectPr>
      </w:pPr>
    </w:p>
    <w:p>
      <w:pPr>
        <w:pStyle w:val="nHeading2"/>
      </w:pPr>
      <w:bookmarkStart w:id="174" w:name="_Toc404158635"/>
      <w:bookmarkStart w:id="175" w:name="_Toc404158715"/>
      <w:bookmarkStart w:id="176" w:name="_Toc416961674"/>
      <w:bookmarkStart w:id="177" w:name="_Toc416961747"/>
      <w:r>
        <w:t>Notes</w:t>
      </w:r>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8" w:name="_Toc404158716"/>
      <w:bookmarkStart w:id="179" w:name="_Toc416961748"/>
      <w:r>
        <w:rPr>
          <w:snapToGrid w:val="0"/>
        </w:rPr>
        <w:t>Compilation table</w:t>
      </w:r>
      <w:bookmarkEnd w:id="178"/>
      <w:bookmarkEnd w:id="179"/>
    </w:p>
    <w:tbl>
      <w:tblPr>
        <w:tblW w:w="0" w:type="auto"/>
        <w:tblInd w:w="71" w:type="dxa"/>
        <w:tblLayout w:type="fixed"/>
        <w:tblCellMar>
          <w:left w:w="57" w:type="dxa"/>
          <w:right w:w="57" w:type="dxa"/>
        </w:tblCellMar>
        <w:tblLook w:val="0000" w:firstRow="0" w:lastRow="0" w:firstColumn="0" w:lastColumn="0" w:noHBand="0" w:noVBand="0"/>
      </w:tblPr>
      <w:tblGrid>
        <w:gridCol w:w="12"/>
        <w:gridCol w:w="2242"/>
        <w:gridCol w:w="26"/>
        <w:gridCol w:w="1108"/>
        <w:gridCol w:w="26"/>
        <w:gridCol w:w="1108"/>
        <w:gridCol w:w="26"/>
        <w:gridCol w:w="2551"/>
      </w:tblGrid>
      <w:tr>
        <w:trPr>
          <w:gridBefore w:val="1"/>
          <w:wBefore w:w="12"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wBefore w:w="12" w:type="dxa"/>
          <w:cantSplit/>
        </w:trPr>
        <w:tc>
          <w:tcPr>
            <w:tcW w:w="2268" w:type="dxa"/>
            <w:gridSpan w:val="2"/>
          </w:tcPr>
          <w:p>
            <w:pPr>
              <w:pStyle w:val="nTable"/>
              <w:spacing w:after="40"/>
              <w:ind w:right="113"/>
              <w:rPr>
                <w:vertAlign w:val="superscript"/>
              </w:rPr>
            </w:pPr>
            <w:r>
              <w:rPr>
                <w:i/>
              </w:rPr>
              <w:t>Prevention of Excessive Prices Act 1983</w:t>
            </w:r>
            <w:r>
              <w:rPr>
                <w:i/>
                <w:vertAlign w:val="superscript"/>
              </w:rPr>
              <w:t> </w:t>
            </w:r>
            <w:r>
              <w:rPr>
                <w:vertAlign w:val="superscript"/>
              </w:rPr>
              <w:t>2</w:t>
            </w:r>
          </w:p>
        </w:tc>
        <w:tc>
          <w:tcPr>
            <w:tcW w:w="1134" w:type="dxa"/>
            <w:gridSpan w:val="2"/>
          </w:tcPr>
          <w:p>
            <w:pPr>
              <w:pStyle w:val="nTable"/>
              <w:spacing w:after="40"/>
            </w:pPr>
            <w:r>
              <w:t>1 of 1983</w:t>
            </w:r>
          </w:p>
        </w:tc>
        <w:tc>
          <w:tcPr>
            <w:tcW w:w="1134" w:type="dxa"/>
            <w:gridSpan w:val="2"/>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gridBefore w:val="1"/>
          <w:wBefore w:w="12" w:type="dxa"/>
          <w:cantSplit/>
        </w:trPr>
        <w:tc>
          <w:tcPr>
            <w:tcW w:w="2268" w:type="dxa"/>
            <w:gridSpan w:val="2"/>
          </w:tcPr>
          <w:p>
            <w:pPr>
              <w:pStyle w:val="nTable"/>
              <w:spacing w:after="40"/>
              <w:ind w:right="113"/>
            </w:pPr>
            <w:r>
              <w:rPr>
                <w:i/>
              </w:rPr>
              <w:t xml:space="preserve">Acts Amendment (Prevention of Excessive Prices) Act (No. 2) 1983 </w:t>
            </w:r>
            <w:r>
              <w:t>Pt. III</w:t>
            </w:r>
          </w:p>
        </w:tc>
        <w:tc>
          <w:tcPr>
            <w:tcW w:w="1134" w:type="dxa"/>
            <w:gridSpan w:val="2"/>
          </w:tcPr>
          <w:p>
            <w:pPr>
              <w:pStyle w:val="nTable"/>
              <w:spacing w:after="40"/>
            </w:pPr>
            <w:r>
              <w:t>72 of 1983</w:t>
            </w:r>
          </w:p>
        </w:tc>
        <w:tc>
          <w:tcPr>
            <w:tcW w:w="1134" w:type="dxa"/>
            <w:gridSpan w:val="2"/>
          </w:tcPr>
          <w:p>
            <w:pPr>
              <w:pStyle w:val="nTable"/>
              <w:spacing w:after="40"/>
            </w:pPr>
            <w:r>
              <w:t>22 Dec 1983</w:t>
            </w:r>
          </w:p>
        </w:tc>
        <w:tc>
          <w:tcPr>
            <w:tcW w:w="2551" w:type="dxa"/>
          </w:tcPr>
          <w:p>
            <w:pPr>
              <w:pStyle w:val="nTable"/>
              <w:spacing w:after="40"/>
            </w:pPr>
            <w:r>
              <w:t>30 Dec 1983 (see s. 2(b))</w:t>
            </w:r>
          </w:p>
        </w:tc>
      </w:tr>
      <w:tr>
        <w:trPr>
          <w:gridBefore w:val="1"/>
          <w:wBefore w:w="12" w:type="dxa"/>
          <w:cantSplit/>
        </w:trPr>
        <w:tc>
          <w:tcPr>
            <w:tcW w:w="2268" w:type="dxa"/>
            <w:gridSpan w:val="2"/>
          </w:tcPr>
          <w:p>
            <w:pPr>
              <w:pStyle w:val="nTable"/>
              <w:spacing w:after="40"/>
              <w:ind w:right="113"/>
            </w:pPr>
            <w:r>
              <w:rPr>
                <w:i/>
              </w:rPr>
              <w:t xml:space="preserve">Acts Amendment (Consumer Affairs) Act 1985 </w:t>
            </w:r>
            <w:r>
              <w:t>Pt. VI</w:t>
            </w:r>
          </w:p>
        </w:tc>
        <w:tc>
          <w:tcPr>
            <w:tcW w:w="1134" w:type="dxa"/>
            <w:gridSpan w:val="2"/>
          </w:tcPr>
          <w:p>
            <w:pPr>
              <w:pStyle w:val="nTable"/>
              <w:spacing w:after="40"/>
            </w:pPr>
            <w:r>
              <w:t>1 of 1985</w:t>
            </w:r>
          </w:p>
        </w:tc>
        <w:tc>
          <w:tcPr>
            <w:tcW w:w="1134" w:type="dxa"/>
            <w:gridSpan w:val="2"/>
          </w:tcPr>
          <w:p>
            <w:pPr>
              <w:pStyle w:val="nTable"/>
              <w:spacing w:after="40"/>
            </w:pPr>
            <w:r>
              <w:t>8 Mar 1985</w:t>
            </w:r>
          </w:p>
        </w:tc>
        <w:tc>
          <w:tcPr>
            <w:tcW w:w="2551" w:type="dxa"/>
          </w:tcPr>
          <w:p>
            <w:pPr>
              <w:pStyle w:val="nTable"/>
              <w:spacing w:after="40"/>
            </w:pPr>
            <w:r>
              <w:t>8 Mar 1985 (see s. 2(3))</w:t>
            </w:r>
          </w:p>
        </w:tc>
      </w:tr>
      <w:tr>
        <w:trPr>
          <w:gridBefore w:val="1"/>
          <w:wBefore w:w="12" w:type="dxa"/>
          <w:cantSplit/>
        </w:trPr>
        <w:tc>
          <w:tcPr>
            <w:tcW w:w="2268"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Before w:val="1"/>
          <w:wBefore w:w="12"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Before w:val="1"/>
          <w:wBefore w:w="12" w:type="dxa"/>
          <w:cantSplit/>
        </w:trPr>
        <w:tc>
          <w:tcPr>
            <w:tcW w:w="2268" w:type="dxa"/>
            <w:gridSpan w:val="2"/>
          </w:tcPr>
          <w:p>
            <w:pPr>
              <w:pStyle w:val="nTable"/>
              <w:spacing w:after="40"/>
              <w:ind w:right="113"/>
            </w:pPr>
            <w:r>
              <w:rPr>
                <w:i/>
              </w:rPr>
              <w:t xml:space="preserve">Industrial Relations Legislation Amendment and Repeal Act 1995 </w:t>
            </w:r>
            <w:r>
              <w:t>s. 69(2)</w:t>
            </w:r>
          </w:p>
        </w:tc>
        <w:tc>
          <w:tcPr>
            <w:tcW w:w="1134" w:type="dxa"/>
            <w:gridSpan w:val="2"/>
          </w:tcPr>
          <w:p>
            <w:pPr>
              <w:pStyle w:val="nTable"/>
              <w:spacing w:after="40"/>
            </w:pPr>
            <w:r>
              <w:t>79 of 1995</w:t>
            </w:r>
          </w:p>
        </w:tc>
        <w:tc>
          <w:tcPr>
            <w:tcW w:w="1134" w:type="dxa"/>
            <w:gridSpan w:val="2"/>
          </w:tcPr>
          <w:p>
            <w:pPr>
              <w:pStyle w:val="nTable"/>
              <w:spacing w:after="40"/>
            </w:pPr>
            <w:r>
              <w:t>16 Jan 1996</w:t>
            </w:r>
          </w:p>
        </w:tc>
        <w:tc>
          <w:tcPr>
            <w:tcW w:w="2551" w:type="dxa"/>
          </w:tcPr>
          <w:p>
            <w:pPr>
              <w:pStyle w:val="nTable"/>
              <w:spacing w:after="40"/>
            </w:pPr>
            <w:r>
              <w:t>16 Jan 1996 (see s. 3(1))</w:t>
            </w:r>
          </w:p>
        </w:tc>
      </w:tr>
      <w:tr>
        <w:trPr>
          <w:gridBefore w:val="1"/>
          <w:wBefore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tcPr>
          <w:p>
            <w:pPr>
              <w:pStyle w:val="nTable"/>
              <w:spacing w:after="40"/>
            </w:pPr>
            <w:r>
              <w:t>1 Jul 1996 (see s. 2)</w:t>
            </w:r>
          </w:p>
        </w:tc>
      </w:tr>
      <w:tr>
        <w:trPr>
          <w:gridBefore w:val="1"/>
          <w:wBefore w:w="12" w:type="dxa"/>
          <w:cantSplit/>
        </w:trPr>
        <w:tc>
          <w:tcPr>
            <w:tcW w:w="2268" w:type="dxa"/>
            <w:gridSpan w:val="2"/>
          </w:tcPr>
          <w:p>
            <w:pPr>
              <w:pStyle w:val="nTable"/>
              <w:spacing w:after="40"/>
              <w:ind w:right="113"/>
            </w:pPr>
            <w:r>
              <w:rPr>
                <w:i/>
              </w:rPr>
              <w:t xml:space="preserve">Statutes (Repeals and Minor Amendments) Act 1997 </w:t>
            </w:r>
            <w:r>
              <w:t>s. 39(10) and 93</w:t>
            </w:r>
          </w:p>
        </w:tc>
        <w:tc>
          <w:tcPr>
            <w:tcW w:w="1134" w:type="dxa"/>
            <w:gridSpan w:val="2"/>
          </w:tcPr>
          <w:p>
            <w:pPr>
              <w:pStyle w:val="nTable"/>
              <w:keepNext/>
              <w:keepLines/>
              <w:spacing w:after="40"/>
            </w:pPr>
            <w:r>
              <w:t>57 of 1997</w:t>
            </w:r>
          </w:p>
        </w:tc>
        <w:tc>
          <w:tcPr>
            <w:tcW w:w="1134" w:type="dxa"/>
            <w:gridSpan w:val="2"/>
          </w:tcPr>
          <w:p>
            <w:pPr>
              <w:pStyle w:val="nTable"/>
              <w:keepNext/>
              <w:keepLines/>
              <w:spacing w:after="40"/>
            </w:pPr>
            <w:r>
              <w:t>15 Dec 1997</w:t>
            </w:r>
          </w:p>
        </w:tc>
        <w:tc>
          <w:tcPr>
            <w:tcW w:w="2551" w:type="dxa"/>
          </w:tcPr>
          <w:p>
            <w:pPr>
              <w:pStyle w:val="nTable"/>
              <w:keepNext/>
              <w:keepLines/>
              <w:spacing w:after="40"/>
            </w:pPr>
            <w:r>
              <w:t>15 Dec 1997 (see s. 2(1))</w:t>
            </w:r>
          </w:p>
        </w:tc>
      </w:tr>
      <w:tr>
        <w:trPr>
          <w:gridBefore w:val="1"/>
          <w:wBefore w:w="12" w:type="dxa"/>
          <w:cantSplit/>
        </w:trPr>
        <w:tc>
          <w:tcPr>
            <w:tcW w:w="2268" w:type="dxa"/>
            <w:gridSpan w:val="2"/>
          </w:tcPr>
          <w:p>
            <w:pPr>
              <w:pStyle w:val="nTable"/>
              <w:spacing w:after="40"/>
              <w:ind w:right="113"/>
              <w:rPr>
                <w:i/>
              </w:rPr>
            </w:pPr>
            <w:r>
              <w:rPr>
                <w:i/>
              </w:rPr>
              <w:t>Petroleum Products Pricing Amendment Act 2000</w:t>
            </w:r>
          </w:p>
        </w:tc>
        <w:tc>
          <w:tcPr>
            <w:tcW w:w="1134" w:type="dxa"/>
            <w:gridSpan w:val="2"/>
          </w:tcPr>
          <w:p>
            <w:pPr>
              <w:pStyle w:val="nTable"/>
              <w:spacing w:after="40"/>
            </w:pPr>
            <w:r>
              <w:t>73 of 2000</w:t>
            </w:r>
          </w:p>
        </w:tc>
        <w:tc>
          <w:tcPr>
            <w:tcW w:w="1134" w:type="dxa"/>
            <w:gridSpan w:val="2"/>
          </w:tcPr>
          <w:p>
            <w:pPr>
              <w:pStyle w:val="nTable"/>
              <w:spacing w:after="40"/>
            </w:pPr>
            <w:r>
              <w:t>4 Dec 2000</w:t>
            </w:r>
          </w:p>
        </w:tc>
        <w:tc>
          <w:tcPr>
            <w:tcW w:w="2551" w:type="dxa"/>
          </w:tcPr>
          <w:p>
            <w:pPr>
              <w:pStyle w:val="nTable"/>
              <w:spacing w:after="40"/>
            </w:pPr>
            <w:r>
              <w:t>1 Jan 2001</w:t>
            </w:r>
          </w:p>
        </w:tc>
      </w:tr>
      <w:tr>
        <w:trPr>
          <w:gridBefore w:val="1"/>
          <w:wBefore w:w="12" w:type="dxa"/>
          <w:cantSplit/>
        </w:trPr>
        <w:tc>
          <w:tcPr>
            <w:tcW w:w="2268" w:type="dxa"/>
            <w:gridSpan w:val="2"/>
          </w:tcPr>
          <w:p>
            <w:pPr>
              <w:pStyle w:val="nTable"/>
              <w:spacing w:after="40"/>
              <w:ind w:right="113"/>
            </w:pPr>
            <w:r>
              <w:rPr>
                <w:i/>
              </w:rPr>
              <w:t>Petroleum Legislation Amendment Act 2001</w:t>
            </w:r>
            <w:r>
              <w:t xml:space="preserve"> Pt. 3</w:t>
            </w:r>
          </w:p>
        </w:tc>
        <w:tc>
          <w:tcPr>
            <w:tcW w:w="1134" w:type="dxa"/>
            <w:gridSpan w:val="2"/>
          </w:tcPr>
          <w:p>
            <w:pPr>
              <w:pStyle w:val="nTable"/>
              <w:keepNext/>
              <w:keepLines/>
              <w:spacing w:after="40"/>
            </w:pPr>
            <w:r>
              <w:t>11 of 2001</w:t>
            </w:r>
          </w:p>
        </w:tc>
        <w:tc>
          <w:tcPr>
            <w:tcW w:w="1134" w:type="dxa"/>
            <w:gridSpan w:val="2"/>
          </w:tcPr>
          <w:p>
            <w:pPr>
              <w:pStyle w:val="nTable"/>
              <w:keepNext/>
              <w:keepLines/>
              <w:spacing w:after="40"/>
            </w:pPr>
            <w:r>
              <w:t>13 Jul 2001</w:t>
            </w:r>
          </w:p>
        </w:tc>
        <w:tc>
          <w:tcPr>
            <w:tcW w:w="2551" w:type="dxa"/>
          </w:tcPr>
          <w:p>
            <w:pPr>
              <w:pStyle w:val="nTable"/>
              <w:keepNext/>
              <w:keepLines/>
              <w:spacing w:after="40"/>
              <w:rPr>
                <w:vertAlign w:val="superscript"/>
              </w:rPr>
            </w:pPr>
            <w:r>
              <w:t xml:space="preserve">s. 20: 24 Aug 2001 (see s. 2(2) and </w:t>
            </w:r>
            <w:r>
              <w:rPr>
                <w:i/>
              </w:rPr>
              <w:t>Gazette</w:t>
            </w:r>
            <w:r>
              <w:t xml:space="preserve"> 23 Aug 2001 p. 4377);</w:t>
            </w:r>
            <w:r>
              <w:br/>
              <w:t xml:space="preserve">balance: 1 Jan 2002 (see s. 2(1) and </w:t>
            </w:r>
            <w:r>
              <w:rPr>
                <w:i/>
              </w:rPr>
              <w:t>Gazette</w:t>
            </w:r>
            <w:r>
              <w:t xml:space="preserve"> 31 Dec 2001 p. 6761)</w:t>
            </w:r>
          </w:p>
        </w:tc>
      </w:tr>
      <w:tr>
        <w:trPr>
          <w:gridBefore w:val="1"/>
          <w:wBefore w:w="12" w:type="dxa"/>
          <w:cantSplit/>
        </w:trPr>
        <w:tc>
          <w:tcPr>
            <w:tcW w:w="7087" w:type="dxa"/>
            <w:gridSpan w:val="7"/>
          </w:tcPr>
          <w:p>
            <w:pPr>
              <w:pStyle w:val="nTable"/>
              <w:spacing w:after="40"/>
            </w:pPr>
            <w:r>
              <w:rPr>
                <w:b/>
              </w:rPr>
              <w:t xml:space="preserve">Reprint of the </w:t>
            </w:r>
            <w:r>
              <w:rPr>
                <w:b/>
                <w:i/>
              </w:rPr>
              <w:t>Petroleum Products Pricing Act 1983</w:t>
            </w:r>
            <w:r>
              <w:rPr>
                <w:b/>
              </w:rPr>
              <w:t xml:space="preserve"> as at 11 Jan 2002</w:t>
            </w:r>
            <w:r>
              <w:rPr>
                <w:b/>
              </w:rPr>
              <w:br/>
            </w:r>
            <w:r>
              <w:t xml:space="preserve">(includes amendments listed above)  (correction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rPr>
              <w:t>Oaths, Affidavits and Statutory Declarations (Consequential Provisions) Act 2005</w:t>
            </w:r>
            <w:r>
              <w:t xml:space="preserve"> s. 63</w:t>
            </w:r>
          </w:p>
        </w:tc>
        <w:tc>
          <w:tcPr>
            <w:tcW w:w="1134" w:type="dxa"/>
            <w:gridSpan w:val="2"/>
            <w:tcBorders>
              <w:top w:val="nil"/>
              <w:bottom w:val="nil"/>
            </w:tcBorders>
          </w:tcPr>
          <w:p>
            <w:pPr>
              <w:pStyle w:val="nTable"/>
              <w:spacing w:after="40"/>
              <w:rPr>
                <w:snapToGrid w:val="0"/>
              </w:rPr>
            </w:pPr>
            <w:r>
              <w:t>24 of 2005</w:t>
            </w:r>
          </w:p>
        </w:tc>
        <w:tc>
          <w:tcPr>
            <w:tcW w:w="1134" w:type="dxa"/>
            <w:gridSpan w:val="2"/>
            <w:tcBorders>
              <w:top w:val="nil"/>
              <w:bottom w:val="nil"/>
            </w:tcBorders>
          </w:tcPr>
          <w:p>
            <w:pPr>
              <w:pStyle w:val="nTable"/>
              <w:spacing w:after="40"/>
            </w:pPr>
            <w:r>
              <w:t>2 Dec 2005</w:t>
            </w:r>
          </w:p>
        </w:tc>
        <w:tc>
          <w:tcPr>
            <w:tcW w:w="2551" w:type="dxa"/>
            <w:tcBorders>
              <w:top w:val="nil"/>
              <w:bottom w:val="nil"/>
            </w:tcBorders>
          </w:tcPr>
          <w:p>
            <w:pPr>
              <w:pStyle w:val="nTable"/>
              <w:spacing w:after="40"/>
              <w:rPr>
                <w:snapToGrid w:val="0"/>
              </w:rPr>
            </w:pPr>
            <w:r>
              <w:t xml:space="preserve">1 Jan 2006 (see s. 2(1) and </w:t>
            </w:r>
            <w:r>
              <w:rPr>
                <w:i/>
              </w:rPr>
              <w:t>Gazette</w:t>
            </w:r>
            <w: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Machinery of Government (Miscellaneous Amendments) Act 2006 </w:t>
            </w:r>
            <w:r>
              <w:rPr>
                <w:snapToGrid w:val="0"/>
              </w:rPr>
              <w:t xml:space="preserve">Pt. 4 Div. 17 </w:t>
            </w:r>
            <w:r>
              <w:rPr>
                <w:snapToGrid w:val="0"/>
                <w:vertAlign w:val="superscript"/>
              </w:rPr>
              <w:t>3</w:t>
            </w:r>
          </w:p>
        </w:tc>
        <w:tc>
          <w:tcPr>
            <w:tcW w:w="1134" w:type="dxa"/>
            <w:gridSpan w:val="2"/>
            <w:tcBorders>
              <w:top w:val="nil"/>
              <w:bottom w:val="nil"/>
            </w:tcBorders>
          </w:tcPr>
          <w:p>
            <w:pPr>
              <w:pStyle w:val="nTable"/>
              <w:spacing w:after="40"/>
              <w:rPr>
                <w:snapToGrid w:val="0"/>
              </w:rPr>
            </w:pPr>
            <w:r>
              <w:rPr>
                <w:snapToGrid w:val="0"/>
              </w:rPr>
              <w:t>28 of 2006</w:t>
            </w:r>
          </w:p>
        </w:tc>
        <w:tc>
          <w:tcPr>
            <w:tcW w:w="1134" w:type="dxa"/>
            <w:gridSpan w:val="2"/>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7" w:type="dxa"/>
            <w:gridSpan w:val="7"/>
            <w:tcBorders>
              <w:top w:val="nil"/>
              <w:bottom w:val="nil"/>
            </w:tcBorders>
          </w:tcPr>
          <w:p>
            <w:pPr>
              <w:pStyle w:val="nTable"/>
              <w:spacing w:after="40"/>
              <w:rPr>
                <w:snapToGrid w:val="0"/>
              </w:rPr>
            </w:pPr>
            <w:r>
              <w:rPr>
                <w:b/>
              </w:rPr>
              <w:t xml:space="preserve">Reprint 2:  The </w:t>
            </w:r>
            <w:r>
              <w:rPr>
                <w:b/>
                <w:i/>
              </w:rPr>
              <w:t>Petroleum Products Pricing Act 1983</w:t>
            </w:r>
            <w:r>
              <w:rPr>
                <w:b/>
              </w:rPr>
              <w:t xml:space="preserve"> as at 13 Oct 2006</w:t>
            </w:r>
            <w:r>
              <w:rPr>
                <w:b/>
              </w:rPr>
              <w:br/>
            </w:r>
            <w: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17</w:t>
            </w:r>
            <w:r>
              <w:rPr>
                <w:snapToGrid w:val="0"/>
                <w:vertAlign w:val="superscript"/>
              </w:rPr>
              <w:t> 4</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r>
        <w:tblPrEx>
          <w:tblCellMar>
            <w:left w:w="56" w:type="dxa"/>
            <w:right w:w="56" w:type="dxa"/>
          </w:tblCellMar>
        </w:tblPrEx>
        <w:trPr>
          <w:cantSplit/>
        </w:trPr>
        <w:tc>
          <w:tcPr>
            <w:tcW w:w="2254" w:type="dxa"/>
            <w:gridSpan w:val="2"/>
          </w:tcPr>
          <w:p>
            <w:pPr>
              <w:pStyle w:val="nTable"/>
              <w:spacing w:after="40"/>
              <w:rPr>
                <w:iCs/>
                <w:snapToGrid w:val="0"/>
              </w:rPr>
            </w:pPr>
            <w:r>
              <w:rPr>
                <w:i/>
                <w:snapToGrid w:val="0"/>
              </w:rPr>
              <w:t>Acts Amendment (Bankruptcy) Act 2009</w:t>
            </w:r>
            <w:r>
              <w:rPr>
                <w:iCs/>
                <w:snapToGrid w:val="0"/>
              </w:rPr>
              <w:t xml:space="preserve"> s. 66</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77" w:type="dxa"/>
            <w:gridSpan w:val="2"/>
          </w:tcPr>
          <w:p>
            <w:pPr>
              <w:pStyle w:val="nTable"/>
              <w:spacing w:after="40"/>
            </w:pPr>
            <w:r>
              <w:t>17 Sep 2009 (see s. 2(b))</w:t>
            </w:r>
          </w:p>
        </w:tc>
      </w:tr>
      <w:tr>
        <w:tblPrEx>
          <w:tblCellMar>
            <w:left w:w="56" w:type="dxa"/>
            <w:right w:w="56" w:type="dxa"/>
          </w:tblCellMar>
        </w:tblPrEx>
        <w:trPr>
          <w:cantSplit/>
        </w:trPr>
        <w:tc>
          <w:tcPr>
            <w:tcW w:w="2254" w:type="dxa"/>
            <w:gridSpan w:val="2"/>
            <w:tcBorders>
              <w:bottom w:val="single" w:sz="4" w:space="0" w:color="auto"/>
            </w:tcBorders>
          </w:tcPr>
          <w:p>
            <w:pPr>
              <w:pStyle w:val="nTable"/>
              <w:spacing w:after="40"/>
              <w:rPr>
                <w:i/>
                <w:snapToGrid w:val="0"/>
              </w:rPr>
            </w:pPr>
            <w:r>
              <w:rPr>
                <w:i/>
                <w:snapToGrid w:val="0"/>
              </w:rPr>
              <w:t>Consumer Protection Legislation Amendment Act 2014</w:t>
            </w:r>
            <w:r>
              <w:rPr>
                <w:snapToGrid w:val="0"/>
              </w:rPr>
              <w:t xml:space="preserve"> Pt. 9</w:t>
            </w:r>
          </w:p>
        </w:tc>
        <w:tc>
          <w:tcPr>
            <w:tcW w:w="1134" w:type="dxa"/>
            <w:gridSpan w:val="2"/>
            <w:tcBorders>
              <w:bottom w:val="single" w:sz="4" w:space="0" w:color="auto"/>
            </w:tcBorders>
          </w:tcPr>
          <w:p>
            <w:pPr>
              <w:pStyle w:val="nTable"/>
              <w:spacing w:after="40"/>
            </w:pPr>
            <w:r>
              <w:rPr>
                <w:snapToGrid w:val="0"/>
              </w:rPr>
              <w:t>23 of 2014</w:t>
            </w:r>
          </w:p>
        </w:tc>
        <w:tc>
          <w:tcPr>
            <w:tcW w:w="1134" w:type="dxa"/>
            <w:gridSpan w:val="2"/>
            <w:tcBorders>
              <w:bottom w:val="single" w:sz="4" w:space="0" w:color="auto"/>
            </w:tcBorders>
          </w:tcPr>
          <w:p>
            <w:pPr>
              <w:pStyle w:val="nTable"/>
              <w:spacing w:after="40"/>
            </w:pPr>
            <w:r>
              <w:rPr>
                <w:snapToGrid w:val="0"/>
              </w:rPr>
              <w:t>9 Oct 2014</w:t>
            </w:r>
          </w:p>
        </w:tc>
        <w:tc>
          <w:tcPr>
            <w:tcW w:w="2577" w:type="dxa"/>
            <w:gridSpan w:val="2"/>
            <w:tcBorders>
              <w:bottom w:val="single" w:sz="4" w:space="0" w:color="auto"/>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80" w:name="_Toc404158717"/>
      <w:bookmarkStart w:id="181" w:name="_Toc416961749"/>
      <w:r>
        <w:t>Provisions that have not come into operation</w:t>
      </w:r>
      <w:bookmarkEnd w:id="180"/>
      <w:bookmarkEnd w:id="181"/>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615"/>
      </w:tblGrid>
      <w:tr>
        <w:tc>
          <w:tcPr>
            <w:tcW w:w="2273" w:type="dxa"/>
            <w:tcBorders>
              <w:bottom w:val="single" w:sz="4" w:space="0" w:color="auto"/>
            </w:tcBorders>
          </w:tcPr>
          <w:p>
            <w:pPr>
              <w:pStyle w:val="nTable"/>
              <w:keepNext/>
              <w:keepLines/>
              <w:spacing w:after="40"/>
              <w:rPr>
                <w:b/>
                <w:snapToGrid w:val="0"/>
              </w:rPr>
            </w:pPr>
            <w:r>
              <w:rPr>
                <w:b/>
                <w:snapToGrid w:val="0"/>
              </w:rPr>
              <w:t>Short title</w:t>
            </w:r>
          </w:p>
        </w:tc>
        <w:tc>
          <w:tcPr>
            <w:tcW w:w="1134"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615" w:type="dxa"/>
            <w:tcBorders>
              <w:bottom w:val="single" w:sz="4" w:space="0" w:color="auto"/>
            </w:tcBorders>
          </w:tcPr>
          <w:p>
            <w:pPr>
              <w:pStyle w:val="nTable"/>
              <w:keepNext/>
              <w:keepLines/>
              <w:spacing w:after="40"/>
              <w:rPr>
                <w:b/>
                <w:snapToGrid w:val="0"/>
              </w:rPr>
            </w:pPr>
            <w:r>
              <w:rPr>
                <w:b/>
                <w:snapToGrid w:val="0"/>
              </w:rPr>
              <w:t>Commencement</w:t>
            </w:r>
          </w:p>
        </w:tc>
      </w:tr>
      <w:tr>
        <w:tc>
          <w:tcPr>
            <w:tcW w:w="2273" w:type="dxa"/>
            <w:tcBorders>
              <w:top w:val="single" w:sz="4" w:space="0" w:color="auto"/>
              <w:bottom w:val="single" w:sz="4" w:space="0" w:color="auto"/>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40</w:t>
            </w:r>
            <w:r>
              <w:rPr>
                <w:snapToGrid w:val="0"/>
                <w:vertAlign w:val="superscript"/>
              </w:rPr>
              <w:t> 6</w:t>
            </w:r>
          </w:p>
        </w:tc>
        <w:tc>
          <w:tcPr>
            <w:tcW w:w="1134" w:type="dxa"/>
            <w:tcBorders>
              <w:top w:val="single" w:sz="4" w:space="0" w:color="auto"/>
              <w:bottom w:val="single" w:sz="4" w:space="0" w:color="auto"/>
            </w:tcBorders>
          </w:tcPr>
          <w:p>
            <w:pPr>
              <w:pStyle w:val="nTable"/>
              <w:keepNext/>
              <w:keepLines/>
              <w:spacing w:after="40"/>
              <w:rPr>
                <w:snapToGrid w:val="0"/>
              </w:rPr>
            </w:pPr>
            <w:r>
              <w:rPr>
                <w:snapToGrid w:val="0"/>
              </w:rPr>
              <w:t>8 of 2012</w:t>
            </w:r>
          </w:p>
        </w:tc>
        <w:tc>
          <w:tcPr>
            <w:tcW w:w="1134" w:type="dxa"/>
            <w:tcBorders>
              <w:top w:val="single" w:sz="4" w:space="0" w:color="auto"/>
              <w:bottom w:val="single" w:sz="4" w:space="0" w:color="auto"/>
            </w:tcBorders>
          </w:tcPr>
          <w:p>
            <w:pPr>
              <w:pStyle w:val="nTable"/>
              <w:keepNext/>
              <w:keepLines/>
              <w:spacing w:after="40"/>
              <w:rPr>
                <w:snapToGrid w:val="0"/>
              </w:rPr>
            </w:pPr>
            <w:r>
              <w:t>21 May 2012</w:t>
            </w:r>
          </w:p>
        </w:tc>
        <w:tc>
          <w:tcPr>
            <w:tcW w:w="2615" w:type="dxa"/>
            <w:tcBorders>
              <w:top w:val="single" w:sz="4" w:space="0" w:color="auto"/>
              <w:bottom w:val="single" w:sz="4" w:space="0" w:color="auto"/>
            </w:tcBorders>
          </w:tcPr>
          <w:p>
            <w:pPr>
              <w:pStyle w:val="nTable"/>
              <w:keepNext/>
              <w:keepLines/>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Next/>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40 had not come into operation.  It reads as follows:</w:t>
      </w:r>
    </w:p>
    <w:p>
      <w:pPr>
        <w:pStyle w:val="BlankOpen"/>
        <w:rPr>
          <w:snapToGrid w:val="0"/>
        </w:rPr>
      </w:pPr>
    </w:p>
    <w:p>
      <w:pPr>
        <w:pStyle w:val="nzHeading3"/>
      </w:pPr>
      <w:r>
        <w:rPr>
          <w:rStyle w:val="CharDivNo"/>
        </w:rPr>
        <w:t>Division 40</w:t>
      </w:r>
      <w:r>
        <w:t> — </w:t>
      </w:r>
      <w:r>
        <w:rPr>
          <w:rStyle w:val="CharDivText"/>
          <w:i/>
          <w:iCs/>
        </w:rPr>
        <w:t>Petroleum Products Pricing Act 1983</w:t>
      </w:r>
      <w:r>
        <w:rPr>
          <w:rStyle w:val="CharDivText"/>
        </w:rPr>
        <w:t xml:space="preserve"> amended</w:t>
      </w:r>
    </w:p>
    <w:p>
      <w:pPr>
        <w:pStyle w:val="nzHeading5"/>
        <w:rPr>
          <w:snapToGrid w:val="0"/>
        </w:rPr>
      </w:pPr>
      <w:r>
        <w:rPr>
          <w:rStyle w:val="CharSectno"/>
        </w:rPr>
        <w:t>158</w:t>
      </w:r>
      <w:r>
        <w:rPr>
          <w:snapToGrid w:val="0"/>
        </w:rPr>
        <w:t>.</w:t>
      </w:r>
      <w:r>
        <w:rPr>
          <w:snapToGrid w:val="0"/>
        </w:rPr>
        <w:tab/>
        <w:t>Act amended</w:t>
      </w:r>
    </w:p>
    <w:p>
      <w:pPr>
        <w:pStyle w:val="nzSubsection"/>
      </w:pPr>
      <w:r>
        <w:tab/>
      </w:r>
      <w:r>
        <w:tab/>
        <w:t xml:space="preserve">This Division amends the </w:t>
      </w:r>
      <w:r>
        <w:rPr>
          <w:i/>
        </w:rPr>
        <w:t>Petroleum Products Pricing Act 1983</w:t>
      </w:r>
      <w:r>
        <w:t>.</w:t>
      </w:r>
    </w:p>
    <w:p>
      <w:pPr>
        <w:pStyle w:val="nzHeading5"/>
      </w:pPr>
      <w:r>
        <w:rPr>
          <w:rStyle w:val="CharSectno"/>
        </w:rPr>
        <w:t>159</w:t>
      </w:r>
      <w:r>
        <w:t>.</w:t>
      </w:r>
      <w:r>
        <w:tab/>
        <w:t>Section 3 amended</w:t>
      </w:r>
    </w:p>
    <w:p>
      <w:pPr>
        <w:pStyle w:val="nzSubsection"/>
      </w:pPr>
      <w:r>
        <w:tab/>
      </w:r>
      <w:r>
        <w:tab/>
        <w:t xml:space="preserve">In section 3(1) in the definition of </w:t>
      </w:r>
      <w:r>
        <w:rPr>
          <w:b/>
          <w:bCs/>
          <w:i/>
          <w:iCs/>
        </w:rPr>
        <w:t>motor vehicle</w:t>
      </w:r>
      <w:r>
        <w:t xml:space="preserve"> delete “section 5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4;</w:t>
      </w:r>
    </w:p>
    <w:p>
      <w:pPr>
        <w:pStyle w:val="BlankClose"/>
      </w:pPr>
    </w:p>
    <w:p>
      <w:pPr>
        <w:pStyle w:val="BlankClose"/>
      </w:pPr>
    </w:p>
    <w:p>
      <w:pPr>
        <w:rPr>
          <w:sz w:val="20"/>
        </w:rPr>
      </w:pPr>
    </w:p>
    <w:p>
      <w:pPr>
        <w:rPr>
          <w:sz w:val="20"/>
        </w:r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83" w:name="_Toc416961750"/>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31A</w:t>
      </w:r>
    </w:p>
    <w:p>
      <w:pPr>
        <w:pStyle w:val="DefinedTerms"/>
      </w:pPr>
      <w:r>
        <w:t>Commissioner</w:t>
      </w:r>
      <w:r>
        <w:tab/>
        <w:t>3(1)</w:t>
      </w:r>
    </w:p>
    <w:p>
      <w:pPr>
        <w:pStyle w:val="DefinedTerms"/>
      </w:pPr>
      <w:r>
        <w:t>committee</w:t>
      </w:r>
      <w:r>
        <w:tab/>
        <w:t>3(1)</w:t>
      </w:r>
    </w:p>
    <w:p>
      <w:pPr>
        <w:pStyle w:val="DefinedTerms"/>
      </w:pPr>
      <w:r>
        <w:t>consumer representative</w:t>
      </w:r>
      <w:r>
        <w:tab/>
        <w:t>8(7)</w:t>
      </w:r>
    </w:p>
    <w:p>
      <w:pPr>
        <w:pStyle w:val="DefinedTerms"/>
      </w:pPr>
      <w:r>
        <w:t>controlled petroleum product</w:t>
      </w:r>
      <w:r>
        <w:tab/>
        <w:t>3(1)</w:t>
      </w:r>
    </w:p>
    <w:p>
      <w:pPr>
        <w:pStyle w:val="DefinedTerms"/>
      </w:pPr>
      <w:r>
        <w:t>controlled petroleum service</w:t>
      </w:r>
      <w:r>
        <w:tab/>
        <w:t>3(1)</w:t>
      </w:r>
    </w:p>
    <w:p>
      <w:pPr>
        <w:pStyle w:val="DefinedTerms"/>
      </w:pPr>
      <w:r>
        <w:t>date of fixation</w:t>
      </w:r>
      <w:r>
        <w:tab/>
        <w:t>16(4)</w:t>
      </w:r>
    </w:p>
    <w:p>
      <w:pPr>
        <w:pStyle w:val="DefinedTerms"/>
      </w:pPr>
      <w:r>
        <w:t>declared petroleum product</w:t>
      </w:r>
      <w:r>
        <w:tab/>
        <w:t>3(1)</w:t>
      </w:r>
    </w:p>
    <w:p>
      <w:pPr>
        <w:pStyle w:val="DefinedTerms"/>
      </w:pPr>
      <w:r>
        <w:t>declared petroleum service</w:t>
      </w:r>
      <w:r>
        <w:tab/>
        <w:t>3(1)</w:t>
      </w:r>
    </w:p>
    <w:p>
      <w:pPr>
        <w:pStyle w:val="DefinedTerms"/>
      </w:pPr>
      <w:r>
        <w:t>declared terminal</w:t>
      </w:r>
      <w:r>
        <w:tab/>
        <w:t>22A(1)</w:t>
      </w:r>
    </w:p>
    <w:p>
      <w:pPr>
        <w:pStyle w:val="DefinedTerms"/>
      </w:pPr>
      <w:r>
        <w:t>Department</w:t>
      </w:r>
      <w:r>
        <w:tab/>
        <w:t>3(1)</w:t>
      </w:r>
    </w:p>
    <w:p>
      <w:pPr>
        <w:pStyle w:val="DefinedTerms"/>
      </w:pPr>
      <w:r>
        <w:t>dispensing equipment</w:t>
      </w:r>
      <w:r>
        <w:tab/>
        <w:t>3(1)</w:t>
      </w:r>
    </w:p>
    <w:p>
      <w:pPr>
        <w:pStyle w:val="DefinedTerms"/>
      </w:pPr>
      <w:r>
        <w:t>documents</w:t>
      </w:r>
      <w:r>
        <w:tab/>
        <w:t>3(1)</w:t>
      </w:r>
    </w:p>
    <w:p>
      <w:pPr>
        <w:pStyle w:val="DefinedTerms"/>
      </w:pPr>
      <w:r>
        <w:t>executive officer</w:t>
      </w:r>
      <w:r>
        <w:tab/>
        <w:t>5(3)</w:t>
      </w:r>
    </w:p>
    <w:p>
      <w:pPr>
        <w:pStyle w:val="DefinedTerms"/>
      </w:pPr>
      <w:r>
        <w:t>franchise agreement</w:t>
      </w:r>
      <w:r>
        <w:tab/>
        <w:t>3(1)</w:t>
      </w:r>
    </w:p>
    <w:p>
      <w:pPr>
        <w:pStyle w:val="DefinedTerms"/>
      </w:pPr>
      <w:r>
        <w:t>kind of motor fuel</w:t>
      </w:r>
      <w:r>
        <w:tab/>
        <w:t>22A(1), 22H</w:t>
      </w:r>
    </w:p>
    <w:p>
      <w:pPr>
        <w:pStyle w:val="DefinedTerms"/>
      </w:pPr>
      <w:r>
        <w:t>landed cost</w:t>
      </w:r>
      <w:r>
        <w:tab/>
        <w:t>3(1)</w:t>
      </w:r>
    </w:p>
    <w:p>
      <w:pPr>
        <w:pStyle w:val="DefinedTerms"/>
      </w:pPr>
      <w:r>
        <w:t>LPG</w:t>
      </w:r>
      <w:r>
        <w:tab/>
        <w:t>3(1)</w:t>
      </w:r>
    </w:p>
    <w:p>
      <w:pPr>
        <w:pStyle w:val="DefinedTerms"/>
      </w:pPr>
      <w:r>
        <w:t>motor fuel</w:t>
      </w:r>
      <w:r>
        <w:tab/>
        <w:t>3(1)</w:t>
      </w:r>
    </w:p>
    <w:p>
      <w:pPr>
        <w:pStyle w:val="DefinedTerms"/>
      </w:pPr>
      <w:r>
        <w:t>motor vehicle</w:t>
      </w:r>
      <w:r>
        <w:tab/>
        <w:t>3(1)</w:t>
      </w:r>
    </w:p>
    <w:p>
      <w:pPr>
        <w:pStyle w:val="DefinedTerms"/>
      </w:pPr>
      <w:r>
        <w:t>offer</w:t>
      </w:r>
      <w:r>
        <w:tab/>
        <w:t>22A(1)</w:t>
      </w:r>
    </w:p>
    <w:p>
      <w:pPr>
        <w:pStyle w:val="DefinedTerms"/>
      </w:pPr>
      <w:r>
        <w:t>officer</w:t>
      </w:r>
      <w:r>
        <w:tab/>
        <w:t>31H(3)</w:t>
      </w:r>
    </w:p>
    <w:p>
      <w:pPr>
        <w:pStyle w:val="DefinedTerms"/>
      </w:pPr>
      <w:r>
        <w:t>order</w:t>
      </w:r>
      <w:r>
        <w:tab/>
        <w:t>3(1)</w:t>
      </w:r>
    </w:p>
    <w:p>
      <w:pPr>
        <w:pStyle w:val="DefinedTerms"/>
      </w:pPr>
      <w:r>
        <w:t>paragraph</w:t>
      </w:r>
      <w:r>
        <w:tab/>
        <w:t>3(1)</w:t>
      </w:r>
    </w:p>
    <w:p>
      <w:pPr>
        <w:pStyle w:val="DefinedTerms"/>
      </w:pPr>
      <w:r>
        <w:t>Part</w:t>
      </w:r>
      <w:r>
        <w:tab/>
        <w:t>3(1)</w:t>
      </w:r>
    </w:p>
    <w:p>
      <w:pPr>
        <w:pStyle w:val="DefinedTerms"/>
      </w:pPr>
      <w:r>
        <w:t>petroleum</w:t>
      </w:r>
      <w:r>
        <w:tab/>
        <w:t>3(1)</w:t>
      </w:r>
    </w:p>
    <w:p>
      <w:pPr>
        <w:pStyle w:val="DefinedTerms"/>
      </w:pPr>
      <w:r>
        <w:t>petroleum product</w:t>
      </w:r>
      <w:r>
        <w:tab/>
        <w:t>3(1)</w:t>
      </w:r>
    </w:p>
    <w:p>
      <w:pPr>
        <w:pStyle w:val="DefinedTerms"/>
      </w:pPr>
      <w:r>
        <w:t>petroleum service</w:t>
      </w:r>
      <w:r>
        <w:tab/>
        <w:t>3(1)</w:t>
      </w:r>
    </w:p>
    <w:p>
      <w:pPr>
        <w:pStyle w:val="DefinedTerms"/>
      </w:pPr>
      <w:r>
        <w:t>prescribed</w:t>
      </w:r>
      <w:r>
        <w:tab/>
        <w:t>31A</w:t>
      </w:r>
    </w:p>
    <w:p>
      <w:pPr>
        <w:pStyle w:val="DefinedTerms"/>
      </w:pPr>
      <w:r>
        <w:t>price</w:t>
      </w:r>
      <w:r>
        <w:tab/>
        <w:t>3(1)</w:t>
      </w:r>
    </w:p>
    <w:p>
      <w:pPr>
        <w:pStyle w:val="DefinedTerms"/>
      </w:pPr>
      <w:r>
        <w:t>rate</w:t>
      </w:r>
      <w:r>
        <w:tab/>
        <w:t>3(1)</w:t>
      </w:r>
    </w:p>
    <w:p>
      <w:pPr>
        <w:pStyle w:val="DefinedTerms"/>
      </w:pPr>
      <w:r>
        <w:t>relevant price</w:t>
      </w:r>
      <w:r>
        <w:tab/>
        <w:t>22A(1)</w:t>
      </w:r>
    </w:p>
    <w:p>
      <w:pPr>
        <w:pStyle w:val="DefinedTerms"/>
      </w:pPr>
      <w:r>
        <w:t>relevant supply</w:t>
      </w:r>
      <w:r>
        <w:tab/>
        <w:t>22E(1)</w:t>
      </w:r>
    </w:p>
    <w:p>
      <w:pPr>
        <w:pStyle w:val="DefinedTerms"/>
      </w:pPr>
      <w:r>
        <w:t>section</w:t>
      </w:r>
      <w:r>
        <w:tab/>
        <w:t>3(1)</w:t>
      </w:r>
    </w:p>
    <w:p>
      <w:pPr>
        <w:pStyle w:val="DefinedTerms"/>
      </w:pPr>
      <w:r>
        <w:t>services</w:t>
      </w:r>
      <w:r>
        <w:tab/>
        <w:t>3(1)</w:t>
      </w:r>
    </w:p>
    <w:p>
      <w:pPr>
        <w:pStyle w:val="DefinedTerms"/>
      </w:pPr>
      <w:r>
        <w:t>standard retail price</w:t>
      </w:r>
      <w:r>
        <w:tab/>
        <w:t>22H</w:t>
      </w:r>
    </w:p>
    <w:p>
      <w:pPr>
        <w:pStyle w:val="DefinedTerms"/>
      </w:pPr>
      <w:r>
        <w:t>subsection</w:t>
      </w:r>
      <w:r>
        <w:tab/>
        <w:t>3(1)</w:t>
      </w:r>
    </w:p>
    <w:p>
      <w:pPr>
        <w:pStyle w:val="DefinedTerms"/>
      </w:pPr>
      <w:r>
        <w:t>supplier</w:t>
      </w:r>
      <w:r>
        <w:tab/>
        <w:t>22A(1)</w:t>
      </w:r>
    </w:p>
    <w:p>
      <w:pPr>
        <w:pStyle w:val="DefinedTerms"/>
      </w:pPr>
      <w:r>
        <w:t>terminal</w:t>
      </w:r>
      <w:r>
        <w:tab/>
        <w:t>22A(1)</w:t>
      </w:r>
    </w:p>
    <w:p>
      <w:pPr>
        <w:pStyle w:val="DefinedTerms"/>
      </w:pPr>
      <w:r>
        <w:t>the aggrieved person</w:t>
      </w:r>
      <w:r>
        <w:tab/>
        <w:t>22G(2)</w:t>
      </w:r>
    </w:p>
    <w:p>
      <w:pPr>
        <w:pStyle w:val="DefinedTerms"/>
      </w:pPr>
      <w:r>
        <w:t>the impost rate</w:t>
      </w:r>
      <w:r>
        <w:tab/>
        <w:t>12(4a)</w:t>
      </w:r>
    </w:p>
    <w:p>
      <w:pPr>
        <w:pStyle w:val="DefinedTerms"/>
      </w:pPr>
      <w:r>
        <w:t>the new impost</w:t>
      </w:r>
      <w:r>
        <w:tab/>
        <w:t>12(4a)</w:t>
      </w:r>
    </w:p>
    <w:p>
      <w:pPr>
        <w:pStyle w:val="DefinedTerms"/>
      </w:pPr>
      <w:r>
        <w:t>the vendor</w:t>
      </w:r>
      <w:r>
        <w:tab/>
        <w:t>18(1)</w:t>
      </w:r>
    </w:p>
    <w:p>
      <w:pPr>
        <w:pStyle w:val="DefinedTerms"/>
      </w:pPr>
      <w:r>
        <w:t>trade representative</w:t>
      </w:r>
      <w:r>
        <w:tab/>
        <w:t>8(7)</w:t>
      </w:r>
    </w:p>
    <w:p>
      <w:pPr>
        <w:pStyle w:val="DefinedTerms"/>
      </w:pPr>
      <w:r>
        <w:t>working day</w:t>
      </w:r>
      <w:r>
        <w:tab/>
        <w:t>11(3)</w:t>
      </w:r>
    </w:p>
    <w:p>
      <w:pPr>
        <w:rPr>
          <w:sz w:val="20"/>
        </w:rPr>
      </w:pPr>
    </w:p>
    <w:p>
      <w:pPr>
        <w:rPr>
          <w:sz w:val="20"/>
        </w:rPr>
        <w:sectPr>
          <w:headerReference w:type="even" r:id="rId31"/>
          <w:headerReference w:type="default" r:id="rId32"/>
          <w:pgSz w:w="11907" w:h="16840" w:code="9"/>
          <w:pgMar w:top="2381" w:right="2409" w:bottom="3543" w:left="2409" w:header="720" w:footer="3380" w:gutter="0"/>
          <w:cols w:space="720"/>
          <w:noEndnote/>
          <w:docGrid w:linePitch="326"/>
        </w:sectPr>
      </w:pPr>
    </w:p>
    <w:p>
      <w:pPr>
        <w:rPr>
          <w:sz w:val="2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Act 1983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05"/>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 w:name="WAFER_20141119103414" w:val="RemoveTocBookmarks,RunningHeaders"/>
    <w:docVar w:name="WAFER_20141119103414_GUID" w:val="6cea50ca-6a67-463c-a913-695b3dc1d9df"/>
    <w:docVar w:name="WAFER_20141119103427" w:val="RemoveTocBookmarks,RunningHeaders"/>
    <w:docVar w:name="WAFER_20141119103427_GUID" w:val="34a94fed-c2c9-459e-8c86-caf4339608b8"/>
    <w:docVar w:name="WAFER_20150416145205" w:val="ResetPageSize,UpdateArrangement,UpdateNTable"/>
    <w:docVar w:name="WAFER_20150416145205_GUID" w:val="a1885a53-c7c6-4249-bff3-6ea1164de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15723</Words>
  <Characters>76414</Characters>
  <Application>Microsoft Office Word</Application>
  <DocSecurity>0</DocSecurity>
  <Lines>2247</Lines>
  <Paragraphs>1354</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90783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1983 - 02-f0-01</dc:title>
  <dc:subject/>
  <dc:creator/>
  <cp:keywords/>
  <dc:description/>
  <cp:lastModifiedBy>svcMRProcess</cp:lastModifiedBy>
  <cp:revision>4</cp:revision>
  <cp:lastPrinted>2006-10-12T07:03:00Z</cp:lastPrinted>
  <dcterms:created xsi:type="dcterms:W3CDTF">2018-09-06T07:38:00Z</dcterms:created>
  <dcterms:modified xsi:type="dcterms:W3CDTF">2018-09-06T07:38:00Z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598</vt:i4>
  </property>
  <property fmtid="{D5CDD505-2E9C-101B-9397-08002B2CF9AE}" pid="6" name="AsAtDate">
    <vt:lpwstr>19 Nov 2014</vt:lpwstr>
  </property>
  <property fmtid="{D5CDD505-2E9C-101B-9397-08002B2CF9AE}" pid="7" name="Suffix">
    <vt:lpwstr>02-f0-01</vt:lpwstr>
  </property>
</Properties>
</file>