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after="480"/>
        <w:outlineLvl w:val="0"/>
      </w:pPr>
      <w:bookmarkStart w:id="0" w:name="_GoBack"/>
      <w:bookmarkEnd w:id="0"/>
      <w:r>
        <w:t>Western Australia</w:t>
      </w:r>
    </w:p>
    <w:p>
      <w:pPr>
        <w:pStyle w:val="NameofActRegPage1"/>
        <w:spacing w:after="0"/>
      </w:pPr>
      <w:bookmarkStart w:id="1" w:name="Arrangement"/>
      <w:bookmarkEnd w:id="1"/>
      <w:r>
        <w:t>Environmental Protection Amendment (Validation) Act 2014</w:t>
      </w:r>
    </w:p>
    <w:p>
      <w:pPr>
        <w:pStyle w:val="ABillFor"/>
        <w:spacing w:after="240"/>
      </w:pPr>
      <w:r>
        <w:t>(No. 27 of 2014)</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tab/>
      </w:r>
      <w:r>
        <w:rPr>
          <w:snapToGrid w:val="0"/>
        </w:rPr>
        <w:t>Short title</w:t>
      </w:r>
      <w:r>
        <w:tab/>
      </w:r>
      <w:r>
        <w:fldChar w:fldCharType="begin"/>
      </w:r>
      <w:r>
        <w:instrText xml:space="preserve"> PAGEREF _Toc404931553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_Toc404931554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_Toc404931555 \h </w:instrText>
      </w:r>
      <w:r>
        <w:fldChar w:fldCharType="separate"/>
      </w:r>
      <w:r>
        <w:t>2</w:t>
      </w:r>
      <w:r>
        <w:fldChar w:fldCharType="end"/>
      </w:r>
    </w:p>
    <w:p>
      <w:pPr>
        <w:pStyle w:val="TOC8"/>
        <w:rPr>
          <w:rFonts w:asciiTheme="minorHAnsi" w:eastAsiaTheme="minorEastAsia" w:hAnsiTheme="minorHAnsi" w:cstheme="minorBidi"/>
          <w:szCs w:val="22"/>
        </w:rPr>
      </w:pPr>
      <w:r>
        <w:t>4.</w:t>
      </w:r>
      <w:r>
        <w:tab/>
        <w:t>Part X inserted</w:t>
      </w:r>
      <w:r>
        <w:tab/>
      </w:r>
      <w:r>
        <w:fldChar w:fldCharType="begin"/>
      </w:r>
      <w:r>
        <w:instrText xml:space="preserve"> PAGEREF _Toc404931556 \h </w:instrText>
      </w:r>
      <w:r>
        <w:fldChar w:fldCharType="separate"/>
      </w:r>
      <w:r>
        <w:t>2</w:t>
      </w:r>
      <w:r>
        <w:fldChar w:fldCharType="end"/>
      </w:r>
    </w:p>
    <w:p>
      <w:pPr>
        <w:pStyle w:val="TOC3"/>
        <w:tabs>
          <w:tab w:val="right" w:pos="7077"/>
        </w:tabs>
        <w:rPr>
          <w:rFonts w:asciiTheme="minorHAnsi" w:eastAsiaTheme="minorEastAsia" w:hAnsiTheme="minorHAnsi" w:cstheme="minorBidi"/>
          <w:b w:val="0"/>
          <w:sz w:val="22"/>
          <w:szCs w:val="22"/>
        </w:rPr>
      </w:pPr>
      <w:r>
        <w:t>Part X</w:t>
      </w:r>
      <w:r>
        <w:rPr>
          <w:b w:val="0"/>
        </w:rPr>
        <w:t> </w:t>
      </w:r>
      <w:r>
        <w:t>—</w:t>
      </w:r>
      <w:r>
        <w:rPr>
          <w:b w:val="0"/>
        </w:rPr>
        <w:t> </w:t>
      </w:r>
      <w:r>
        <w:t>Validation</w:t>
      </w:r>
    </w:p>
    <w:p>
      <w:pPr>
        <w:pStyle w:val="TOC9"/>
        <w:rPr>
          <w:rFonts w:asciiTheme="minorHAnsi" w:eastAsiaTheme="minorEastAsia" w:hAnsiTheme="minorHAnsi" w:cstheme="minorBidi"/>
          <w:noProof/>
          <w:sz w:val="22"/>
          <w:szCs w:val="22"/>
        </w:rPr>
      </w:pPr>
      <w:r>
        <w:rPr>
          <w:noProof/>
        </w:rPr>
        <w:t>134.</w:t>
      </w:r>
      <w:r>
        <w:rPr>
          <w:noProof/>
        </w:rPr>
        <w:tab/>
        <w:t>Terms used</w:t>
      </w:r>
      <w:r>
        <w:rPr>
          <w:noProof/>
        </w:rPr>
        <w:tab/>
      </w:r>
      <w:r>
        <w:rPr>
          <w:noProof/>
        </w:rPr>
        <w:fldChar w:fldCharType="begin"/>
      </w:r>
      <w:r>
        <w:rPr>
          <w:noProof/>
        </w:rPr>
        <w:instrText xml:space="preserve"> PAGEREF _Toc404931558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135.</w:t>
      </w:r>
      <w:r>
        <w:rPr>
          <w:noProof/>
        </w:rPr>
        <w:tab/>
        <w:t>Grounds of invalidity</w:t>
      </w:r>
      <w:r>
        <w:rPr>
          <w:noProof/>
        </w:rPr>
        <w:tab/>
      </w:r>
      <w:r>
        <w:rPr>
          <w:noProof/>
        </w:rPr>
        <w:fldChar w:fldCharType="begin"/>
      </w:r>
      <w:r>
        <w:rPr>
          <w:noProof/>
        </w:rPr>
        <w:instrText xml:space="preserve"> PAGEREF _Toc404931559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136.</w:t>
      </w:r>
      <w:r>
        <w:rPr>
          <w:noProof/>
        </w:rPr>
        <w:tab/>
        <w:t>Certain proceedings of Environmental Protection Authority and other things validated</w:t>
      </w:r>
      <w:r>
        <w:rPr>
          <w:noProof/>
        </w:rPr>
        <w:tab/>
      </w:r>
      <w:r>
        <w:rPr>
          <w:noProof/>
        </w:rPr>
        <w:fldChar w:fldCharType="begin"/>
      </w:r>
      <w:r>
        <w:rPr>
          <w:noProof/>
        </w:rPr>
        <w:instrText xml:space="preserve"> PAGEREF _Toc404931560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137.</w:t>
      </w:r>
      <w:r>
        <w:rPr>
          <w:noProof/>
        </w:rPr>
        <w:tab/>
        <w:t>Exclusions from validation</w:t>
      </w:r>
      <w:r>
        <w:rPr>
          <w:noProof/>
        </w:rPr>
        <w:tab/>
      </w:r>
      <w:r>
        <w:rPr>
          <w:noProof/>
        </w:rPr>
        <w:fldChar w:fldCharType="begin"/>
      </w:r>
      <w:r>
        <w:rPr>
          <w:noProof/>
        </w:rPr>
        <w:instrText xml:space="preserve"> PAGEREF _Toc404931561 \h </w:instrText>
      </w:r>
      <w:r>
        <w:rPr>
          <w:noProof/>
        </w:rPr>
      </w:r>
      <w:r>
        <w:rPr>
          <w:noProof/>
        </w:rPr>
        <w:fldChar w:fldCharType="separate"/>
      </w:r>
      <w:r>
        <w:rPr>
          <w:noProof/>
        </w:rPr>
        <w:t>5</w:t>
      </w:r>
      <w:r>
        <w:rPr>
          <w:noProof/>
        </w:rPr>
        <w:fldChar w:fldCharType="end"/>
      </w:r>
    </w:p>
    <w:p>
      <w:pPr>
        <w:pStyle w:val="NoteHeading"/>
        <w:rPr>
          <w:rStyle w:val="CharSClsNo"/>
          <w:sz w:val="24"/>
          <w:szCs w:val="24"/>
        </w:rPr>
      </w:pPr>
      <w:r>
        <w:fldChar w:fldCharType="end"/>
      </w: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20"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Environmental Protection Amendment (Validation) Act 2014</w:t>
      </w:r>
    </w:p>
    <w:p>
      <w:pPr>
        <w:pStyle w:val="ABillFor"/>
        <w:pBdr>
          <w:top w:val="single" w:sz="4" w:space="6" w:color="auto"/>
          <w:bottom w:val="single" w:sz="4" w:space="6" w:color="auto"/>
        </w:pBdr>
        <w:spacing w:before="0" w:after="240"/>
        <w:ind w:left="2551" w:right="2551"/>
      </w:pPr>
      <w:bookmarkStart w:id="3" w:name="BillCited"/>
      <w:bookmarkEnd w:id="3"/>
      <w:r>
        <w:t>No. 27 of 2014</w:t>
      </w:r>
    </w:p>
    <w:p>
      <w:pPr>
        <w:pStyle w:val="LongTitle"/>
        <w:suppressLineNumbers/>
      </w:pPr>
      <w:r>
        <w:rPr>
          <w:snapToGrid w:val="0"/>
        </w:rPr>
        <w:t xml:space="preserve">An Act to amend the </w:t>
      </w:r>
      <w:r>
        <w:rPr>
          <w:i/>
          <w:snapToGrid w:val="0"/>
        </w:rPr>
        <w:t>Environmental Protection Act 1986</w:t>
      </w:r>
      <w:r>
        <w:t xml:space="preserve"> to validate certain proceedings of the Environmental Protection Authority and for related purposes.</w:t>
      </w:r>
    </w:p>
    <w:p>
      <w:pPr>
        <w:pStyle w:val="AssentNote"/>
      </w:pPr>
      <w:r>
        <w:t>[Assented to 27 November 2014]</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404160911"/>
      <w:bookmarkStart w:id="5" w:name="_Toc404931553"/>
      <w:r>
        <w:rPr>
          <w:rStyle w:val="CharSectno"/>
        </w:rPr>
        <w:lastRenderedPageBreak/>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Environmental Protection Amendment (Validation) Act 2014</w:t>
      </w:r>
      <w:r>
        <w:rPr>
          <w:snapToGrid w:val="0"/>
        </w:rPr>
        <w:t>.</w:t>
      </w:r>
    </w:p>
    <w:p>
      <w:pPr>
        <w:pStyle w:val="Heading5"/>
        <w:rPr>
          <w:snapToGrid w:val="0"/>
        </w:rPr>
      </w:pPr>
      <w:bookmarkStart w:id="6" w:name="_Toc404160912"/>
      <w:bookmarkStart w:id="7" w:name="_Toc404931554"/>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on the day on which it receives the Royal Assent.</w:t>
      </w:r>
    </w:p>
    <w:p>
      <w:pPr>
        <w:pStyle w:val="Heading5"/>
        <w:rPr>
          <w:snapToGrid w:val="0"/>
        </w:rPr>
      </w:pPr>
      <w:bookmarkStart w:id="8" w:name="_Toc404160913"/>
      <w:bookmarkStart w:id="9" w:name="_Toc404931555"/>
      <w:r>
        <w:rPr>
          <w:rStyle w:val="CharSectno"/>
        </w:rPr>
        <w:t>3</w:t>
      </w:r>
      <w:r>
        <w:rPr>
          <w:snapToGrid w:val="0"/>
        </w:rPr>
        <w:t>.</w:t>
      </w:r>
      <w:r>
        <w:rPr>
          <w:snapToGrid w:val="0"/>
        </w:rPr>
        <w:tab/>
        <w:t>Act amended</w:t>
      </w:r>
      <w:bookmarkEnd w:id="8"/>
      <w:bookmarkEnd w:id="9"/>
    </w:p>
    <w:p>
      <w:pPr>
        <w:pStyle w:val="Subsection"/>
      </w:pPr>
      <w:r>
        <w:tab/>
      </w:r>
      <w:r>
        <w:tab/>
        <w:t xml:space="preserve">This Act amends the </w:t>
      </w:r>
      <w:r>
        <w:rPr>
          <w:i/>
        </w:rPr>
        <w:t>Environmental Protection Act 1986</w:t>
      </w:r>
      <w:r>
        <w:t>.</w:t>
      </w:r>
    </w:p>
    <w:p>
      <w:pPr>
        <w:pStyle w:val="Heading5"/>
      </w:pPr>
      <w:bookmarkStart w:id="10" w:name="_Toc387759677"/>
      <w:bookmarkStart w:id="11" w:name="_Toc404160914"/>
      <w:bookmarkStart w:id="12" w:name="_Toc404931556"/>
      <w:r>
        <w:rPr>
          <w:rStyle w:val="CharSectno"/>
        </w:rPr>
        <w:t>4</w:t>
      </w:r>
      <w:r>
        <w:t>.</w:t>
      </w:r>
      <w:r>
        <w:tab/>
        <w:t>Part X inserted</w:t>
      </w:r>
      <w:bookmarkEnd w:id="10"/>
      <w:bookmarkEnd w:id="11"/>
      <w:bookmarkEnd w:id="12"/>
    </w:p>
    <w:p>
      <w:pPr>
        <w:pStyle w:val="Subsection"/>
      </w:pPr>
      <w:r>
        <w:tab/>
      </w:r>
      <w:r>
        <w:tab/>
        <w:t>After section 133 insert:</w:t>
      </w:r>
    </w:p>
    <w:p>
      <w:pPr>
        <w:pStyle w:val="BlankOpen"/>
      </w:pPr>
    </w:p>
    <w:p>
      <w:pPr>
        <w:pStyle w:val="zHeading2"/>
      </w:pPr>
      <w:bookmarkStart w:id="13" w:name="_Toc391049437"/>
      <w:bookmarkStart w:id="14" w:name="_Toc391306157"/>
      <w:bookmarkStart w:id="15" w:name="_Toc391360118"/>
      <w:bookmarkStart w:id="16" w:name="_Toc391383335"/>
      <w:bookmarkStart w:id="17" w:name="_Toc391390320"/>
      <w:bookmarkStart w:id="18" w:name="_Toc391390367"/>
      <w:bookmarkStart w:id="19" w:name="_Toc391390442"/>
      <w:bookmarkStart w:id="20" w:name="_Toc391391767"/>
      <w:bookmarkStart w:id="21" w:name="_Toc391392024"/>
      <w:bookmarkStart w:id="22" w:name="_Toc391393190"/>
      <w:bookmarkStart w:id="23" w:name="_Toc391449470"/>
      <w:bookmarkStart w:id="24" w:name="_Toc391537279"/>
      <w:bookmarkStart w:id="25" w:name="_Toc391543488"/>
      <w:bookmarkStart w:id="26" w:name="_Toc391543848"/>
      <w:bookmarkStart w:id="27" w:name="_Toc391544048"/>
      <w:bookmarkStart w:id="28" w:name="_Toc397407043"/>
      <w:bookmarkStart w:id="29" w:name="_Toc397407135"/>
      <w:bookmarkStart w:id="30" w:name="_Toc397407515"/>
      <w:bookmarkStart w:id="31" w:name="_Toc397408358"/>
      <w:bookmarkStart w:id="32" w:name="_Toc397420104"/>
      <w:bookmarkStart w:id="33" w:name="_Toc397420164"/>
      <w:bookmarkStart w:id="34" w:name="_Toc397420820"/>
      <w:bookmarkStart w:id="35" w:name="_Toc397434724"/>
      <w:bookmarkStart w:id="36" w:name="_Toc397434764"/>
      <w:bookmarkStart w:id="37" w:name="_Toc397436651"/>
      <w:bookmarkStart w:id="38" w:name="_Toc397520048"/>
      <w:bookmarkStart w:id="39" w:name="_Toc397948475"/>
      <w:bookmarkStart w:id="40" w:name="_Toc404160915"/>
      <w:bookmarkStart w:id="41" w:name="_Toc404931557"/>
      <w:r>
        <w:t>Part X</w:t>
      </w:r>
      <w:r>
        <w:rPr>
          <w:b w:val="0"/>
        </w:rPr>
        <w:t> </w:t>
      </w:r>
      <w:r>
        <w:t>—</w:t>
      </w:r>
      <w:r>
        <w:rPr>
          <w:b w:val="0"/>
        </w:rPr>
        <w:t> </w:t>
      </w:r>
      <w:r>
        <w:t>Validation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zHeading5"/>
      </w:pPr>
      <w:bookmarkStart w:id="42" w:name="_Toc404160916"/>
      <w:bookmarkStart w:id="43" w:name="_Toc404931558"/>
      <w:r>
        <w:t>134.</w:t>
      </w:r>
      <w:r>
        <w:tab/>
        <w:t>Terms used</w:t>
      </w:r>
      <w:bookmarkEnd w:id="42"/>
      <w:bookmarkEnd w:id="43"/>
    </w:p>
    <w:p>
      <w:pPr>
        <w:pStyle w:val="zSubsection"/>
      </w:pPr>
      <w:r>
        <w:tab/>
        <w:t>(1)</w:t>
      </w:r>
      <w:r>
        <w:tab/>
        <w:t xml:space="preserve">In this Part — </w:t>
      </w:r>
    </w:p>
    <w:p>
      <w:pPr>
        <w:pStyle w:val="z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zDefstart"/>
      </w:pPr>
      <w:r>
        <w:tab/>
      </w:r>
      <w:r>
        <w:rPr>
          <w:rStyle w:val="CharDefText"/>
        </w:rPr>
        <w:t>ground of invalidity</w:t>
      </w:r>
      <w:r>
        <w:t xml:space="preserve"> means a ground of invalidity set out in section 135;</w:t>
      </w:r>
    </w:p>
    <w:p>
      <w:pPr>
        <w:pStyle w:val="z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zSubsection"/>
      </w:pPr>
      <w:r>
        <w:tab/>
        <w:t>(2)</w:t>
      </w:r>
      <w:r>
        <w:tab/>
        <w:t>In this Part, a reference to the doing of anything includes a reference to an omission to do anything.</w:t>
      </w:r>
    </w:p>
    <w:p>
      <w:pPr>
        <w:pStyle w:val="zHeading5"/>
      </w:pPr>
      <w:bookmarkStart w:id="44" w:name="_Toc404160917"/>
      <w:bookmarkStart w:id="45" w:name="_Toc404931559"/>
      <w:r>
        <w:lastRenderedPageBreak/>
        <w:t>135.</w:t>
      </w:r>
      <w:r>
        <w:tab/>
        <w:t>Grounds of invalidity</w:t>
      </w:r>
      <w:bookmarkEnd w:id="44"/>
      <w:bookmarkEnd w:id="45"/>
    </w:p>
    <w:p>
      <w:pPr>
        <w:pStyle w:val="zSubsection"/>
      </w:pPr>
      <w:r>
        <w:tab/>
      </w:r>
      <w:r>
        <w:tab/>
        <w:t xml:space="preserve">These are the grounds of invalidity — </w:t>
      </w:r>
    </w:p>
    <w:p>
      <w:pPr>
        <w:pStyle w:val="z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z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zIndenti"/>
      </w:pPr>
      <w:r>
        <w:tab/>
        <w:t>(ii)</w:t>
      </w:r>
      <w:r>
        <w:tab/>
        <w:t>a reasonable apprehension of bias;</w:t>
      </w:r>
    </w:p>
    <w:p>
      <w:pPr>
        <w:pStyle w:val="z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zIndenta"/>
      </w:pPr>
      <w:r>
        <w:tab/>
        <w:t>(c)</w:t>
      </w:r>
      <w:r>
        <w:tab/>
        <w:t xml:space="preserve">the failure of the Authority to decide a question at a meeting purportedly held by the Authority, where — </w:t>
      </w:r>
    </w:p>
    <w:p>
      <w:pPr>
        <w:pStyle w:val="z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zIndenti"/>
      </w:pPr>
      <w:r>
        <w:tab/>
        <w:t>(ii)</w:t>
      </w:r>
      <w:r>
        <w:tab/>
        <w:t>that non</w:t>
      </w:r>
      <w:r>
        <w:noBreakHyphen/>
        <w:t xml:space="preserve">compliance resulted from Authority members being disqualified </w:t>
      </w:r>
      <w:r>
        <w:lastRenderedPageBreak/>
        <w:t>from participation in the circumstances set out in paragraph (a)(i) or (ii);</w:t>
      </w:r>
    </w:p>
    <w:p>
      <w:pPr>
        <w:pStyle w:val="zIndenta"/>
      </w:pPr>
      <w:r>
        <w:tab/>
        <w:t>(d)</w:t>
      </w:r>
      <w:r>
        <w:tab/>
        <w:t xml:space="preserve">the purported exercise of a power or duty of the Authority under a delegation made under section 19, where — </w:t>
      </w:r>
    </w:p>
    <w:p>
      <w:pPr>
        <w:pStyle w:val="zIndenti"/>
      </w:pPr>
      <w:r>
        <w:tab/>
        <w:t>(i)</w:t>
      </w:r>
      <w:r>
        <w:tab/>
        <w:t>the delegation was purportedly invoked in order to avoid the proceedings of the Authority being invalid on any of the grounds of invalidity set out in paragraphs (a) to (c); and</w:t>
      </w:r>
    </w:p>
    <w:p>
      <w:pPr>
        <w:pStyle w:val="zIndenti"/>
      </w:pPr>
      <w:r>
        <w:tab/>
        <w:t>(ii)</w:t>
      </w:r>
      <w:r>
        <w:tab/>
        <w:t>the delegation could not be invoked in the circumstances in which it was purportedly invoked, or did not authorise the exercise of the power or duty in the circumstances in which they were purportedly exercised.</w:t>
      </w:r>
    </w:p>
    <w:p>
      <w:pPr>
        <w:pStyle w:val="zHeading5"/>
      </w:pPr>
      <w:bookmarkStart w:id="46" w:name="_Toc387759678"/>
      <w:bookmarkStart w:id="47" w:name="_Toc404160918"/>
      <w:bookmarkStart w:id="48" w:name="_Toc404931560"/>
      <w:r>
        <w:t>136.</w:t>
      </w:r>
      <w:r>
        <w:tab/>
        <w:t>Certain proceedings of Environmental Protection Authority and other things validated</w:t>
      </w:r>
      <w:bookmarkEnd w:id="46"/>
      <w:bookmarkEnd w:id="47"/>
      <w:bookmarkEnd w:id="48"/>
    </w:p>
    <w:p>
      <w:pPr>
        <w:pStyle w:val="zSubsection"/>
      </w:pPr>
      <w:r>
        <w:tab/>
        <w:t>(1)</w:t>
      </w:r>
      <w:r>
        <w:tab/>
        <w:t>This section applies to anything done, or purportedly done, by or on behalf of the Authority before the decision date that, if this section had not been enacted, is or may be invalid on a ground of invalidity.</w:t>
      </w:r>
    </w:p>
    <w:p>
      <w:pPr>
        <w:pStyle w:val="z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zSubsection"/>
      </w:pPr>
      <w:r>
        <w:tab/>
        <w:t>(3)</w:t>
      </w:r>
      <w:r>
        <w:tab/>
        <w:t>The rights, obligations and liabilities of all persons are to be taken to be, and to have always been, the same as if the things to which this section applies had been validly done.</w:t>
      </w:r>
    </w:p>
    <w:p>
      <w:pPr>
        <w:pStyle w:val="zSubsection"/>
      </w:pPr>
      <w:r>
        <w:tab/>
        <w:t>(4)</w:t>
      </w:r>
      <w:r>
        <w:tab/>
        <w:t xml:space="preserve">Anything done, or purportedly done, before the </w:t>
      </w:r>
      <w:r>
        <w:rPr>
          <w:i/>
        </w:rPr>
        <w:t>Environmental Protection Amendment (Validation) Act 2014</w:t>
      </w:r>
      <w:r>
        <w:t xml:space="preserve"> section 4 comes into operation as a result or </w:t>
      </w:r>
      <w:r>
        <w:lastRenderedPageBreak/>
        <w:t xml:space="preserve">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zSubsection"/>
      </w:pPr>
      <w:r>
        <w:tab/>
        <w:t>(5)</w:t>
      </w:r>
      <w:r>
        <w:tab/>
        <w:t>This section is subject to section 137.</w:t>
      </w:r>
    </w:p>
    <w:p>
      <w:pPr>
        <w:pStyle w:val="zHeading5"/>
      </w:pPr>
      <w:bookmarkStart w:id="49" w:name="_Toc404160919"/>
      <w:bookmarkStart w:id="50" w:name="_Toc404931561"/>
      <w:r>
        <w:t>137.</w:t>
      </w:r>
      <w:r>
        <w:tab/>
        <w:t>Exclusions from validation</w:t>
      </w:r>
      <w:bookmarkEnd w:id="49"/>
      <w:bookmarkEnd w:id="50"/>
    </w:p>
    <w:p>
      <w:pPr>
        <w:pStyle w:val="zSubsection"/>
      </w:pPr>
      <w:r>
        <w:tab/>
      </w:r>
      <w:r>
        <w:tab/>
        <w:t xml:space="preserve">Section 136 does not validate — </w:t>
      </w:r>
    </w:p>
    <w:p>
      <w:pPr>
        <w:pStyle w:val="z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zIndenti"/>
      </w:pPr>
      <w:r>
        <w:tab/>
        <w:t>(i)</w:t>
      </w:r>
      <w:r>
        <w:tab/>
        <w:t>the report and recommendations of the Environmental Protection Authority on the Browse Liquefied Natural Gas Precinct strategic proposal (Report 1444, July 2012);</w:t>
      </w:r>
    </w:p>
    <w:p>
      <w:pPr>
        <w:pStyle w:val="z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z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zIndenta"/>
      </w:pPr>
      <w:r>
        <w:tab/>
        <w:t>(b)</w:t>
      </w:r>
      <w:r>
        <w:tab/>
        <w:t>anything that is invalid as a consequence of the invalidity of the things listed in paragraph (a).</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cols w:space="720"/>
          <w:docGrid w:linePitch="326"/>
        </w:sectPr>
      </w:pPr>
    </w:p>
    <w:p>
      <w:pPr>
        <w:pStyle w:val="Subsection"/>
      </w:pPr>
    </w:p>
    <w:sectPr>
      <w:headerReference w:type="even" r:id="rId26"/>
      <w:headerReference w:type="default" r:id="rId27"/>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27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27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27 of 2014</w:t>
    </w:r>
    <w:r>
      <w:rPr>
        <w:rFonts w:ascii="Arial" w:hAnsi="Arial" w:cs="Arial"/>
        <w:sz w:val="20"/>
        <w:lang w:val="en-US"/>
      </w:rPr>
      <w:fldChar w:fldCharType="end"/>
    </w:r>
    <w:r>
      <w:rPr>
        <w:rFonts w:ascii="Arial" w:hAnsi="Arial" w:cs="Arial"/>
        <w:sz w:val="20"/>
        <w:lang w:val="en-US"/>
      </w:rPr>
      <w:tab/>
    </w:r>
  </w:p>
  <w:p>
    <w:pPr>
      <w:rPr>
        <w:rFonts w:cs="Arial"/>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27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27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27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27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27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27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DOCPROPERTY &quot;ShortTitle&quot; ">
            <w:r>
              <w:t>Environmental Protection Amendment (Validation) Act 2014</w:t>
            </w:r>
          </w:fldSimple>
        </w:p>
      </w:tc>
    </w:tr>
    <w:tr>
      <w:tc>
        <w:tcPr>
          <w:tcW w:w="1548" w:type="dxa"/>
        </w:tcPr>
        <w:p>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styleref CharPartNo</w:instrText>
          </w:r>
          <w:r>
            <w:rPr>
              <w:b w:val="0"/>
            </w:rP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styleref CharDivNo</w:instrText>
          </w:r>
          <w:r>
            <w:rPr>
              <w:b w:val="0"/>
            </w:rP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DOCPROPERTY &quot;ShortTitle&quot; ">
            <w:r>
              <w:t>Environmental Protection Amendment (Validation)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styleref CharPartNo</w:instrText>
          </w:r>
          <w:r>
            <w:rPr>
              <w:b w:val="0"/>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styleref CharDivNo</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Amendment (Validation)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styleref CharPartNo</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styleref CharDivNo</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Environmental Protection Amendment (Validation)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styleref CharPartNo</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styleref CharDivNo</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Environmental Protection Amendment (Validation) Act 2014</w:t>
            </w:r>
          </w:fldSimple>
        </w:p>
      </w:tc>
    </w:tr>
    <w:tr>
      <w:tc>
        <w:tcPr>
          <w:tcW w:w="1548" w:type="dxa"/>
        </w:tcPr>
        <w:p>
          <w:pPr>
            <w:pStyle w:val="HeaderNumberLeft"/>
          </w:pPr>
          <w:r>
            <w:fldChar w:fldCharType="begin"/>
          </w:r>
          <w:r>
            <w:instrText>STYLEREF CharPartNo</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STYLEREF CharDivNo</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STYLEREF CharSectNo</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Environmental Protection Amendment (Validation)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STYLEREF CharPartNo</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STYLEREF CharDivNo</w:instrText>
          </w:r>
          <w:r>
            <w:fldChar w:fldCharType="end"/>
          </w:r>
        </w:p>
      </w:tc>
    </w:tr>
    <w:tr>
      <w:trPr>
        <w:cantSplit/>
      </w:trPr>
      <w:tc>
        <w:tcPr>
          <w:tcW w:w="7263" w:type="dxa"/>
          <w:gridSpan w:val="2"/>
        </w:tcPr>
        <w:p>
          <w:pPr>
            <w:pStyle w:val="HeaderNumberRight"/>
            <w:ind w:right="17"/>
          </w:pPr>
          <w:r>
            <w:t xml:space="preserve">s. </w:t>
          </w:r>
          <w:r>
            <w:fldChar w:fldCharType="begin"/>
          </w:r>
          <w:r>
            <w:instrText>STYLEREF CharSectNo</w:instrText>
          </w:r>
          <w:r>
            <w:fldChar w:fldCharType="separate"/>
          </w:r>
          <w:r>
            <w:rPr>
              <w:noProof/>
            </w:rPr>
            <w:t>4</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ing5Char">
    <w:name w:val="Heading 5 Char"/>
    <w:basedOn w:val="DefaultParagraphFont"/>
    <w:link w:val="Heading5"/>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ing5Char">
    <w:name w:val="Heading 5 Char"/>
    <w:basedOn w:val="DefaultParagraphFont"/>
    <w:link w:val="Heading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11D8-ECA5-4644-820E-B9B73012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1095</Words>
  <Characters>5522</Characters>
  <Application>Microsoft Office Word</Application>
  <DocSecurity>0</DocSecurity>
  <Lines>190</Lines>
  <Paragraphs>77</Paragraphs>
  <ScaleCrop>false</ScaleCrop>
  <HeadingPairs>
    <vt:vector size="2" baseType="variant">
      <vt:variant>
        <vt:lpstr>Title</vt:lpstr>
      </vt:variant>
      <vt:variant>
        <vt:i4>1</vt:i4>
      </vt:variant>
    </vt:vector>
  </HeadingPairs>
  <TitlesOfParts>
    <vt:vector size="1" baseType="lpstr">
      <vt:lpstr>Environmental Protection Amendment (Validation) Act 2014 - 00-00-01</vt:lpstr>
    </vt:vector>
  </TitlesOfParts>
  <Manager/>
  <Company/>
  <LinksUpToDate>false</LinksUpToDate>
  <CharactersWithSpaces>6540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Amendment (Validation) Act 2014 - 00-00-03</dc:title>
  <dc:subject/>
  <dc:creator/>
  <cp:keywords/>
  <dc:description/>
  <cp:lastModifiedBy>svcMRProcess</cp:lastModifiedBy>
  <cp:revision>4</cp:revision>
  <cp:lastPrinted>2014-11-27T23:44:00Z</cp:lastPrinted>
  <dcterms:created xsi:type="dcterms:W3CDTF">2015-12-21T06:47:00Z</dcterms:created>
  <dcterms:modified xsi:type="dcterms:W3CDTF">2015-12-21T06:47:00Z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2335</vt:lpwstr>
  </property>
  <property fmtid="{D5CDD505-2E9C-101B-9397-08002B2CF9AE}" pid="3" name="ShortTitle">
    <vt:lpwstr>Environmental Protection Amendment (Validation) Act 2014</vt:lpwstr>
  </property>
  <property fmtid="{D5CDD505-2E9C-101B-9397-08002B2CF9AE}" pid="4" name="Citation">
    <vt:lpwstr>Environmental Protection Amendment (Validation) Act 2014</vt:lpwstr>
  </property>
  <property fmtid="{D5CDD505-2E9C-101B-9397-08002B2CF9AE}" pid="5" name="PrincipalAct">
    <vt:lpwstr>Environmental Protection Act 1986</vt:lpwstr>
  </property>
  <property fmtid="{D5CDD505-2E9C-101B-9397-08002B2CF9AE}" pid="6" name="SLPBillNumber">
    <vt:lpwstr>92—1</vt:lpwstr>
  </property>
  <property fmtid="{D5CDD505-2E9C-101B-9397-08002B2CF9AE}" pid="7" name="ActNo">
    <vt:lpwstr>27 of 2014</vt:lpwstr>
  </property>
  <property fmtid="{D5CDD505-2E9C-101B-9397-08002B2CF9AE}" pid="8" name="ActNoFooter">
    <vt:lpwstr>No. 27 of 2014</vt:lpwstr>
  </property>
  <property fmtid="{D5CDD505-2E9C-101B-9397-08002B2CF9AE}" pid="9" name="KitandImprint">
    <vt:lpwstr>  </vt:lpwstr>
  </property>
  <property fmtid="{D5CDD505-2E9C-101B-9397-08002B2CF9AE}" pid="10" name="Assent Date">
    <vt:lpwstr>27 November 2014</vt:lpwstr>
  </property>
  <property fmtid="{D5CDD505-2E9C-101B-9397-08002B2CF9AE}" pid="11" name="PerfectBound">
    <vt:lpwstr>NO</vt:lpwstr>
  </property>
  <property fmtid="{D5CDD505-2E9C-101B-9397-08002B2CF9AE}" pid="12" name="AsAtDate">
    <vt:lpwstr>27 Nov 2014</vt:lpwstr>
  </property>
  <property fmtid="{D5CDD505-2E9C-101B-9397-08002B2CF9AE}" pid="13" name="Suffix">
    <vt:lpwstr>00-00-03</vt:lpwstr>
  </property>
  <property fmtid="{D5CDD505-2E9C-101B-9397-08002B2CF9AE}" pid="14" name="CommencementDate">
    <vt:lpwstr>20141127</vt:lpwstr>
  </property>
  <property fmtid="{D5CDD505-2E9C-101B-9397-08002B2CF9AE}" pid="15" name="DocumentType">
    <vt:lpwstr>Act</vt:lpwstr>
  </property>
</Properties>
</file>