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_Toc424568526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_Toc424568527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Exemption</w:t>
      </w:r>
      <w:r>
        <w:tab/>
      </w:r>
      <w:r>
        <w:fldChar w:fldCharType="begin"/>
      </w:r>
      <w:r>
        <w:instrText xml:space="preserve"> PAGEREF _Toc424568528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Crown</w:t>
      </w:r>
      <w:r>
        <w:tab/>
      </w:r>
      <w:r>
        <w:fldChar w:fldCharType="begin"/>
      </w:r>
      <w:r>
        <w:instrText xml:space="preserve"> PAGEREF _Toc424568529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Dumping of wastes or other matter</w:t>
      </w:r>
      <w:r>
        <w:tab/>
      </w:r>
      <w:r>
        <w:fldChar w:fldCharType="begin"/>
      </w:r>
      <w:r>
        <w:instrText xml:space="preserve"> PAGEREF _Toc424568530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Dumping of vessels, aircraft or platforms</w:t>
      </w:r>
      <w:r>
        <w:tab/>
      </w:r>
      <w:r>
        <w:fldChar w:fldCharType="begin"/>
      </w:r>
      <w:r>
        <w:instrText xml:space="preserve"> PAGEREF _Toc424568531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Loading of wastes or other matter for dumping or incineration at sea</w:t>
      </w:r>
      <w:r>
        <w:tab/>
      </w:r>
      <w:r>
        <w:fldChar w:fldCharType="begin"/>
      </w:r>
      <w:r>
        <w:instrText xml:space="preserve"> PAGEREF _Toc424568532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Penalties for certain offences</w:t>
      </w:r>
      <w:r>
        <w:tab/>
      </w:r>
      <w:r>
        <w:fldChar w:fldCharType="begin"/>
      </w:r>
      <w:r>
        <w:instrText xml:space="preserve"> PAGEREF _Toc424568533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Incineration at sea</w:t>
      </w:r>
      <w:r>
        <w:tab/>
      </w:r>
      <w:r>
        <w:fldChar w:fldCharType="begin"/>
      </w:r>
      <w:r>
        <w:instrText xml:space="preserve"> PAGEREF _Toc424568534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Defence to charge of an offence</w:t>
      </w:r>
      <w:r>
        <w:tab/>
      </w:r>
      <w:r>
        <w:fldChar w:fldCharType="begin"/>
      </w:r>
      <w:r>
        <w:instrText xml:space="preserve"> PAGEREF _Toc424568535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Restoration of environment</w:t>
      </w:r>
      <w:r>
        <w:tab/>
      </w:r>
      <w:r>
        <w:fldChar w:fldCharType="begin"/>
      </w:r>
      <w:r>
        <w:instrText xml:space="preserve"> PAGEREF _Toc424568536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Liability for expenses resulting from dumping incurred by the State</w:t>
      </w:r>
      <w:r>
        <w:tab/>
      </w:r>
      <w:r>
        <w:fldChar w:fldCharType="begin"/>
      </w:r>
      <w:r>
        <w:instrText xml:space="preserve"> PAGEREF _Toc424568537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permit</w:t>
      </w:r>
      <w:r>
        <w:tab/>
      </w:r>
      <w:r>
        <w:fldChar w:fldCharType="begin"/>
      </w:r>
      <w:r>
        <w:instrText xml:space="preserve"> PAGEREF _Toc424568538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Grant of permit</w:t>
      </w:r>
      <w:r>
        <w:tab/>
      </w:r>
      <w:r>
        <w:fldChar w:fldCharType="begin"/>
      </w:r>
      <w:r>
        <w:instrText xml:space="preserve"> PAGEREF _Toc424568539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Suspension and revocation of permits</w:t>
      </w:r>
      <w:r>
        <w:tab/>
      </w:r>
      <w:r>
        <w:fldChar w:fldCharType="begin"/>
      </w:r>
      <w:r>
        <w:instrText xml:space="preserve"> PAGEREF _Toc424568540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Conditions in respect of permits</w:t>
      </w:r>
      <w:r>
        <w:tab/>
      </w:r>
      <w:r>
        <w:fldChar w:fldCharType="begin"/>
      </w:r>
      <w:r>
        <w:instrText xml:space="preserve"> PAGEREF _Toc424568541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Radioactive wastes or other matter</w:t>
      </w:r>
      <w:r>
        <w:tab/>
      </w:r>
      <w:r>
        <w:fldChar w:fldCharType="begin"/>
      </w:r>
      <w:r>
        <w:instrText xml:space="preserve"> PAGEREF _Toc424568542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 to Minister to vary operation of permits</w:t>
      </w:r>
      <w:r>
        <w:tab/>
      </w:r>
      <w:r>
        <w:fldChar w:fldCharType="begin"/>
      </w:r>
      <w:r>
        <w:instrText xml:space="preserve"> PAGEREF _Toc424568543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Matters to be published in </w:t>
      </w:r>
      <w:r>
        <w:rPr>
          <w:i/>
          <w:snapToGrid w:val="0"/>
        </w:rPr>
        <w:t>Gazette</w:t>
      </w:r>
      <w:r>
        <w:tab/>
      </w:r>
      <w:r>
        <w:fldChar w:fldCharType="begin"/>
      </w:r>
      <w:r>
        <w:instrText xml:space="preserve"> PAGEREF _Toc424568544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Appointment of inspectors</w:t>
      </w:r>
      <w:r>
        <w:tab/>
      </w:r>
      <w:r>
        <w:fldChar w:fldCharType="begin"/>
      </w:r>
      <w:r>
        <w:instrText xml:space="preserve"> PAGEREF _Toc424568545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Inspectors </w:t>
      </w:r>
      <w:r>
        <w:rPr>
          <w:iCs/>
          <w:snapToGrid w:val="0"/>
        </w:rPr>
        <w:t>ex officio</w:t>
      </w:r>
      <w:r>
        <w:tab/>
      </w:r>
      <w:r>
        <w:fldChar w:fldCharType="begin"/>
      </w:r>
      <w:r>
        <w:instrText xml:space="preserve"> PAGEREF _Toc424568546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Identity cards</w:t>
      </w:r>
      <w:r>
        <w:tab/>
      </w:r>
      <w:r>
        <w:fldChar w:fldCharType="begin"/>
      </w:r>
      <w:r>
        <w:instrText xml:space="preserve"> PAGEREF _Toc424568547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Boarding of vessels, aircraft and platforms by inspectors</w:t>
      </w:r>
      <w:r>
        <w:tab/>
      </w:r>
      <w:r>
        <w:fldChar w:fldCharType="begin"/>
      </w:r>
      <w:r>
        <w:instrText xml:space="preserve"> PAGEREF _Toc424568548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Access to premises</w:t>
      </w:r>
      <w:r>
        <w:tab/>
      </w:r>
      <w:r>
        <w:fldChar w:fldCharType="begin"/>
      </w:r>
      <w:r>
        <w:instrText xml:space="preserve"> PAGEREF _Toc424568549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inspector</w:t>
      </w:r>
      <w:r>
        <w:tab/>
      </w:r>
      <w:r>
        <w:fldChar w:fldCharType="begin"/>
      </w:r>
      <w:r>
        <w:instrText xml:space="preserve"> PAGEREF _Toc424568550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arrest of inspectors</w:t>
      </w:r>
      <w:r>
        <w:tab/>
      </w:r>
      <w:r>
        <w:fldChar w:fldCharType="begin"/>
      </w:r>
      <w:r>
        <w:instrText xml:space="preserve"> PAGEREF _Toc424568551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Injunction</w:t>
      </w:r>
      <w:r>
        <w:tab/>
      </w:r>
      <w:r>
        <w:fldChar w:fldCharType="begin"/>
      </w:r>
      <w:r>
        <w:instrText xml:space="preserve"> PAGEREF _Toc424568552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_Toc424568553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False statements</w:t>
      </w:r>
      <w:r>
        <w:tab/>
      </w:r>
      <w:r>
        <w:fldChar w:fldCharType="begin"/>
      </w:r>
      <w:r>
        <w:instrText xml:space="preserve"> PAGEREF _Toc424568554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Compliance with conditions of permit</w:t>
      </w:r>
      <w:r>
        <w:tab/>
      </w:r>
      <w:r>
        <w:fldChar w:fldCharType="begin"/>
      </w:r>
      <w:r>
        <w:instrText xml:space="preserve"> PAGEREF _Toc424568555 \h </w:instrText>
      </w:r>
      <w:r>
        <w:fldChar w:fldCharType="separate"/>
      </w:r>
      <w:r>
        <w:t>29</w:t>
      </w:r>
      <w:r>
        <w:fldChar w:fldCharType="end"/>
      </w:r>
    </w:p>
    <w:p>
      <w:pPr>
        <w:pStyle w:val="TOC8"/>
        <w:rPr>
          <w:rFonts w:asciiTheme="minorHAnsi" w:eastAsiaTheme="minorEastAsia" w:hAnsiTheme="minorHAnsi" w:cstheme="minorBidi"/>
          <w:szCs w:val="22"/>
        </w:rPr>
      </w:pPr>
      <w:r>
        <w:t>31.</w:t>
      </w:r>
      <w:r>
        <w:tab/>
        <w:t>Crimes</w:t>
      </w:r>
      <w:r>
        <w:tab/>
      </w:r>
      <w:r>
        <w:fldChar w:fldCharType="begin"/>
      </w:r>
      <w:r>
        <w:instrText xml:space="preserve"> PAGEREF _Toc424568556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w:t>
      </w:r>
      <w:r>
        <w:tab/>
      </w:r>
      <w:r>
        <w:fldChar w:fldCharType="begin"/>
      </w:r>
      <w:r>
        <w:instrText xml:space="preserve"> PAGEREF _Toc424568557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of analyst</w:t>
      </w:r>
      <w:r>
        <w:tab/>
      </w:r>
      <w:r>
        <w:fldChar w:fldCharType="begin"/>
      </w:r>
      <w:r>
        <w:instrText xml:space="preserve"> PAGEREF _Toc424568558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Fees</w:t>
      </w:r>
      <w:r>
        <w:tab/>
      </w:r>
      <w:r>
        <w:fldChar w:fldCharType="begin"/>
      </w:r>
      <w:r>
        <w:instrText xml:space="preserve"> PAGEREF _Toc424568559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_Toc424568560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Convention</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_Toc424568565 \h </w:instrText>
      </w:r>
      <w:r>
        <w:fldChar w:fldCharType="separate"/>
      </w:r>
      <w:r>
        <w:t>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3" w:name="_Toc405298411"/>
      <w:bookmarkStart w:id="4" w:name="_Toc424568526"/>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405298412"/>
      <w:bookmarkStart w:id="6" w:name="_Toc424568527"/>
      <w:r>
        <w:rPr>
          <w:rStyle w:val="CharSectno"/>
        </w:rPr>
        <w:t>2</w:t>
      </w:r>
      <w:r>
        <w:rPr>
          <w:snapToGrid w:val="0"/>
        </w:rPr>
        <w:t>.</w:t>
      </w:r>
      <w:r>
        <w:rPr>
          <w:snapToGrid w:val="0"/>
        </w:rPr>
        <w:tab/>
        <w:t>Terms used</w:t>
      </w:r>
      <w:bookmarkEnd w:id="5"/>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 and</w:t>
      </w:r>
    </w:p>
    <w:p>
      <w:pPr>
        <w:pStyle w:val="Defpara"/>
      </w:pPr>
      <w:r>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 or</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police force</w:t>
      </w:r>
      <w:r>
        <w:t xml:space="preserve"> means the Police Force of Western Australia;</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7" w:name="_Toc405298413"/>
      <w:bookmarkStart w:id="8" w:name="_Toc424568528"/>
      <w:r>
        <w:rPr>
          <w:rStyle w:val="CharSectno"/>
        </w:rPr>
        <w:t>3</w:t>
      </w:r>
      <w:r>
        <w:rPr>
          <w:snapToGrid w:val="0"/>
        </w:rPr>
        <w:t>.</w:t>
      </w:r>
      <w:r>
        <w:rPr>
          <w:snapToGrid w:val="0"/>
        </w:rPr>
        <w:tab/>
        <w:t>Exemption</w:t>
      </w:r>
      <w:bookmarkEnd w:id="7"/>
      <w:bookmarkEnd w:id="8"/>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9" w:name="_Toc405298414"/>
      <w:bookmarkStart w:id="10" w:name="_Toc424568529"/>
      <w:r>
        <w:rPr>
          <w:rStyle w:val="CharSectno"/>
        </w:rPr>
        <w:t>4</w:t>
      </w:r>
      <w:r>
        <w:rPr>
          <w:snapToGrid w:val="0"/>
        </w:rPr>
        <w:t>.</w:t>
      </w:r>
      <w:r>
        <w:rPr>
          <w:snapToGrid w:val="0"/>
        </w:rPr>
        <w:tab/>
        <w:t>Act to bind Crown</w:t>
      </w:r>
      <w:bookmarkEnd w:id="9"/>
      <w:bookmarkEnd w:id="10"/>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1" w:name="_Toc405298415"/>
      <w:bookmarkStart w:id="12" w:name="_Toc424568530"/>
      <w:r>
        <w:rPr>
          <w:rStyle w:val="CharSectno"/>
        </w:rPr>
        <w:t>5</w:t>
      </w:r>
      <w:r>
        <w:rPr>
          <w:snapToGrid w:val="0"/>
        </w:rPr>
        <w:t>.</w:t>
      </w:r>
      <w:r>
        <w:rPr>
          <w:snapToGrid w:val="0"/>
        </w:rPr>
        <w:tab/>
        <w:t>Dumping of wastes or other matter</w:t>
      </w:r>
      <w:bookmarkEnd w:id="11"/>
      <w:bookmarkEnd w:id="12"/>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3" w:name="_Toc405298416"/>
      <w:bookmarkStart w:id="14" w:name="_Toc424568531"/>
      <w:r>
        <w:rPr>
          <w:rStyle w:val="CharSectno"/>
        </w:rPr>
        <w:t>6</w:t>
      </w:r>
      <w:r>
        <w:rPr>
          <w:snapToGrid w:val="0"/>
        </w:rPr>
        <w:t>.</w:t>
      </w:r>
      <w:r>
        <w:rPr>
          <w:snapToGrid w:val="0"/>
        </w:rPr>
        <w:tab/>
        <w:t>Dumping of vessels, aircraft or platforms</w:t>
      </w:r>
      <w:bookmarkEnd w:id="13"/>
      <w:bookmarkEnd w:id="14"/>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15" w:name="_Toc405298417"/>
      <w:bookmarkStart w:id="16" w:name="_Toc424568532"/>
      <w:r>
        <w:rPr>
          <w:rStyle w:val="CharSectno"/>
        </w:rPr>
        <w:t>7</w:t>
      </w:r>
      <w:r>
        <w:rPr>
          <w:snapToGrid w:val="0"/>
        </w:rPr>
        <w:t>.</w:t>
      </w:r>
      <w:r>
        <w:rPr>
          <w:snapToGrid w:val="0"/>
        </w:rPr>
        <w:tab/>
        <w:t>Loading of wastes or other matter for dumping or incineration at sea</w:t>
      </w:r>
      <w:bookmarkEnd w:id="15"/>
      <w:bookmarkEnd w:id="16"/>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17" w:name="_Toc405298418"/>
      <w:bookmarkStart w:id="18" w:name="_Toc424568533"/>
      <w:r>
        <w:rPr>
          <w:rStyle w:val="CharSectno"/>
        </w:rPr>
        <w:t>8</w:t>
      </w:r>
      <w:r>
        <w:rPr>
          <w:snapToGrid w:val="0"/>
        </w:rPr>
        <w:t>.</w:t>
      </w:r>
      <w:r>
        <w:rPr>
          <w:snapToGrid w:val="0"/>
        </w:rPr>
        <w:tab/>
        <w:t>Penalties for certain offences</w:t>
      </w:r>
      <w:bookmarkEnd w:id="17"/>
      <w:bookmarkEnd w:id="18"/>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spacing w:before="70"/>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 or</w:t>
      </w:r>
    </w:p>
    <w:p>
      <w:pPr>
        <w:pStyle w:val="Indenta"/>
        <w:spacing w:before="70"/>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spacing w:before="70"/>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19" w:name="_Toc405298419"/>
      <w:bookmarkStart w:id="20" w:name="_Toc424568534"/>
      <w:r>
        <w:rPr>
          <w:rStyle w:val="CharSectno"/>
        </w:rPr>
        <w:t>9</w:t>
      </w:r>
      <w:r>
        <w:rPr>
          <w:snapToGrid w:val="0"/>
        </w:rPr>
        <w:t>.</w:t>
      </w:r>
      <w:r>
        <w:rPr>
          <w:snapToGrid w:val="0"/>
        </w:rPr>
        <w:tab/>
        <w:t>Incineration at sea</w:t>
      </w:r>
      <w:bookmarkEnd w:id="19"/>
      <w:bookmarkEnd w:id="20"/>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spacing w:before="70"/>
        <w:rPr>
          <w:snapToGrid w:val="0"/>
        </w:rPr>
      </w:pPr>
      <w:r>
        <w:rPr>
          <w:snapToGrid w:val="0"/>
        </w:rPr>
        <w:tab/>
        <w:t>(a)</w:t>
      </w:r>
      <w:r>
        <w:rPr>
          <w:snapToGrid w:val="0"/>
        </w:rPr>
        <w:tab/>
        <w:t>a vessel in coastal waters; or</w:t>
      </w:r>
    </w:p>
    <w:p>
      <w:pPr>
        <w:pStyle w:val="Indenta"/>
        <w:spacing w:before="70"/>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 or</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 or</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1" w:name="_Toc405298420"/>
      <w:bookmarkStart w:id="22" w:name="_Toc424568535"/>
      <w:r>
        <w:rPr>
          <w:rStyle w:val="CharSectno"/>
        </w:rPr>
        <w:t>10</w:t>
      </w:r>
      <w:r>
        <w:rPr>
          <w:snapToGrid w:val="0"/>
        </w:rPr>
        <w:t>.</w:t>
      </w:r>
      <w:r>
        <w:rPr>
          <w:snapToGrid w:val="0"/>
        </w:rPr>
        <w:tab/>
        <w:t>Defence to charge of an offence</w:t>
      </w:r>
      <w:bookmarkEnd w:id="21"/>
      <w:bookmarkEnd w:id="22"/>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 xml:space="preserve">the dumping the subject of the charge was necessary to secure the safety of human life, or of a vessel, aircraft or platform at sea in a case of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23" w:name="_Toc405298421"/>
      <w:bookmarkStart w:id="24" w:name="_Toc424568536"/>
      <w:r>
        <w:rPr>
          <w:rStyle w:val="CharSectno"/>
        </w:rPr>
        <w:t>11</w:t>
      </w:r>
      <w:r>
        <w:rPr>
          <w:snapToGrid w:val="0"/>
        </w:rPr>
        <w:t>.</w:t>
      </w:r>
      <w:r>
        <w:rPr>
          <w:snapToGrid w:val="0"/>
        </w:rPr>
        <w:tab/>
        <w:t>Restoration of environment</w:t>
      </w:r>
      <w:bookmarkEnd w:id="23"/>
      <w:bookmarkEnd w:id="2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 or</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25" w:name="_Toc405298422"/>
      <w:bookmarkStart w:id="26" w:name="_Toc424568537"/>
      <w:r>
        <w:rPr>
          <w:rStyle w:val="CharSectno"/>
        </w:rPr>
        <w:t>12</w:t>
      </w:r>
      <w:r>
        <w:rPr>
          <w:snapToGrid w:val="0"/>
        </w:rPr>
        <w:t>.</w:t>
      </w:r>
      <w:r>
        <w:rPr>
          <w:snapToGrid w:val="0"/>
        </w:rPr>
        <w:tab/>
        <w:t>Liability for expenses resulting from dumping incurred by the State</w:t>
      </w:r>
      <w:bookmarkEnd w:id="25"/>
      <w:bookmarkEnd w:id="2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r>
        <w:t xml:space="preserve">first charge in priority to all other claims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 or</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pPr>
      <w:r>
        <w:tab/>
        <w:t xml:space="preserve">[Section 12 amended by No. 42 of 2011 s. 114.] </w:t>
      </w:r>
    </w:p>
    <w:p>
      <w:pPr>
        <w:pStyle w:val="Heading5"/>
        <w:rPr>
          <w:snapToGrid w:val="0"/>
        </w:rPr>
      </w:pPr>
      <w:bookmarkStart w:id="27" w:name="_Toc405298423"/>
      <w:bookmarkStart w:id="28" w:name="_Toc424568538"/>
      <w:r>
        <w:rPr>
          <w:rStyle w:val="CharSectno"/>
        </w:rPr>
        <w:t>13</w:t>
      </w:r>
      <w:r>
        <w:rPr>
          <w:snapToGrid w:val="0"/>
        </w:rPr>
        <w:t>.</w:t>
      </w:r>
      <w:r>
        <w:rPr>
          <w:snapToGrid w:val="0"/>
        </w:rPr>
        <w:tab/>
        <w:t>Application for permit</w:t>
      </w:r>
      <w:bookmarkEnd w:id="27"/>
      <w:bookmarkEnd w:id="28"/>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spacing w:before="60"/>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spacing w:before="60"/>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29" w:name="_Toc405298424"/>
      <w:bookmarkStart w:id="30" w:name="_Toc424568539"/>
      <w:r>
        <w:rPr>
          <w:rStyle w:val="CharSectno"/>
        </w:rPr>
        <w:t>14</w:t>
      </w:r>
      <w:r>
        <w:rPr>
          <w:snapToGrid w:val="0"/>
        </w:rPr>
        <w:t>.</w:t>
      </w:r>
      <w:r>
        <w:rPr>
          <w:snapToGrid w:val="0"/>
        </w:rPr>
        <w:tab/>
        <w:t>Grant of permit</w:t>
      </w:r>
      <w:bookmarkEnd w:id="29"/>
      <w:bookmarkEnd w:id="30"/>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spacing w:before="60"/>
        <w:rPr>
          <w:snapToGrid w:val="0"/>
        </w:rPr>
      </w:pPr>
      <w:r>
        <w:rPr>
          <w:snapToGrid w:val="0"/>
        </w:rPr>
        <w:tab/>
        <w:t>(a)</w:t>
      </w:r>
      <w:r>
        <w:rPr>
          <w:snapToGrid w:val="0"/>
        </w:rPr>
        <w:tab/>
        <w:t>the factors set forth in Annex III to the Convention; and</w:t>
      </w:r>
    </w:p>
    <w:p>
      <w:pPr>
        <w:pStyle w:val="Indenta"/>
        <w:spacing w:before="60"/>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 and</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31" w:name="_Toc405298425"/>
      <w:bookmarkStart w:id="32" w:name="_Toc424568540"/>
      <w:r>
        <w:rPr>
          <w:rStyle w:val="CharSectno"/>
        </w:rPr>
        <w:t>15</w:t>
      </w:r>
      <w:r>
        <w:rPr>
          <w:snapToGrid w:val="0"/>
        </w:rPr>
        <w:t>.</w:t>
      </w:r>
      <w:r>
        <w:rPr>
          <w:snapToGrid w:val="0"/>
        </w:rPr>
        <w:tab/>
        <w:t>Suspension and revocation of permits</w:t>
      </w:r>
      <w:bookmarkEnd w:id="31"/>
      <w:bookmarkEnd w:id="32"/>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spacing w:before="60"/>
        <w:rPr>
          <w:snapToGrid w:val="0"/>
        </w:rPr>
      </w:pPr>
      <w:r>
        <w:rPr>
          <w:snapToGrid w:val="0"/>
        </w:rPr>
        <w:tab/>
        <w:t>(a)</w:t>
      </w:r>
      <w:r>
        <w:rPr>
          <w:snapToGrid w:val="0"/>
        </w:rPr>
        <w:tab/>
        <w:t>a provision of this Act relating to the permit or a condition imposed in respect of the permit has been contravened; or</w:t>
      </w:r>
    </w:p>
    <w:p>
      <w:pPr>
        <w:pStyle w:val="Indenta"/>
        <w:spacing w:before="60"/>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33" w:name="_Toc405298426"/>
      <w:bookmarkStart w:id="34" w:name="_Toc424568541"/>
      <w:r>
        <w:rPr>
          <w:rStyle w:val="CharSectno"/>
        </w:rPr>
        <w:t>16</w:t>
      </w:r>
      <w:r>
        <w:rPr>
          <w:snapToGrid w:val="0"/>
        </w:rPr>
        <w:t>.</w:t>
      </w:r>
      <w:r>
        <w:rPr>
          <w:snapToGrid w:val="0"/>
        </w:rPr>
        <w:tab/>
        <w:t>Conditions in respect of permits</w:t>
      </w:r>
      <w:bookmarkEnd w:id="33"/>
      <w:bookmarkEnd w:id="34"/>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 and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 and</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35" w:name="_Toc405298427"/>
      <w:bookmarkStart w:id="36" w:name="_Toc424568542"/>
      <w:r>
        <w:rPr>
          <w:rStyle w:val="CharSectno"/>
        </w:rPr>
        <w:t>17</w:t>
      </w:r>
      <w:r>
        <w:rPr>
          <w:snapToGrid w:val="0"/>
        </w:rPr>
        <w:t>.</w:t>
      </w:r>
      <w:r>
        <w:rPr>
          <w:snapToGrid w:val="0"/>
        </w:rPr>
        <w:tab/>
        <w:t>Radioactive wastes or other matter</w:t>
      </w:r>
      <w:bookmarkEnd w:id="35"/>
      <w:bookmarkEnd w:id="36"/>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 and</w:t>
      </w:r>
    </w:p>
    <w:p>
      <w:pPr>
        <w:pStyle w:val="Indenti"/>
        <w:rPr>
          <w:snapToGrid w:val="0"/>
        </w:rPr>
      </w:pPr>
      <w:r>
        <w:rPr>
          <w:snapToGrid w:val="0"/>
        </w:rPr>
        <w:tab/>
        <w:t>(ii)</w:t>
      </w:r>
      <w:r>
        <w:rPr>
          <w:snapToGrid w:val="0"/>
        </w:rPr>
        <w:tab/>
        <w:t>monitoring the levels of radiation caused by the wastes or other matter; and</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 and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37" w:name="_Toc405298428"/>
      <w:bookmarkStart w:id="38" w:name="_Toc424568543"/>
      <w:r>
        <w:rPr>
          <w:rStyle w:val="CharSectno"/>
        </w:rPr>
        <w:t>18</w:t>
      </w:r>
      <w:r>
        <w:rPr>
          <w:snapToGrid w:val="0"/>
        </w:rPr>
        <w:t>.</w:t>
      </w:r>
      <w:r>
        <w:rPr>
          <w:snapToGrid w:val="0"/>
        </w:rPr>
        <w:tab/>
        <w:t>Applications to Minister to vary operation of permits</w:t>
      </w:r>
      <w:bookmarkEnd w:id="37"/>
      <w:bookmarkEnd w:id="38"/>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 or</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39" w:name="_Toc405298429"/>
      <w:bookmarkStart w:id="40" w:name="_Toc424568544"/>
      <w:r>
        <w:rPr>
          <w:rStyle w:val="CharSectno"/>
        </w:rPr>
        <w:t>19</w:t>
      </w:r>
      <w:r>
        <w:rPr>
          <w:snapToGrid w:val="0"/>
        </w:rPr>
        <w:t>.</w:t>
      </w:r>
      <w:r>
        <w:rPr>
          <w:snapToGrid w:val="0"/>
        </w:rPr>
        <w:tab/>
        <w:t xml:space="preserve">Matters to be published in </w:t>
      </w:r>
      <w:r>
        <w:rPr>
          <w:i/>
          <w:snapToGrid w:val="0"/>
        </w:rPr>
        <w:t>Gazette</w:t>
      </w:r>
      <w:bookmarkEnd w:id="39"/>
      <w:bookmarkEnd w:id="40"/>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 and</w:t>
      </w:r>
    </w:p>
    <w:p>
      <w:pPr>
        <w:pStyle w:val="Indenta"/>
        <w:rPr>
          <w:snapToGrid w:val="0"/>
        </w:rPr>
      </w:pPr>
      <w:r>
        <w:rPr>
          <w:snapToGrid w:val="0"/>
        </w:rPr>
        <w:tab/>
        <w:t>(b)</w:t>
      </w:r>
      <w:r>
        <w:rPr>
          <w:snapToGrid w:val="0"/>
        </w:rPr>
        <w:tab/>
        <w:t>permits granted and any conditions imposed in respect of those permits; and</w:t>
      </w:r>
    </w:p>
    <w:p>
      <w:pPr>
        <w:pStyle w:val="Indenta"/>
        <w:rPr>
          <w:snapToGrid w:val="0"/>
        </w:rPr>
      </w:pPr>
      <w:r>
        <w:rPr>
          <w:snapToGrid w:val="0"/>
        </w:rPr>
        <w:tab/>
        <w:t>(c)</w:t>
      </w:r>
      <w:r>
        <w:rPr>
          <w:snapToGrid w:val="0"/>
        </w:rPr>
        <w:tab/>
        <w:t>refusals to grant permits; and</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41" w:name="_Toc405298430"/>
      <w:bookmarkStart w:id="42" w:name="_Toc424568545"/>
      <w:r>
        <w:rPr>
          <w:rStyle w:val="CharSectno"/>
        </w:rPr>
        <w:t>20</w:t>
      </w:r>
      <w:r>
        <w:rPr>
          <w:snapToGrid w:val="0"/>
        </w:rPr>
        <w:t>.</w:t>
      </w:r>
      <w:r>
        <w:rPr>
          <w:snapToGrid w:val="0"/>
        </w:rPr>
        <w:tab/>
        <w:t>Appointment of inspectors</w:t>
      </w:r>
      <w:bookmarkEnd w:id="41"/>
      <w:bookmarkEnd w:id="42"/>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43" w:name="_Toc405298431"/>
      <w:bookmarkStart w:id="44" w:name="_Toc424568546"/>
      <w:r>
        <w:rPr>
          <w:rStyle w:val="CharSectno"/>
        </w:rPr>
        <w:t>21</w:t>
      </w:r>
      <w:r>
        <w:rPr>
          <w:snapToGrid w:val="0"/>
        </w:rPr>
        <w:t>.</w:t>
      </w:r>
      <w:r>
        <w:rPr>
          <w:snapToGrid w:val="0"/>
        </w:rPr>
        <w:tab/>
        <w:t xml:space="preserve">Inspectors </w:t>
      </w:r>
      <w:r>
        <w:rPr>
          <w:iCs/>
          <w:snapToGrid w:val="0"/>
        </w:rPr>
        <w:t>ex officio</w:t>
      </w:r>
      <w:bookmarkEnd w:id="43"/>
      <w:bookmarkEnd w:id="4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45" w:name="_Toc405298432"/>
      <w:bookmarkStart w:id="46" w:name="_Toc424568547"/>
      <w:r>
        <w:rPr>
          <w:rStyle w:val="CharSectno"/>
        </w:rPr>
        <w:t>22</w:t>
      </w:r>
      <w:r>
        <w:rPr>
          <w:snapToGrid w:val="0"/>
        </w:rPr>
        <w:t>.</w:t>
      </w:r>
      <w:r>
        <w:rPr>
          <w:snapToGrid w:val="0"/>
        </w:rPr>
        <w:tab/>
        <w:t>Identity cards</w:t>
      </w:r>
      <w:bookmarkEnd w:id="45"/>
      <w:bookmarkEnd w:id="46"/>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47" w:name="_Toc405298433"/>
      <w:bookmarkStart w:id="48" w:name="_Toc424568548"/>
      <w:r>
        <w:rPr>
          <w:rStyle w:val="CharSectno"/>
        </w:rPr>
        <w:t>23</w:t>
      </w:r>
      <w:r>
        <w:rPr>
          <w:snapToGrid w:val="0"/>
        </w:rPr>
        <w:t>.</w:t>
      </w:r>
      <w:r>
        <w:rPr>
          <w:snapToGrid w:val="0"/>
        </w:rPr>
        <w:tab/>
        <w:t>Boarding of vessels, aircraft and platforms by inspectors</w:t>
      </w:r>
      <w:bookmarkEnd w:id="47"/>
      <w:bookmarkEnd w:id="48"/>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 and</w:t>
      </w:r>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49" w:name="_Toc405298434"/>
      <w:bookmarkStart w:id="50" w:name="_Toc424568549"/>
      <w:r>
        <w:rPr>
          <w:rStyle w:val="CharSectno"/>
        </w:rPr>
        <w:t>24</w:t>
      </w:r>
      <w:r>
        <w:rPr>
          <w:snapToGrid w:val="0"/>
        </w:rPr>
        <w:t>.</w:t>
      </w:r>
      <w:r>
        <w:rPr>
          <w:snapToGrid w:val="0"/>
        </w:rPr>
        <w:tab/>
        <w:t>Access to premises</w:t>
      </w:r>
      <w:bookmarkEnd w:id="49"/>
      <w:bookmarkEnd w:id="50"/>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51" w:name="_Toc405298435"/>
      <w:bookmarkStart w:id="52" w:name="_Toc424568550"/>
      <w:r>
        <w:rPr>
          <w:rStyle w:val="CharSectno"/>
        </w:rPr>
        <w:t>25</w:t>
      </w:r>
      <w:r>
        <w:rPr>
          <w:snapToGrid w:val="0"/>
        </w:rPr>
        <w:t>.</w:t>
      </w:r>
      <w:r>
        <w:rPr>
          <w:snapToGrid w:val="0"/>
        </w:rPr>
        <w:tab/>
        <w:t>Functions of inspector</w:t>
      </w:r>
      <w:bookmarkEnd w:id="51"/>
      <w:bookmarkEnd w:id="52"/>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53" w:name="_Toc405298436"/>
      <w:bookmarkStart w:id="54" w:name="_Toc424568551"/>
      <w:r>
        <w:rPr>
          <w:rStyle w:val="CharSectno"/>
        </w:rPr>
        <w:t>26</w:t>
      </w:r>
      <w:r>
        <w:rPr>
          <w:snapToGrid w:val="0"/>
        </w:rPr>
        <w:t>.</w:t>
      </w:r>
      <w:r>
        <w:rPr>
          <w:snapToGrid w:val="0"/>
        </w:rPr>
        <w:tab/>
        <w:t>Powers of arrest of inspectors</w:t>
      </w:r>
      <w:bookmarkEnd w:id="53"/>
      <w:bookmarkEnd w:id="54"/>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55" w:name="_Toc405298437"/>
      <w:bookmarkStart w:id="56" w:name="_Toc424568552"/>
      <w:r>
        <w:rPr>
          <w:rStyle w:val="CharSectno"/>
        </w:rPr>
        <w:t>27</w:t>
      </w:r>
      <w:r>
        <w:rPr>
          <w:snapToGrid w:val="0"/>
        </w:rPr>
        <w:t>.</w:t>
      </w:r>
      <w:r>
        <w:rPr>
          <w:snapToGrid w:val="0"/>
        </w:rPr>
        <w:tab/>
        <w:t>Injunction</w:t>
      </w:r>
      <w:bookmarkEnd w:id="55"/>
      <w:bookmarkEnd w:id="56"/>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57" w:name="_Toc405298438"/>
      <w:bookmarkStart w:id="58" w:name="_Toc424568553"/>
      <w:r>
        <w:rPr>
          <w:rStyle w:val="CharSectno"/>
        </w:rPr>
        <w:t>28</w:t>
      </w:r>
      <w:r>
        <w:rPr>
          <w:snapToGrid w:val="0"/>
        </w:rPr>
        <w:t>.</w:t>
      </w:r>
      <w:r>
        <w:rPr>
          <w:snapToGrid w:val="0"/>
        </w:rPr>
        <w:tab/>
        <w:t>Delegation</w:t>
      </w:r>
      <w:bookmarkEnd w:id="57"/>
      <w:bookmarkEnd w:id="5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59" w:name="_Toc405298439"/>
      <w:bookmarkStart w:id="60" w:name="_Toc424568554"/>
      <w:r>
        <w:rPr>
          <w:rStyle w:val="CharSectno"/>
        </w:rPr>
        <w:t>29</w:t>
      </w:r>
      <w:r>
        <w:rPr>
          <w:snapToGrid w:val="0"/>
        </w:rPr>
        <w:t>.</w:t>
      </w:r>
      <w:r>
        <w:rPr>
          <w:snapToGrid w:val="0"/>
        </w:rPr>
        <w:tab/>
        <w:t>False statements</w:t>
      </w:r>
      <w:bookmarkEnd w:id="59"/>
      <w:bookmarkEnd w:id="60"/>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spacing w:before="120"/>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61" w:name="_Toc405298440"/>
      <w:bookmarkStart w:id="62" w:name="_Toc424568555"/>
      <w:r>
        <w:rPr>
          <w:rStyle w:val="CharSectno"/>
        </w:rPr>
        <w:t>30</w:t>
      </w:r>
      <w:r>
        <w:rPr>
          <w:snapToGrid w:val="0"/>
        </w:rPr>
        <w:t>.</w:t>
      </w:r>
      <w:r>
        <w:rPr>
          <w:snapToGrid w:val="0"/>
        </w:rPr>
        <w:tab/>
        <w:t>Compliance with conditions of permit</w:t>
      </w:r>
      <w:bookmarkEnd w:id="61"/>
      <w:bookmarkEnd w:id="62"/>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63" w:name="_Toc405298441"/>
      <w:bookmarkStart w:id="64" w:name="_Toc424568556"/>
      <w:r>
        <w:rPr>
          <w:rStyle w:val="CharSectno"/>
        </w:rPr>
        <w:t>31</w:t>
      </w:r>
      <w:r>
        <w:t>.</w:t>
      </w:r>
      <w:r>
        <w:tab/>
        <w:t>Crimes</w:t>
      </w:r>
      <w:bookmarkEnd w:id="63"/>
      <w:bookmarkEnd w:id="64"/>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spacing w:before="80"/>
      </w:pPr>
      <w:r>
        <w:tab/>
        <w:t>[Section 31 inserted by No. 4 of 2004 s. 58.]</w:t>
      </w:r>
    </w:p>
    <w:p>
      <w:pPr>
        <w:pStyle w:val="Heading5"/>
        <w:rPr>
          <w:snapToGrid w:val="0"/>
        </w:rPr>
      </w:pPr>
      <w:bookmarkStart w:id="65" w:name="_Toc405298442"/>
      <w:bookmarkStart w:id="66" w:name="_Toc424568557"/>
      <w:r>
        <w:rPr>
          <w:rStyle w:val="CharSectno"/>
        </w:rPr>
        <w:t>32</w:t>
      </w:r>
      <w:r>
        <w:rPr>
          <w:snapToGrid w:val="0"/>
        </w:rPr>
        <w:t>.</w:t>
      </w:r>
      <w:r>
        <w:rPr>
          <w:snapToGrid w:val="0"/>
        </w:rPr>
        <w:tab/>
        <w:t>Evidence</w:t>
      </w:r>
      <w:bookmarkEnd w:id="65"/>
      <w:bookmarkEnd w:id="66"/>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 and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67" w:name="_Toc405298443"/>
      <w:bookmarkStart w:id="68" w:name="_Toc424568558"/>
      <w:r>
        <w:rPr>
          <w:rStyle w:val="CharSectno"/>
        </w:rPr>
        <w:t>33</w:t>
      </w:r>
      <w:r>
        <w:rPr>
          <w:snapToGrid w:val="0"/>
        </w:rPr>
        <w:t>.</w:t>
      </w:r>
      <w:r>
        <w:rPr>
          <w:snapToGrid w:val="0"/>
        </w:rPr>
        <w:tab/>
        <w:t>Evidence of analyst</w:t>
      </w:r>
      <w:bookmarkEnd w:id="67"/>
      <w:bookmarkEnd w:id="68"/>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69" w:name="_Toc405298444"/>
      <w:bookmarkStart w:id="70" w:name="_Toc424568559"/>
      <w:r>
        <w:rPr>
          <w:rStyle w:val="CharSectno"/>
        </w:rPr>
        <w:t>34</w:t>
      </w:r>
      <w:r>
        <w:rPr>
          <w:snapToGrid w:val="0"/>
        </w:rPr>
        <w:t>.</w:t>
      </w:r>
      <w:r>
        <w:rPr>
          <w:snapToGrid w:val="0"/>
        </w:rPr>
        <w:tab/>
        <w:t>Fees</w:t>
      </w:r>
      <w:bookmarkEnd w:id="69"/>
      <w:bookmarkEnd w:id="70"/>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71" w:name="_Toc405298445"/>
      <w:bookmarkStart w:id="72" w:name="_Toc424568560"/>
      <w:r>
        <w:rPr>
          <w:rStyle w:val="CharSectno"/>
        </w:rPr>
        <w:t>35</w:t>
      </w:r>
      <w:r>
        <w:rPr>
          <w:snapToGrid w:val="0"/>
        </w:rPr>
        <w:t>.</w:t>
      </w:r>
      <w:r>
        <w:rPr>
          <w:snapToGrid w:val="0"/>
        </w:rPr>
        <w:tab/>
        <w:t>Regulations</w:t>
      </w:r>
      <w:bookmarkEnd w:id="71"/>
      <w:bookmarkEnd w:id="72"/>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pStyle w:val="yEdnoteschedule"/>
      </w:pPr>
      <w:r>
        <w:t>[Heading deleted by No. 19 of 2010 s. 42(3).]</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3" w:name="_Toc405298113"/>
      <w:bookmarkStart w:id="74" w:name="_Toc405298446"/>
      <w:bookmarkStart w:id="75" w:name="_Toc424568561"/>
      <w:r>
        <w:rPr>
          <w:rStyle w:val="CharSchNo"/>
        </w:rPr>
        <w:t>Schedule 1</w:t>
      </w:r>
      <w:r>
        <w:t xml:space="preserve"> — </w:t>
      </w:r>
      <w:r>
        <w:rPr>
          <w:rStyle w:val="CharSchText"/>
        </w:rPr>
        <w:t>Convention</w:t>
      </w:r>
      <w:bookmarkEnd w:id="73"/>
      <w:bookmarkEnd w:id="74"/>
      <w:bookmarkEnd w:id="75"/>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keepNext/>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2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2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2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2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spacing w:before="140"/>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spacing w:before="140"/>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spacing w:before="140"/>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spacing w:before="140"/>
      </w:pPr>
      <w:r>
        <w:t>The Contracting Parties shall promote, through collaboration within the Organization and other international bodies, support for those Parties which request it for:</w:t>
      </w:r>
    </w:p>
    <w:p>
      <w:pPr>
        <w:pStyle w:val="yMiscellaneousBody"/>
        <w:tabs>
          <w:tab w:val="right" w:pos="993"/>
        </w:tabs>
        <w:spacing w:before="120"/>
        <w:ind w:left="1134" w:hanging="1134"/>
      </w:pPr>
      <w:r>
        <w:tab/>
        <w:t>(a)</w:t>
      </w:r>
      <w:r>
        <w:tab/>
        <w:t>the training of scientific and technical personnel;</w:t>
      </w:r>
    </w:p>
    <w:p>
      <w:pPr>
        <w:pStyle w:val="yMiscellaneousBody"/>
        <w:tabs>
          <w:tab w:val="right" w:pos="993"/>
        </w:tabs>
        <w:spacing w:before="120"/>
        <w:ind w:left="1134" w:hanging="1134"/>
      </w:pPr>
      <w:r>
        <w:tab/>
        <w:t>(b)</w:t>
      </w:r>
      <w:r>
        <w:tab/>
        <w:t>the supply of necessary equipment and facilities for research and monitoring;</w:t>
      </w:r>
    </w:p>
    <w:p>
      <w:pPr>
        <w:pStyle w:val="yMiscellaneousBody"/>
        <w:tabs>
          <w:tab w:val="right" w:pos="993"/>
        </w:tabs>
        <w:spacing w:before="120"/>
        <w:ind w:left="1134" w:hanging="1134"/>
      </w:pPr>
      <w:r>
        <w:tab/>
        <w:t>(c)</w:t>
      </w:r>
      <w:r>
        <w:tab/>
        <w:t>the disposal and treatment of waste and other measures to prevent or mitigate pollution caused by dumping;</w:t>
      </w:r>
    </w:p>
    <w:p>
      <w:pPr>
        <w:pStyle w:val="yMiscellaneousBody"/>
        <w:spacing w:before="120"/>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spacing w:before="140"/>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spacing w:before="140"/>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spacing w:before="140"/>
      </w:pPr>
      <w:r>
        <w:t>3.</w:t>
      </w:r>
      <w:r>
        <w:tab/>
        <w:t>The Secretariat duties of the Organization shall include:</w:t>
      </w:r>
    </w:p>
    <w:p>
      <w:pPr>
        <w:pStyle w:val="yMiscellaneousBody"/>
        <w:tabs>
          <w:tab w:val="right" w:pos="993"/>
        </w:tabs>
        <w:spacing w:before="110"/>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spacing w:before="110"/>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spacing w:before="110"/>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spacing w:before="110"/>
        <w:ind w:left="1134" w:hanging="1134"/>
      </w:pPr>
      <w:r>
        <w:tab/>
        <w:t>(d)</w:t>
      </w:r>
      <w:r>
        <w:tab/>
        <w:t>conveying to the Parties concerned all notifications received by the Organization in accordance with Articles IV(3), V(1) and (2), VI(4), XV, XX and XXI.</w:t>
      </w:r>
    </w:p>
    <w:p>
      <w:pPr>
        <w:pStyle w:val="yMiscellaneousBody"/>
        <w:spacing w:before="140"/>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76" w:name="_Toc405298114"/>
      <w:bookmarkStart w:id="77" w:name="_Toc405298447"/>
      <w:bookmarkStart w:id="78" w:name="_Toc424568562"/>
      <w:r>
        <w:rPr>
          <w:rStyle w:val="CharSchNo"/>
        </w:rPr>
        <w:t>Schedule 2</w:t>
      </w:r>
      <w:bookmarkEnd w:id="76"/>
      <w:bookmarkEnd w:id="77"/>
      <w:bookmarkEnd w:id="78"/>
      <w:r>
        <w:rPr>
          <w:rStyle w:val="CharSchText"/>
        </w:rPr>
        <w:t xml:space="preserve"> </w:t>
      </w:r>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spacing w:before="140"/>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spacing w:before="140"/>
        <w:ind w:left="1134" w:hanging="1134"/>
      </w:pPr>
      <w:r>
        <w:tab/>
        <w:t>(b)</w:t>
      </w:r>
      <w:r>
        <w:tab/>
        <w:t>As a part of the initial survey the State under whose direction the survey is being carried out shall:</w:t>
      </w:r>
    </w:p>
    <w:p>
      <w:pPr>
        <w:pStyle w:val="yMiscellaneousBody"/>
        <w:tabs>
          <w:tab w:val="right" w:pos="1701"/>
        </w:tabs>
        <w:spacing w:before="140"/>
        <w:ind w:left="1843" w:hanging="1843"/>
      </w:pPr>
      <w:r>
        <w:tab/>
        <w:t>(i)</w:t>
      </w:r>
      <w:r>
        <w:tab/>
        <w:t>approve the siting, type and manner of use of temperature measuring devices;</w:t>
      </w:r>
    </w:p>
    <w:p>
      <w:pPr>
        <w:pStyle w:val="yMiscellaneousBody"/>
        <w:tabs>
          <w:tab w:val="right" w:pos="1701"/>
        </w:tabs>
        <w:spacing w:before="140"/>
        <w:ind w:left="1843" w:hanging="1843"/>
      </w:pPr>
      <w:r>
        <w:tab/>
        <w:t>(ii)</w:t>
      </w:r>
      <w:r>
        <w:tab/>
        <w:t>approve the gas sampling system including probe locations, analytical devices, and the manner of recording;</w:t>
      </w:r>
    </w:p>
    <w:p>
      <w:pPr>
        <w:pStyle w:val="yMiscellaneousBody"/>
        <w:tabs>
          <w:tab w:val="right" w:pos="1701"/>
        </w:tabs>
        <w:spacing w:before="140"/>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spacing w:before="140"/>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8" o:title=""/>
          </v:shape>
          <o:OLEObject Type="Embed" ProgID="Equation.3" ShapeID="_x0000_i1025" DrawAspect="Content" ObjectID="_1643549490" r:id="rId29"/>
        </w:object>
      </w:r>
    </w:p>
    <w:p>
      <w:pPr>
        <w:pStyle w:val="yMiscellaneousBody"/>
        <w:tabs>
          <w:tab w:val="left" w:pos="1134"/>
          <w:tab w:val="left" w:pos="1701"/>
        </w:tabs>
        <w:spacing w:before="140"/>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spacing w:before="140"/>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spacing w:before="140"/>
        <w:ind w:left="1134" w:hanging="1134"/>
      </w:pPr>
      <w:r>
        <w:tab/>
        <w:t>(a)</w:t>
      </w:r>
      <w:r>
        <w:tab/>
        <w:t>continuous temperature measurements by approved temperature measuring devices;</w:t>
      </w:r>
    </w:p>
    <w:p>
      <w:pPr>
        <w:pStyle w:val="yMiscellaneousBody"/>
        <w:tabs>
          <w:tab w:val="right" w:pos="993"/>
        </w:tabs>
        <w:spacing w:before="140"/>
        <w:ind w:left="1134" w:hanging="1134"/>
      </w:pPr>
      <w:r>
        <w:tab/>
        <w:t>(b)</w:t>
      </w:r>
      <w:r>
        <w:tab/>
        <w:t>date and time during incineration and record of waste being incinerated;</w:t>
      </w:r>
    </w:p>
    <w:p>
      <w:pPr>
        <w:pStyle w:val="yMiscellaneousBody"/>
        <w:tabs>
          <w:tab w:val="right" w:pos="993"/>
        </w:tabs>
        <w:spacing w:before="140"/>
        <w:ind w:left="1134" w:hanging="1134"/>
      </w:pPr>
      <w:r>
        <w:tab/>
        <w:t>(c)</w:t>
      </w:r>
      <w:r>
        <w:tab/>
        <w:t>vessel position by appropriate navigational means;</w:t>
      </w:r>
    </w:p>
    <w:p>
      <w:pPr>
        <w:pStyle w:val="yMiscellaneousBody"/>
        <w:tabs>
          <w:tab w:val="right" w:pos="993"/>
        </w:tabs>
        <w:spacing w:before="140"/>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spacing w:before="140"/>
        <w:ind w:left="1134" w:hanging="1134"/>
      </w:pPr>
      <w:r>
        <w:tab/>
        <w:t>(e)</w:t>
      </w:r>
      <w:r>
        <w:tab/>
        <w:t>CO and CO</w:t>
      </w:r>
      <w:r>
        <w:rPr>
          <w:vertAlign w:val="subscript"/>
        </w:rPr>
        <w:t>2</w:t>
      </w:r>
      <w:r>
        <w:t xml:space="preserve"> concentration in combustion gases;</w:t>
      </w:r>
    </w:p>
    <w:p>
      <w:pPr>
        <w:pStyle w:val="yMiscellaneousBody"/>
        <w:tabs>
          <w:tab w:val="right" w:pos="993"/>
        </w:tabs>
        <w:spacing w:before="140"/>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spacing w:before="140"/>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spacing w:before="140"/>
        <w:ind w:left="1134" w:hanging="1134"/>
      </w:pPr>
      <w:r>
        <w:tab/>
        <w:t>(b)</w:t>
      </w:r>
      <w:r>
        <w:tab/>
        <w:t>oceanic dispersal characteristics of the area in order to evaluate the potential impact of plume interaction with the water surface;</w:t>
      </w:r>
    </w:p>
    <w:p>
      <w:pPr>
        <w:pStyle w:val="yMiscellaneousBody"/>
        <w:tabs>
          <w:tab w:val="right" w:pos="993"/>
        </w:tabs>
        <w:spacing w:before="140"/>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79" w:name="_Toc405298115"/>
      <w:bookmarkStart w:id="80" w:name="_Toc405298448"/>
      <w:bookmarkStart w:id="81" w:name="_Toc424568563"/>
      <w:r>
        <w:rPr>
          <w:rStyle w:val="CharSchNo"/>
        </w:rPr>
        <w:t>Schedule 3</w:t>
      </w:r>
      <w:bookmarkEnd w:id="79"/>
      <w:bookmarkEnd w:id="80"/>
      <w:bookmarkEnd w:id="81"/>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ageBreakBefore/>
      </w:pPr>
      <w:bookmarkStart w:id="83" w:name="_Toc405298116"/>
      <w:bookmarkStart w:id="84" w:name="_Toc405298449"/>
      <w:bookmarkStart w:id="85" w:name="_Toc424568564"/>
      <w:r>
        <w:t>Notes</w:t>
      </w:r>
      <w:bookmarkEnd w:id="83"/>
      <w:bookmarkEnd w:id="84"/>
      <w:bookmarkEnd w:id="85"/>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405298450"/>
      <w:bookmarkStart w:id="87" w:name="_Toc424568565"/>
      <w:r>
        <w:rPr>
          <w:snapToGrid w:val="0"/>
        </w:rPr>
        <w:t>Compilation table</w:t>
      </w:r>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2246"/>
        <w:gridCol w:w="22"/>
        <w:gridCol w:w="1112"/>
        <w:gridCol w:w="22"/>
        <w:gridCol w:w="1112"/>
        <w:gridCol w:w="22"/>
        <w:gridCol w:w="2552"/>
      </w:tblGrid>
      <w:tr>
        <w:trPr>
          <w:tblHeader/>
        </w:trPr>
        <w:tc>
          <w:tcPr>
            <w:tcW w:w="2268" w:type="dxa"/>
            <w:gridSpan w:val="2"/>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gridSpan w:val="2"/>
            <w:tcBorders>
              <w:top w:val="single" w:sz="8" w:space="0" w:color="auto"/>
            </w:tcBorders>
          </w:tcPr>
          <w:p>
            <w:pPr>
              <w:pStyle w:val="nTable"/>
              <w:spacing w:before="50" w:after="50"/>
            </w:pPr>
            <w:r>
              <w:rPr>
                <w:i/>
              </w:rPr>
              <w:t>Western Australian Marine (Sea Dumping) Act 1981</w:t>
            </w:r>
          </w:p>
        </w:tc>
        <w:tc>
          <w:tcPr>
            <w:tcW w:w="1134" w:type="dxa"/>
            <w:gridSpan w:val="2"/>
            <w:tcBorders>
              <w:top w:val="single" w:sz="8" w:space="0" w:color="auto"/>
            </w:tcBorders>
          </w:tcPr>
          <w:p>
            <w:pPr>
              <w:pStyle w:val="nTable"/>
              <w:spacing w:before="50" w:after="50"/>
            </w:pPr>
            <w:r>
              <w:t>111 of 1981</w:t>
            </w:r>
          </w:p>
        </w:tc>
        <w:tc>
          <w:tcPr>
            <w:tcW w:w="1134" w:type="dxa"/>
            <w:gridSpan w:val="2"/>
            <w:tcBorders>
              <w:top w:val="single" w:sz="8" w:space="0" w:color="auto"/>
            </w:tcBorders>
          </w:tcPr>
          <w:p>
            <w:pPr>
              <w:pStyle w:val="nTable"/>
              <w:spacing w:before="50" w:after="50"/>
            </w:pPr>
            <w:r>
              <w:t>4 Dec 1981</w:t>
            </w:r>
          </w:p>
        </w:tc>
        <w:tc>
          <w:tcPr>
            <w:tcW w:w="2552" w:type="dxa"/>
            <w:tcBorders>
              <w:top w:val="single" w:sz="8" w:space="0" w:color="auto"/>
            </w:tcBorders>
          </w:tcPr>
          <w:p>
            <w:pPr>
              <w:pStyle w:val="nTable"/>
              <w:spacing w:before="50" w:after="50"/>
            </w:pPr>
            <w:r>
              <w:t xml:space="preserve">19 Apr 1984 (see s. 1(2) and </w:t>
            </w:r>
            <w:r>
              <w:rPr>
                <w:i/>
              </w:rPr>
              <w:t>Gazette</w:t>
            </w:r>
            <w:r>
              <w:t xml:space="preserve"> 19 Apr 1984  p. 1103)</w:t>
            </w:r>
          </w:p>
        </w:tc>
      </w:tr>
      <w:tr>
        <w:tc>
          <w:tcPr>
            <w:tcW w:w="2268" w:type="dxa"/>
            <w:gridSpan w:val="2"/>
          </w:tcPr>
          <w:p>
            <w:pPr>
              <w:pStyle w:val="nTable"/>
              <w:spacing w:before="50" w:after="50"/>
            </w:pPr>
            <w:r>
              <w:rPr>
                <w:i/>
              </w:rPr>
              <w:t>Acts Amendment (Department of Transport) Act 1993</w:t>
            </w:r>
            <w:r>
              <w:t xml:space="preserve"> Pt. 16</w:t>
            </w:r>
          </w:p>
        </w:tc>
        <w:tc>
          <w:tcPr>
            <w:tcW w:w="1134" w:type="dxa"/>
            <w:gridSpan w:val="2"/>
          </w:tcPr>
          <w:p>
            <w:pPr>
              <w:pStyle w:val="nTable"/>
              <w:spacing w:before="50" w:after="50"/>
            </w:pPr>
            <w:r>
              <w:t>47 of 1993</w:t>
            </w:r>
          </w:p>
        </w:tc>
        <w:tc>
          <w:tcPr>
            <w:tcW w:w="1134" w:type="dxa"/>
            <w:gridSpan w:val="2"/>
          </w:tcPr>
          <w:p>
            <w:pPr>
              <w:pStyle w:val="nTable"/>
              <w:spacing w:before="50" w:after="50"/>
            </w:pPr>
            <w:r>
              <w:t>20 Dec 1993</w:t>
            </w:r>
          </w:p>
        </w:tc>
        <w:tc>
          <w:tcPr>
            <w:tcW w:w="2552" w:type="dxa"/>
          </w:tcPr>
          <w:p>
            <w:pPr>
              <w:pStyle w:val="nTable"/>
              <w:spacing w:before="50" w:after="50"/>
            </w:pPr>
            <w:r>
              <w:t xml:space="preserve">1 Jan 1994 (see s. 2 and </w:t>
            </w:r>
            <w:r>
              <w:rPr>
                <w:i/>
              </w:rPr>
              <w:t>Gazette</w:t>
            </w:r>
            <w:r>
              <w:t xml:space="preserve"> 31 Dec 1993 p. 6861)</w:t>
            </w:r>
          </w:p>
        </w:tc>
      </w:tr>
      <w:tr>
        <w:tc>
          <w:tcPr>
            <w:tcW w:w="2268" w:type="dxa"/>
            <w:gridSpan w:val="2"/>
          </w:tcPr>
          <w:p>
            <w:pPr>
              <w:pStyle w:val="nTable"/>
              <w:spacing w:before="50" w:after="50"/>
            </w:pPr>
            <w:r>
              <w:rPr>
                <w:i/>
              </w:rPr>
              <w:t>Local Government (Consequential Amendments) Act 1996</w:t>
            </w:r>
            <w:r>
              <w:t xml:space="preserve"> </w:t>
            </w:r>
            <w:r>
              <w:rPr>
                <w:snapToGrid w:val="0"/>
              </w:rPr>
              <w:t>s. 4</w:t>
            </w:r>
          </w:p>
        </w:tc>
        <w:tc>
          <w:tcPr>
            <w:tcW w:w="1134" w:type="dxa"/>
            <w:gridSpan w:val="2"/>
          </w:tcPr>
          <w:p>
            <w:pPr>
              <w:pStyle w:val="nTable"/>
              <w:spacing w:before="50" w:after="50"/>
            </w:pPr>
            <w:r>
              <w:t>14 of 1996</w:t>
            </w:r>
          </w:p>
        </w:tc>
        <w:tc>
          <w:tcPr>
            <w:tcW w:w="1134" w:type="dxa"/>
            <w:gridSpan w:val="2"/>
          </w:tcPr>
          <w:p>
            <w:pPr>
              <w:pStyle w:val="nTable"/>
              <w:spacing w:before="50" w:after="50"/>
            </w:pPr>
            <w:r>
              <w:t>28 Jun 1996</w:t>
            </w:r>
          </w:p>
        </w:tc>
        <w:tc>
          <w:tcPr>
            <w:tcW w:w="2552" w:type="dxa"/>
          </w:tcPr>
          <w:p>
            <w:pPr>
              <w:pStyle w:val="nTable"/>
              <w:spacing w:before="50" w:after="50"/>
            </w:pPr>
            <w:r>
              <w:t>1 Jul 1996 (see s. 2)</w:t>
            </w:r>
          </w:p>
        </w:tc>
      </w:tr>
      <w:tr>
        <w:tc>
          <w:tcPr>
            <w:tcW w:w="2268" w:type="dxa"/>
            <w:gridSpan w:val="2"/>
          </w:tcPr>
          <w:p>
            <w:pPr>
              <w:pStyle w:val="nTable"/>
              <w:spacing w:before="50" w:after="50"/>
              <w:rPr>
                <w:i/>
              </w:rPr>
            </w:pPr>
            <w:r>
              <w:rPr>
                <w:i/>
              </w:rPr>
              <w:t>Criminal Code Amendment Act 2004</w:t>
            </w:r>
            <w:r>
              <w:t xml:space="preserve"> s. 58</w:t>
            </w:r>
          </w:p>
        </w:tc>
        <w:tc>
          <w:tcPr>
            <w:tcW w:w="1134" w:type="dxa"/>
            <w:gridSpan w:val="2"/>
          </w:tcPr>
          <w:p>
            <w:pPr>
              <w:pStyle w:val="nTable"/>
              <w:spacing w:before="50" w:after="50"/>
            </w:pPr>
            <w:r>
              <w:t>4 of 2004</w:t>
            </w:r>
          </w:p>
        </w:tc>
        <w:tc>
          <w:tcPr>
            <w:tcW w:w="1134" w:type="dxa"/>
            <w:gridSpan w:val="2"/>
          </w:tcPr>
          <w:p>
            <w:pPr>
              <w:pStyle w:val="nTable"/>
              <w:spacing w:before="50" w:after="50"/>
            </w:pPr>
            <w:r>
              <w:t>23 Apr 2004</w:t>
            </w:r>
          </w:p>
        </w:tc>
        <w:tc>
          <w:tcPr>
            <w:tcW w:w="2552" w:type="dxa"/>
          </w:tcPr>
          <w:p>
            <w:pPr>
              <w:pStyle w:val="nTable"/>
              <w:spacing w:before="50" w:after="50"/>
            </w:pPr>
            <w:r>
              <w:t>21 May 2004 (see s. 2)</w:t>
            </w:r>
          </w:p>
        </w:tc>
      </w:tr>
      <w:tr>
        <w:trPr>
          <w:cantSplit/>
        </w:trPr>
        <w:tc>
          <w:tcPr>
            <w:tcW w:w="7088" w:type="dxa"/>
            <w:gridSpan w:val="7"/>
          </w:tcPr>
          <w:p>
            <w:pPr>
              <w:pStyle w:val="nTable"/>
              <w:spacing w:before="50" w:after="50"/>
              <w:rPr>
                <w:iCs/>
              </w:rPr>
            </w:pPr>
            <w:r>
              <w:rPr>
                <w:b/>
                <w:bCs/>
              </w:rPr>
              <w:t xml:space="preserve">Reprint 1: The </w:t>
            </w:r>
            <w:r>
              <w:rPr>
                <w:b/>
                <w:bCs/>
                <w:i/>
              </w:rPr>
              <w:t>Western Australian Marine (Sea Dumping) Act 1981</w:t>
            </w:r>
            <w:r>
              <w:rPr>
                <w:b/>
                <w:bCs/>
                <w:iCs/>
              </w:rPr>
              <w:t xml:space="preserve"> as at 6 Aug 2004</w:t>
            </w:r>
            <w:r>
              <w:rPr>
                <w:iCs/>
              </w:rPr>
              <w:t xml:space="preserve"> (includes amendments listed above)</w:t>
            </w:r>
          </w:p>
        </w:tc>
      </w:tr>
      <w:tr>
        <w:tc>
          <w:tcPr>
            <w:tcW w:w="2268" w:type="dxa"/>
            <w:gridSpan w:val="2"/>
          </w:tcPr>
          <w:p>
            <w:pPr>
              <w:pStyle w:val="nTable"/>
              <w:spacing w:before="50" w:after="50"/>
              <w:rPr>
                <w:i/>
              </w:rPr>
            </w:pPr>
            <w:r>
              <w:rPr>
                <w:i/>
                <w:snapToGrid w:val="0"/>
              </w:rPr>
              <w:t>Machinery of Government (Miscellaneous Amendments) Act 2006</w:t>
            </w:r>
            <w:r>
              <w:rPr>
                <w:i/>
                <w:iCs/>
                <w:snapToGrid w:val="0"/>
              </w:rPr>
              <w:t xml:space="preserve"> </w:t>
            </w:r>
            <w:r>
              <w:rPr>
                <w:snapToGrid w:val="0"/>
              </w:rPr>
              <w:t>Pt. 13 Div. 4</w:t>
            </w:r>
          </w:p>
        </w:tc>
        <w:tc>
          <w:tcPr>
            <w:tcW w:w="1134" w:type="dxa"/>
            <w:gridSpan w:val="2"/>
          </w:tcPr>
          <w:p>
            <w:pPr>
              <w:pStyle w:val="nTable"/>
              <w:spacing w:before="50" w:after="50"/>
            </w:pPr>
            <w:r>
              <w:rPr>
                <w:snapToGrid w:val="0"/>
              </w:rPr>
              <w:t>28 of 2006</w:t>
            </w:r>
          </w:p>
        </w:tc>
        <w:tc>
          <w:tcPr>
            <w:tcW w:w="1134" w:type="dxa"/>
            <w:gridSpan w:val="2"/>
          </w:tcPr>
          <w:p>
            <w:pPr>
              <w:pStyle w:val="nTable"/>
              <w:spacing w:before="50" w:after="50"/>
            </w:pPr>
            <w:r>
              <w:t>26 Jun 2006</w:t>
            </w:r>
          </w:p>
        </w:tc>
        <w:tc>
          <w:tcPr>
            <w:tcW w:w="2552" w:type="dxa"/>
          </w:tcPr>
          <w:p>
            <w:pPr>
              <w:pStyle w:val="nTable"/>
              <w:spacing w:before="50" w:after="50"/>
            </w:pPr>
            <w:r>
              <w:t xml:space="preserve">1 Jul 2006 (see s. 2 and </w:t>
            </w:r>
            <w:r>
              <w:rPr>
                <w:i/>
                <w:iCs/>
              </w:rPr>
              <w:t>Gazette</w:t>
            </w:r>
            <w:r>
              <w:t xml:space="preserve"> 27 Jun 2006 p. 2347)</w:t>
            </w:r>
          </w:p>
        </w:tc>
      </w:tr>
      <w:tr>
        <w:trPr>
          <w:cantSplit/>
        </w:trPr>
        <w:tc>
          <w:tcPr>
            <w:tcW w:w="2246" w:type="dxa"/>
          </w:tcPr>
          <w:p>
            <w:pPr>
              <w:pStyle w:val="nTable"/>
              <w:spacing w:before="50" w:after="50"/>
              <w:rPr>
                <w:iCs/>
                <w:snapToGrid w:val="0"/>
                <w:u w:val="words"/>
              </w:rPr>
            </w:pPr>
            <w:r>
              <w:rPr>
                <w:i/>
                <w:snapToGrid w:val="0"/>
              </w:rPr>
              <w:t>Standardisation of Formatting Act 2010</w:t>
            </w:r>
            <w:r>
              <w:rPr>
                <w:iCs/>
                <w:snapToGrid w:val="0"/>
              </w:rPr>
              <w:t xml:space="preserve"> s. 4 and 42(3)</w:t>
            </w:r>
          </w:p>
        </w:tc>
        <w:tc>
          <w:tcPr>
            <w:tcW w:w="1134" w:type="dxa"/>
            <w:gridSpan w:val="2"/>
          </w:tcPr>
          <w:p>
            <w:pPr>
              <w:pStyle w:val="nTable"/>
              <w:spacing w:before="50" w:after="50"/>
              <w:rPr>
                <w:snapToGrid w:val="0"/>
              </w:rPr>
            </w:pPr>
            <w:r>
              <w:rPr>
                <w:snapToGrid w:val="0"/>
              </w:rPr>
              <w:t>19 of 2010</w:t>
            </w:r>
          </w:p>
        </w:tc>
        <w:tc>
          <w:tcPr>
            <w:tcW w:w="1134" w:type="dxa"/>
            <w:gridSpan w:val="2"/>
          </w:tcPr>
          <w:p>
            <w:pPr>
              <w:pStyle w:val="nTable"/>
              <w:spacing w:before="50" w:after="50"/>
              <w:rPr>
                <w:snapToGrid w:val="0"/>
              </w:rPr>
            </w:pPr>
            <w:r>
              <w:rPr>
                <w:snapToGrid w:val="0"/>
              </w:rPr>
              <w:t>28 Jun 2010</w:t>
            </w:r>
          </w:p>
        </w:tc>
        <w:tc>
          <w:tcPr>
            <w:tcW w:w="2574"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46" w:type="dxa"/>
            <w:shd w:val="clear" w:color="auto" w:fill="auto"/>
          </w:tcPr>
          <w:p>
            <w:pPr>
              <w:pStyle w:val="nTable"/>
              <w:spacing w:before="50" w:after="50"/>
              <w:rPr>
                <w:i/>
                <w:snapToGrid w:val="0"/>
              </w:rPr>
            </w:pPr>
            <w:r>
              <w:rPr>
                <w:i/>
                <w:snapToGrid w:val="0"/>
              </w:rPr>
              <w:t>Personal Property Securities (Consequential Repeals and Amendments) Act 2011</w:t>
            </w:r>
            <w:r>
              <w:rPr>
                <w:snapToGrid w:val="0"/>
              </w:rPr>
              <w:t xml:space="preserve"> Pt. 12 Div. 8</w:t>
            </w:r>
          </w:p>
        </w:tc>
        <w:tc>
          <w:tcPr>
            <w:tcW w:w="1134" w:type="dxa"/>
            <w:gridSpan w:val="2"/>
            <w:shd w:val="clear" w:color="auto" w:fill="auto"/>
          </w:tcPr>
          <w:p>
            <w:pPr>
              <w:pStyle w:val="nTable"/>
              <w:spacing w:before="50" w:after="50"/>
              <w:rPr>
                <w:snapToGrid w:val="0"/>
              </w:rPr>
            </w:pPr>
            <w:r>
              <w:rPr>
                <w:snapToGrid w:val="0"/>
              </w:rPr>
              <w:t>42 of 2011</w:t>
            </w:r>
          </w:p>
        </w:tc>
        <w:tc>
          <w:tcPr>
            <w:tcW w:w="1134" w:type="dxa"/>
            <w:gridSpan w:val="2"/>
            <w:shd w:val="clear" w:color="auto" w:fill="auto"/>
          </w:tcPr>
          <w:p>
            <w:pPr>
              <w:pStyle w:val="nTable"/>
              <w:spacing w:before="50" w:after="50"/>
              <w:rPr>
                <w:snapToGrid w:val="0"/>
              </w:rPr>
            </w:pPr>
            <w:r>
              <w:t>4 Oct 2011</w:t>
            </w:r>
          </w:p>
        </w:tc>
        <w:tc>
          <w:tcPr>
            <w:tcW w:w="2574" w:type="dxa"/>
            <w:gridSpan w:val="2"/>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7088" w:type="dxa"/>
            <w:gridSpan w:val="7"/>
            <w:tcBorders>
              <w:bottom w:val="single" w:sz="8" w:space="0" w:color="auto"/>
            </w:tcBorders>
            <w:shd w:val="clear" w:color="auto" w:fill="auto"/>
          </w:tcPr>
          <w:p>
            <w:pPr>
              <w:pStyle w:val="nTable"/>
              <w:spacing w:before="50" w:after="50"/>
              <w:rPr>
                <w:snapToGrid w:val="0"/>
              </w:rPr>
            </w:pPr>
            <w:r>
              <w:rPr>
                <w:b/>
                <w:bCs/>
              </w:rPr>
              <w:t xml:space="preserve">Reprint 2: The </w:t>
            </w:r>
            <w:r>
              <w:rPr>
                <w:b/>
                <w:bCs/>
                <w:i/>
              </w:rPr>
              <w:t>Western Australian Marine (Sea Dumping) Act 1981</w:t>
            </w:r>
            <w:r>
              <w:rPr>
                <w:b/>
                <w:bCs/>
                <w:iCs/>
              </w:rPr>
              <w:t xml:space="preserve"> as at 21 Nov 2014</w:t>
            </w:r>
            <w:r>
              <w:rPr>
                <w:iCs/>
              </w:rPr>
              <w:t xml:space="preserve"> (includes amendments listed above)</w:t>
            </w:r>
          </w:p>
        </w:tc>
      </w:tr>
    </w:tbl>
    <w:p>
      <w:pPr>
        <w:pStyle w:val="nSubsection"/>
        <w:spacing w:before="120"/>
      </w:pPr>
      <w:r>
        <w:rPr>
          <w:vertAlign w:val="superscript"/>
        </w:rPr>
        <w:t>2</w:t>
      </w:r>
      <w:r>
        <w:tab/>
        <w:t xml:space="preserve">Repealed by the </w:t>
      </w:r>
      <w:r>
        <w:rPr>
          <w:i/>
          <w:iCs/>
        </w:rPr>
        <w:t>Western Australian Marine Act 1982</w:t>
      </w:r>
      <w:r>
        <w:t>.</w:t>
      </w:r>
    </w:p>
    <w:p>
      <w:pPr>
        <w:pStyle w:val="nSubsection"/>
        <w:spacing w:before="120"/>
      </w:pPr>
      <w:r>
        <w:rPr>
          <w:vertAlign w:val="superscript"/>
        </w:rPr>
        <w:t>3</w:t>
      </w:r>
      <w:r>
        <w:tab/>
        <w:t xml:space="preserve">Repealed by the </w:t>
      </w:r>
      <w:r>
        <w:rPr>
          <w:i/>
          <w:iCs/>
        </w:rPr>
        <w:t>Acts Amendment and Repeal (Environmental Protection) Act 1986</w:t>
      </w:r>
      <w:r>
        <w:t>.</w:t>
      </w:r>
    </w:p>
    <w:p>
      <w:pPr>
        <w:pStyle w:val="nSubsection"/>
        <w:keepNext/>
        <w:spacing w:before="120"/>
      </w:pPr>
      <w:r>
        <w:rPr>
          <w:vertAlign w:val="superscript"/>
        </w:rPr>
        <w:t>4</w:t>
      </w:r>
      <w:r>
        <w:tab/>
        <w:t xml:space="preserve">Under the </w:t>
      </w:r>
      <w:r>
        <w:rPr>
          <w:i/>
          <w:iCs/>
        </w:rPr>
        <w:t>Alteration of Statutory Designations Order 2003</w:t>
      </w:r>
      <w:r>
        <w:t xml:space="preserve"> a reference in any law to the Department of Mines was read and construed as a reference to the Department of Industry and Resources.</w:t>
      </w:r>
    </w:p>
    <w:p>
      <w:pPr>
        <w:pStyle w:val="nSubsection"/>
        <w:spacing w:before="120"/>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p>
    <w:p>
      <w:pPr>
        <w:pStyle w:val="nSubsection"/>
        <w:spacing w:before="120"/>
      </w:pPr>
      <w:r>
        <w:rPr>
          <w:vertAlign w:val="superscript"/>
        </w:rPr>
        <w:t>5</w:t>
      </w:r>
      <w:r>
        <w:tab/>
        <w:t xml:space="preserve">Under the </w:t>
      </w:r>
      <w:r>
        <w:rPr>
          <w:i/>
          <w:iCs/>
        </w:rPr>
        <w:t>Alteration of Statutory Designations Order 2010</w:t>
      </w:r>
      <w:r>
        <w:t xml:space="preserve"> a reference in any law to the Public Works Department is to be read and construed as a reference to the Department of Treasury and Finance.</w:t>
      </w:r>
    </w:p>
    <w:p>
      <w:pPr>
        <w:sectPr>
          <w:headerReference w:type="even" r:id="rId34"/>
          <w:headerReference w:type="default" r:id="rId35"/>
          <w:headerReference w:type="first" r:id="rId36"/>
          <w:type w:val="continuous"/>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coastal waters</w:t>
      </w:r>
      <w:r>
        <w:tab/>
        <w:t>2(1)</w:t>
      </w:r>
    </w:p>
    <w:p>
      <w:pPr>
        <w:pStyle w:val="DefinedTerms"/>
      </w:pPr>
      <w:r>
        <w:t>Convention</w:t>
      </w:r>
      <w:r>
        <w:tab/>
        <w:t>2(1)</w:t>
      </w:r>
    </w:p>
    <w:p>
      <w:pPr>
        <w:pStyle w:val="DefinedTerms"/>
      </w:pPr>
      <w:r>
        <w:t>holder</w:t>
      </w:r>
      <w:r>
        <w:tab/>
        <w:t>2(1)</w:t>
      </w:r>
    </w:p>
    <w:p>
      <w:pPr>
        <w:pStyle w:val="DefinedTerms"/>
      </w:pPr>
      <w:r>
        <w:t>inspector</w:t>
      </w:r>
      <w:r>
        <w:tab/>
        <w:t>2(1)</w:t>
      </w:r>
    </w:p>
    <w:p>
      <w:pPr>
        <w:pStyle w:val="DefinedTerms"/>
      </w:pPr>
      <w:r>
        <w:t>owner</w:t>
      </w:r>
      <w:r>
        <w:tab/>
        <w:t>2(1)</w:t>
      </w:r>
    </w:p>
    <w:p>
      <w:pPr>
        <w:pStyle w:val="DefinedTerms"/>
      </w:pPr>
      <w:r>
        <w:t>paragraph</w:t>
      </w:r>
      <w:r>
        <w:tab/>
        <w:t>2(1)</w:t>
      </w:r>
    </w:p>
    <w:p>
      <w:pPr>
        <w:pStyle w:val="DefinedTerms"/>
      </w:pPr>
      <w:r>
        <w:t>permit</w:t>
      </w:r>
      <w:r>
        <w:tab/>
        <w:t>2(1)</w:t>
      </w:r>
    </w:p>
    <w:p>
      <w:pPr>
        <w:pStyle w:val="DefinedTerms"/>
      </w:pPr>
      <w:r>
        <w:t>person in charge</w:t>
      </w:r>
      <w:r>
        <w:tab/>
        <w:t>2(1)</w:t>
      </w:r>
    </w:p>
    <w:p>
      <w:pPr>
        <w:pStyle w:val="DefinedTerms"/>
      </w:pPr>
      <w:r>
        <w:t>platform</w:t>
      </w:r>
      <w:r>
        <w:tab/>
        <w:t>2(1)</w:t>
      </w:r>
    </w:p>
    <w:p>
      <w:pPr>
        <w:pStyle w:val="DefinedTerms"/>
      </w:pPr>
      <w:r>
        <w:t>police force</w:t>
      </w:r>
      <w:r>
        <w:tab/>
        <w:t>2(1)</w:t>
      </w:r>
    </w:p>
    <w:p>
      <w:pPr>
        <w:pStyle w:val="DefinedTerms"/>
      </w:pPr>
      <w:r>
        <w:t>port waters</w:t>
      </w:r>
      <w:r>
        <w:tab/>
        <w:t>2(1)</w:t>
      </w:r>
    </w:p>
    <w:p>
      <w:pPr>
        <w:pStyle w:val="DefinedTerms"/>
      </w:pPr>
      <w:r>
        <w:t>prescribed matter or thing</w:t>
      </w:r>
      <w:r>
        <w:tab/>
        <w:t>7(2)</w:t>
      </w:r>
    </w:p>
    <w:p>
      <w:pPr>
        <w:pStyle w:val="DefinedTerms"/>
      </w:pPr>
      <w:r>
        <w:t>Schedule</w:t>
      </w:r>
      <w:r>
        <w:tab/>
        <w:t>2(1)</w:t>
      </w:r>
    </w:p>
    <w:p>
      <w:pPr>
        <w:pStyle w:val="DefinedTerms"/>
      </w:pPr>
      <w:r>
        <w:t>section</w:t>
      </w:r>
      <w:r>
        <w:tab/>
        <w:t>2(1)</w:t>
      </w:r>
    </w:p>
    <w:p>
      <w:pPr>
        <w:pStyle w:val="DefinedTerms"/>
      </w:pPr>
      <w:r>
        <w:t>subsection</w:t>
      </w:r>
      <w:r>
        <w:tab/>
        <w:t>2(1)</w:t>
      </w:r>
    </w:p>
    <w:p>
      <w:pPr>
        <w:pStyle w:val="DefinedTerms"/>
      </w:pPr>
      <w:r>
        <w:t>Western Australian aircraft</w:t>
      </w:r>
      <w:r>
        <w:tab/>
        <w:t>2(1)</w:t>
      </w:r>
    </w:p>
    <w:p>
      <w:pPr>
        <w:pStyle w:val="DefinedTerms"/>
      </w:pPr>
      <w:r>
        <w:t>Western Australian platform</w:t>
      </w:r>
      <w:r>
        <w:tab/>
        <w:t>2(1)</w:t>
      </w:r>
    </w:p>
    <w:p>
      <w:pPr>
        <w:pStyle w:val="DefinedTerms"/>
      </w:pPr>
      <w:r>
        <w:t>Western Australian vessel</w:t>
      </w:r>
      <w:r>
        <w:tab/>
        <w:t>2(1)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fldChar w:fldCharType="begin"/>
    </w:r>
    <w:r>
      <w:instrText xml:space="preserve"> PAGE </w:instrText>
    </w:r>
    <w:r>
      <w:fldChar w:fldCharType="separate"/>
    </w:r>
    <w:r>
      <w:rPr>
        <w:noProof/>
      </w:rPr>
      <w:t>4</w:t>
    </w:r>
    <w: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fldChar w:fldCharType="begin"/>
    </w:r>
    <w:r>
      <w:instrText xml:space="preserve"> PAGE </w:instrText>
    </w:r>
    <w:r>
      <w:fldChar w:fldCharType="separate"/>
    </w:r>
    <w:r>
      <w:rPr>
        <w:noProof/>
      </w:rPr>
      <w:t>3</w:t>
    </w:r>
    <w: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F24B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754"/>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 w:name="WAFER_20140711114529" w:val="RemoveTocBookmarks,RemoveUnusedBookmarks,RemoveLanguageTags,UsedStyles,ResetPageSize,RemoveCustomizations,UpdateArrangement"/>
    <w:docVar w:name="WAFER_20140711114529_GUID" w:val="2c7e2788-1951-4c7d-8ed2-50cc6f6b99ac"/>
    <w:docVar w:name="WAFER_20141114112121" w:val="RemoveTocBookmarks,RemoveUnusedBookmarks,RemoveLanguageTags,UsedStyles,RemoveTrackChanges"/>
    <w:docVar w:name="WAFER_20141114112121_GUID" w:val="d570d60b-eca7-4fc1-9851-4bce4d956614"/>
    <w:docVar w:name="WAFER_20141114112135" w:val="RemoveTocBookmarks,RemoveLanguageTags,RemoveTrackChanges,RunningHeaders"/>
    <w:docVar w:name="WAFER_20141114112135_GUID" w:val="7bfc23b9-3307-455a-b17e-0b5ff730c38e"/>
    <w:docVar w:name="WAFER_20141202153409" w:val="RemoveTocBookmarks,RemoveLanguageTags,RemoveTrackChanges,RunningHeaders"/>
    <w:docVar w:name="WAFER_20141202153409_GUID" w:val="ad05e76f-0efb-4cec-b76a-e779c0d67e2e"/>
    <w:docVar w:name="WAFER_20150713160313" w:val="ResetPageSize,UpdateArrangement,UpdateNTable"/>
    <w:docVar w:name="WAFER_20150713160313_GUID" w:val="0c4cee45-0315-4053-af7d-19c569730396"/>
    <w:docVar w:name="WAFER_20151110121754" w:val="UpdateStyles,UsedStyles"/>
    <w:docVar w:name="WAFER_20151110121754_GUID" w:val="7cacf577-8d2d-45ab-a399-86072ee60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16467</Words>
  <Characters>81679</Characters>
  <Application>Microsoft Office Word</Application>
  <DocSecurity>0</DocSecurity>
  <Lines>1992</Lines>
  <Paragraphs>952</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1981 - 02-a0-02</dc:title>
  <dc:subject/>
  <dc:creator/>
  <cp:keywords/>
  <dc:description/>
  <cp:lastModifiedBy>svcMRProcess</cp:lastModifiedBy>
  <cp:revision>4</cp:revision>
  <cp:lastPrinted>2014-11-27T01:08:00Z</cp:lastPrinted>
  <dcterms:created xsi:type="dcterms:W3CDTF">2020-02-18T08:44:00Z</dcterms:created>
  <dcterms:modified xsi:type="dcterms:W3CDTF">2020-02-18T08:44:00Z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20141121</vt:lpwstr>
  </property>
  <property fmtid="{D5CDD505-2E9C-101B-9397-08002B2CF9AE}" pid="4" name="DocumentType">
    <vt:lpwstr>Act</vt:lpwstr>
  </property>
  <property fmtid="{D5CDD505-2E9C-101B-9397-08002B2CF9AE}" pid="5" name="OwlsUID">
    <vt:i4>890</vt:i4>
  </property>
  <property fmtid="{D5CDD505-2E9C-101B-9397-08002B2CF9AE}" pid="6" name="ThisVersion">
    <vt:lpwstr>01-d0-00</vt:lpwstr>
  </property>
  <property fmtid="{D5CDD505-2E9C-101B-9397-08002B2CF9AE}" pid="7" name="ReprintNo">
    <vt:lpwstr>2</vt:lpwstr>
  </property>
  <property fmtid="{D5CDD505-2E9C-101B-9397-08002B2CF9AE}" pid="8" name="ReprintedAsAt">
    <vt:filetime>2014-11-20T16:00:00Z</vt:filetime>
  </property>
  <property fmtid="{D5CDD505-2E9C-101B-9397-08002B2CF9AE}" pid="9" name="AsAtDate">
    <vt:lpwstr>21 Nov 2014</vt:lpwstr>
  </property>
  <property fmtid="{D5CDD505-2E9C-101B-9397-08002B2CF9AE}" pid="10" name="Suffix">
    <vt:lpwstr>02-a0-02</vt:lpwstr>
  </property>
</Properties>
</file>