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outlineLvl w:val="0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outlineLvl w:val="0"/>
      </w:pPr>
      <w:r>
        <w:t>Child Support (Adoption of Laws) Amendment Act 2014</w:t>
      </w:r>
    </w:p>
    <w:p>
      <w:pPr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1907" w:h="16840"/>
          <w:pgMar w:top="2376" w:right="2405" w:bottom="3542" w:left="2405" w:header="709" w:footer="3380" w:gutter="0"/>
          <w:pgNumType w:fmt="lowerRoman" w:start="1"/>
          <w:cols w:space="720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 Support (Adoption of Laws) Amendment Act 2014</w:t>
      </w:r>
      <w:r>
        <w:fldChar w:fldCharType="end"/>
      </w:r>
    </w:p>
    <w:p>
      <w:pPr>
        <w:pStyle w:val="Arrangement"/>
      </w:pPr>
      <w:r>
        <w:t>Contents</w:t>
      </w:r>
    </w:p>
    <w:bookmarkStart w:id="1" w:name="Arrangement"/>
    <w:bookmarkEnd w:id="1"/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_Toc405380030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_Toc405380031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_Toc405380032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_Toc405380033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 amended</w:t>
      </w:r>
      <w:r>
        <w:tab/>
      </w:r>
      <w:r>
        <w:fldChar w:fldCharType="begin"/>
      </w:r>
      <w:r>
        <w:instrText xml:space="preserve"> PAGEREF _Toc405380034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bookmarkStart w:id="2" w:name="OddPGBreak"/>
      <w:bookmarkEnd w:id="2"/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type w:val="oddPage"/>
          <w:pgSz w:w="11907" w:h="16840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5636"/>
            <wp:effectExtent l="0" t="0" r="0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Child Support (Adoption of Laws) Amendment Act 2014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34 of 2014</w:t>
      </w:r>
    </w:p>
    <w:p>
      <w:pPr>
        <w:pStyle w:val="LongTitle"/>
        <w:suppressLineNumbers/>
      </w:pPr>
      <w:r>
        <w:rPr>
          <w:snapToGrid w:val="0"/>
        </w:rPr>
        <w:t xml:space="preserve">An Act to amend the </w:t>
      </w:r>
      <w:r>
        <w:rPr>
          <w:i/>
          <w:snapToGrid w:val="0"/>
        </w:rPr>
        <w:t>Child Support (Adoption of Laws) Act 1990</w:t>
      </w:r>
      <w:r>
        <w:t>.</w:t>
      </w:r>
    </w:p>
    <w:p>
      <w:pPr>
        <w:pStyle w:val="AssentNote"/>
      </w:pPr>
      <w:r>
        <w:t>[Assented to 3 December 2014]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05375902"/>
      <w:bookmarkStart w:id="5" w:name="_Toc405380030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4"/>
      <w:bookmarkEnd w:id="5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Child Support (Adoption of Laws) Amendment Act 2014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05375903"/>
      <w:bookmarkStart w:id="7" w:name="_Toc40538003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 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8" w:name="_Toc405375904"/>
      <w:bookmarkStart w:id="9" w:name="_Toc40538003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Child Support (Adoption of Laws) Act 1990</w:t>
      </w:r>
      <w:r>
        <w:t>.</w:t>
      </w:r>
    </w:p>
    <w:p>
      <w:pPr>
        <w:pStyle w:val="Heading5"/>
      </w:pPr>
      <w:bookmarkStart w:id="10" w:name="_Toc405375905"/>
      <w:bookmarkStart w:id="11" w:name="_Toc405380033"/>
      <w:r>
        <w:rPr>
          <w:rStyle w:val="CharSectno"/>
        </w:rPr>
        <w:t>4</w:t>
      </w:r>
      <w:r>
        <w:t>.</w:t>
      </w:r>
      <w:r>
        <w:tab/>
        <w:t>Section 3 amended</w:t>
      </w:r>
      <w:bookmarkEnd w:id="10"/>
      <w:bookmarkEnd w:id="11"/>
    </w:p>
    <w:p>
      <w:pPr>
        <w:pStyle w:val="Subsection"/>
      </w:pPr>
      <w:r>
        <w:tab/>
      </w:r>
      <w:r>
        <w:tab/>
        <w:t>In section 3(a) delete “1 July 2012; and”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 July 2014; and</w:t>
      </w:r>
    </w:p>
    <w:p>
      <w:pPr>
        <w:pStyle w:val="BlankClose"/>
      </w:pPr>
    </w:p>
    <w:p>
      <w:pPr>
        <w:pStyle w:val="NotesPerm"/>
        <w:tabs>
          <w:tab w:val="clear" w:pos="879"/>
          <w:tab w:val="left" w:pos="851"/>
        </w:tabs>
        <w:ind w:left="1418" w:hanging="1418"/>
      </w:pPr>
      <w:r>
        <w:tab/>
        <w:t>Note:</w:t>
      </w:r>
      <w:r>
        <w:tab/>
        <w:t xml:space="preserve">The purpose of this amendment is to ensure that the adoption by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 xml:space="preserve"> of the </w:t>
      </w:r>
      <w:r>
        <w:rPr>
          <w:i/>
        </w:rPr>
        <w:t>Child Support (Registration and Collection) Act 1988</w:t>
      </w:r>
      <w:r>
        <w:t xml:space="preserve"> (Commonwealth) extends to that Act as amended —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</w:pPr>
      <w:r>
        <w:tab/>
      </w:r>
      <w:r>
        <w:tab/>
        <w:t>(a)</w:t>
      </w:r>
      <w:r>
        <w:tab/>
        <w:t xml:space="preserve">on 17 November 2012 by the </w:t>
      </w:r>
      <w:r>
        <w:rPr>
          <w:i/>
        </w:rPr>
        <w:t xml:space="preserve">Social Security and Other Legislation Amendment (Further 2012 Budget and Other Measures) Act 2012 </w:t>
      </w:r>
      <w:r>
        <w:t>(Commonwealth) Sch 4; and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</w:pPr>
      <w:r>
        <w:tab/>
      </w:r>
      <w:r>
        <w:tab/>
        <w:t>(b)</w:t>
      </w:r>
      <w:r>
        <w:tab/>
        <w:t xml:space="preserve">on 11 December 2012 by the </w:t>
      </w:r>
      <w:r>
        <w:rPr>
          <w:i/>
        </w:rPr>
        <w:t xml:space="preserve">Personal Liability for Corporate Fault Reform Act 2012 </w:t>
      </w:r>
      <w:r>
        <w:t>(Commonwealth); and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</w:pPr>
      <w:r>
        <w:tab/>
      </w:r>
      <w:r>
        <w:tab/>
        <w:t>(c)</w:t>
      </w:r>
      <w:r>
        <w:tab/>
        <w:t xml:space="preserve">on 15 December 2012 by the </w:t>
      </w:r>
      <w:r>
        <w:rPr>
          <w:i/>
        </w:rPr>
        <w:t xml:space="preserve">Social Security and Other Legislation Amendment (Further 2012 Budget and Other Measures) Act 2012 </w:t>
      </w:r>
      <w:r>
        <w:t>(Commonwealth) Sch 3; and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</w:pPr>
      <w:r>
        <w:tab/>
      </w:r>
      <w:r>
        <w:tab/>
        <w:t>(d)</w:t>
      </w:r>
      <w:r>
        <w:tab/>
        <w:t xml:space="preserve">on 12 April 2013 by the </w:t>
      </w:r>
      <w:r>
        <w:rPr>
          <w:i/>
        </w:rPr>
        <w:t xml:space="preserve">Federal Circuit Court of Australia (Consequential Amendments) Act 2013 </w:t>
      </w:r>
      <w:r>
        <w:t>(Commonwealth); and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</w:pPr>
      <w:r>
        <w:tab/>
      </w:r>
      <w:r>
        <w:tab/>
        <w:t>(e)</w:t>
      </w:r>
      <w:r>
        <w:tab/>
        <w:t xml:space="preserve">on 29 June 2013 by the </w:t>
      </w:r>
      <w:r>
        <w:rPr>
          <w:i/>
        </w:rPr>
        <w:t xml:space="preserve">Statute Law Revision Act 2013 </w:t>
      </w:r>
      <w:r>
        <w:t>(Commonwealth); and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  <w:rPr>
          <w:i/>
        </w:rPr>
      </w:pPr>
      <w:r>
        <w:tab/>
      </w:r>
      <w:r>
        <w:tab/>
        <w:t>(f)</w:t>
      </w:r>
      <w:r>
        <w:tab/>
        <w:t xml:space="preserve">on 7 April 2014 by the </w:t>
      </w:r>
      <w:r>
        <w:rPr>
          <w:i/>
        </w:rPr>
        <w:t>Social Services and Other Legislation Amendment Act 2014</w:t>
      </w:r>
      <w:r>
        <w:t xml:space="preserve"> (Commonwealth).</w:t>
      </w:r>
    </w:p>
    <w:p>
      <w:pPr>
        <w:pStyle w:val="Heading5"/>
      </w:pPr>
      <w:bookmarkStart w:id="12" w:name="_Toc405375906"/>
      <w:bookmarkStart w:id="13" w:name="_Toc405380034"/>
      <w:r>
        <w:rPr>
          <w:rStyle w:val="CharSectno"/>
        </w:rPr>
        <w:t>5</w:t>
      </w:r>
      <w:r>
        <w:t>.</w:t>
      </w:r>
      <w:r>
        <w:tab/>
        <w:t>Section 4 amended</w:t>
      </w:r>
      <w:bookmarkEnd w:id="12"/>
      <w:bookmarkEnd w:id="13"/>
    </w:p>
    <w:p>
      <w:pPr>
        <w:pStyle w:val="Subsection"/>
      </w:pPr>
      <w:r>
        <w:tab/>
      </w:r>
      <w:r>
        <w:tab/>
        <w:t>In section 4(b) delete “1 July 2012; and”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 July 2014; and</w:t>
      </w:r>
    </w:p>
    <w:p>
      <w:pPr>
        <w:pStyle w:val="BlankClose"/>
      </w:pPr>
    </w:p>
    <w:p>
      <w:pPr>
        <w:pStyle w:val="NotesPerm"/>
        <w:tabs>
          <w:tab w:val="clear" w:pos="879"/>
          <w:tab w:val="left" w:pos="851"/>
        </w:tabs>
        <w:ind w:left="1418" w:hanging="1418"/>
      </w:pPr>
      <w:r>
        <w:tab/>
        <w:t>Note:</w:t>
      </w:r>
      <w:r>
        <w:tab/>
        <w:t xml:space="preserve">This amendment is made to ensure that the adoption by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 xml:space="preserve"> of </w:t>
      </w:r>
      <w:r>
        <w:rPr>
          <w:i/>
        </w:rPr>
        <w:t>the Child Support (Assessment) Act 1989</w:t>
      </w:r>
      <w:r>
        <w:t xml:space="preserve"> (Commonwealth) extends to that Act as amended —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</w:pPr>
      <w:r>
        <w:tab/>
      </w:r>
      <w:r>
        <w:tab/>
        <w:t>(a)</w:t>
      </w:r>
      <w:r>
        <w:tab/>
        <w:t xml:space="preserve">on 17 November 2012 by the </w:t>
      </w:r>
      <w:r>
        <w:rPr>
          <w:i/>
        </w:rPr>
        <w:t xml:space="preserve">Social Security and Other Legislation Amendment (Further 2012 Budget and Other Measures) Act 2012 </w:t>
      </w:r>
      <w:r>
        <w:t>(Commonwealth); and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</w:pPr>
      <w:r>
        <w:tab/>
      </w:r>
      <w:r>
        <w:tab/>
        <w:t>(b)</w:t>
      </w:r>
      <w:r>
        <w:tab/>
        <w:t xml:space="preserve">on 1 January 2013 by the </w:t>
      </w:r>
      <w:r>
        <w:rPr>
          <w:i/>
        </w:rPr>
        <w:t>Social Security and Other Legislation (Disability Support Pension Participation Reforms) Act 2012</w:t>
      </w:r>
      <w:r>
        <w:t xml:space="preserve"> (Commonwealth) Sch 4 Pt 1 Div 2; and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</w:pPr>
      <w:r>
        <w:tab/>
      </w:r>
      <w:r>
        <w:tab/>
        <w:t>(c)</w:t>
      </w:r>
      <w:r>
        <w:tab/>
        <w:t xml:space="preserve">on 12 April 2013 by the </w:t>
      </w:r>
      <w:r>
        <w:rPr>
          <w:i/>
        </w:rPr>
        <w:t xml:space="preserve">Federal Circuit Court of Australia (Consequential Amendments) Act 2013 </w:t>
      </w:r>
      <w:r>
        <w:t>(Commonwealth); and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</w:pPr>
      <w:r>
        <w:tab/>
      </w:r>
      <w:r>
        <w:tab/>
        <w:t>(d)</w:t>
      </w:r>
      <w:r>
        <w:tab/>
        <w:t xml:space="preserve">on 29 June 2013 by the </w:t>
      </w:r>
      <w:r>
        <w:rPr>
          <w:i/>
        </w:rPr>
        <w:t xml:space="preserve">Statute Law Revision Act 2013 </w:t>
      </w:r>
      <w:r>
        <w:t>(Commonwealth); and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</w:pPr>
      <w:r>
        <w:tab/>
      </w:r>
      <w:r>
        <w:tab/>
        <w:t>(e)</w:t>
      </w:r>
      <w:r>
        <w:tab/>
        <w:t xml:space="preserve">on 1 July 2013 by the </w:t>
      </w:r>
      <w:r>
        <w:rPr>
          <w:i/>
        </w:rPr>
        <w:t>Social Security and Other Legislation (Disability Support Pension Participation Reforms) Act 2012</w:t>
      </w:r>
      <w:r>
        <w:t xml:space="preserve"> (Commonwealth) Sch 4 Pt 1 Div 3; and</w:t>
      </w:r>
    </w:p>
    <w:p>
      <w:pPr>
        <w:pStyle w:val="NotesPerm"/>
        <w:tabs>
          <w:tab w:val="clear" w:pos="879"/>
          <w:tab w:val="left" w:pos="851"/>
          <w:tab w:val="left" w:pos="1418"/>
          <w:tab w:val="left" w:pos="1985"/>
        </w:tabs>
        <w:ind w:left="1985" w:hanging="1985"/>
        <w:rPr>
          <w:i/>
        </w:rPr>
      </w:pPr>
      <w:r>
        <w:tab/>
      </w:r>
      <w:r>
        <w:tab/>
        <w:t>(f)</w:t>
      </w:r>
      <w:r>
        <w:tab/>
        <w:t xml:space="preserve">on 7 April 2014 by the </w:t>
      </w:r>
      <w:r>
        <w:rPr>
          <w:i/>
        </w:rPr>
        <w:t>Social Services and Other Legislation Amendment Act 2014</w:t>
      </w:r>
      <w:r>
        <w:t xml:space="preserve"> (Commonwealth).</w:t>
      </w:r>
    </w:p>
    <w:p/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>
      <w:pPr>
        <w:pStyle w:val="Subsection"/>
        <w:tabs>
          <w:tab w:val="clear" w:pos="595"/>
          <w:tab w:val="clear" w:pos="879"/>
        </w:tabs>
        <w:spacing w:before="240"/>
        <w:ind w:left="0" w:firstLine="0"/>
        <w:jc w:val="center"/>
        <w:outlineLvl w:val="0"/>
        <w:rPr>
          <w:b/>
          <w:sz w:val="20"/>
        </w:rPr>
      </w:pPr>
    </w:p>
    <w:sectPr>
      <w:headerReference w:type="even" r:id="rId32"/>
      <w:headerReference w:type="default" r:id="rId33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34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34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34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34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34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34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34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34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34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Text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DOCPROPERTY &quot;ShortTitle&quot; ">
            <w:r>
              <w:t>Child Support (Adoption of Laws) Amendment Act 2014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\n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instrText>1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\n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TextLef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28"/>
          </w:pPr>
          <w:fldSimple w:instr=" DOCPROPERTY &quot;ShortTitle&quot; ">
            <w:r>
              <w:t>Child Support (Adoption of Laws) Amendment Act 2014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28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\n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instrText>1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28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\n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NumberRight"/>
            <w:ind w:right="28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Child Support (Adoption of Laws) Amendment Act 2014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\* MERGEFORMAT ">
            <w:r>
              <w:rPr>
                <w:noProof/>
              </w:rPr>
              <w:t>Child Support (Adoption of Laws) Amendment Act 2014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NumberRight"/>
            <w:ind w:right="17"/>
          </w:pPr>
          <w:r>
            <w:t xml:space="preserve">s. </w:t>
          </w:r>
          <w:fldSimple w:instr=" styleref CharSectno \n ">
            <w:r>
              <w:rPr>
                <w:noProof/>
              </w:rPr>
              <w:t>0</w:t>
            </w:r>
          </w:fldSimple>
          <w:fldSimple w:instr=" STYLEREF CharSectno \* MERGEFORMAT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CHARFORMAT ">
            <w:r>
              <w:rPr>
                <w:noProof/>
              </w:rPr>
              <w:t>Child Support (Adoption of Laws) Amendment Act 2014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\* CHARFORMAT ">
            <w:r>
              <w:rPr>
                <w:noProof/>
              </w:rPr>
              <w:t>Child Support (Adoption of Laws) Amendment Act 2014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SectNo ">
            <w:r>
              <w:rPr>
                <w:noProof/>
              </w:rPr>
              <w:instrText>1</w:instrText>
            </w:r>
          </w:fldSimple>
          <w:r>
            <w:instrText>" "</w:instrText>
          </w:r>
          <w:fldSimple w:instr=" STYLEREF CharSectNo \n ">
            <w:r>
              <w:rPr>
                <w:noProof/>
              </w:rPr>
              <w:instrText>5</w:instrText>
            </w:r>
          </w:fldSimple>
          <w:r>
            <w:instrText>"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46434"/>
    <w:multiLevelType w:val="hybridMultilevel"/>
    <w:tmpl w:val="CA584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70100E2"/>
    <w:multiLevelType w:val="hybridMultilevel"/>
    <w:tmpl w:val="F3525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3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4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30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8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812120151"/>
    <w:docVar w:name="WAFER_20140812120151" w:val="RemoveTocBookmarks,RemoveUnusedBookmarks,RemoveLanguageTags,UsedStyles,ResetPageSize"/>
    <w:docVar w:name="WAFER_20140812120151_GUID" w:val="8ad2c5ad-960e-4547-996a-cbe206ab34a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NoteHeadingChar">
    <w:name w:val="Note Heading Char"/>
    <w:basedOn w:val="DefaultParagraphFont"/>
    <w:link w:val="NoteHeading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NoteHeadingChar">
    <w:name w:val="Note Heading Char"/>
    <w:basedOn w:val="DefaultParagraphFont"/>
    <w:link w:val="NoteHeading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2.png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image" Target="media/image1.tiff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2846</Characters>
  <Application>Microsoft Office Word</Application>
  <DocSecurity>0</DocSecurity>
  <Lines>101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3358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(Adoption of Laws) Amendment Act 2014 - 00-00-01</dc:title>
  <dc:subject>Bills and Amendments</dc:subject>
  <dc:creator>Allan Mathieson</dc:creator>
  <cp:lastModifiedBy>svcMRProcess</cp:lastModifiedBy>
  <cp:revision>4</cp:revision>
  <cp:lastPrinted>2014-12-03T05:16:00Z</cp:lastPrinted>
  <dcterms:created xsi:type="dcterms:W3CDTF">2015-03-10T03:00:00Z</dcterms:created>
  <dcterms:modified xsi:type="dcterms:W3CDTF">2015-03-10T03:00:00Z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2284</vt:lpwstr>
  </property>
  <property fmtid="{D5CDD505-2E9C-101B-9397-08002B2CF9AE}" pid="3" name="ShortTitle">
    <vt:lpwstr>Child Support (Adoption of Laws) Amendment Act 2014</vt:lpwstr>
  </property>
  <property fmtid="{D5CDD505-2E9C-101B-9397-08002B2CF9AE}" pid="4" name="Citation">
    <vt:lpwstr>Child Support (Adoption of Laws) Amendment Act 2014</vt:lpwstr>
  </property>
  <property fmtid="{D5CDD505-2E9C-101B-9397-08002B2CF9AE}" pid="5" name="PrincipalAct">
    <vt:lpwstr>Child Support (Adoption of Laws) Act 1990</vt:lpwstr>
  </property>
  <property fmtid="{D5CDD505-2E9C-101B-9397-08002B2CF9AE}" pid="6" name="SLPBillNumber">
    <vt:lpwstr>89—1</vt:lpwstr>
  </property>
  <property fmtid="{D5CDD505-2E9C-101B-9397-08002B2CF9AE}" pid="7" name="StationID">
    <vt:lpwstr>12</vt:lpwstr>
  </property>
  <property fmtid="{D5CDD505-2E9C-101B-9397-08002B2CF9AE}" pid="8" name="ActNo">
    <vt:lpwstr>34 of 2014</vt:lpwstr>
  </property>
  <property fmtid="{D5CDD505-2E9C-101B-9397-08002B2CF9AE}" pid="9" name="ActNoFooter">
    <vt:lpwstr>No. 34 of 2014</vt:lpwstr>
  </property>
  <property fmtid="{D5CDD505-2E9C-101B-9397-08002B2CF9AE}" pid="10" name="KitandImprint">
    <vt:lpwstr>  </vt:lpwstr>
  </property>
  <property fmtid="{D5CDD505-2E9C-101B-9397-08002B2CF9AE}" pid="11" name="Assent Date">
    <vt:lpwstr>3 December 2014</vt:lpwstr>
  </property>
  <property fmtid="{D5CDD505-2E9C-101B-9397-08002B2CF9AE}" pid="12" name="PerfectBound">
    <vt:lpwstr>NO</vt:lpwstr>
  </property>
  <property fmtid="{D5CDD505-2E9C-101B-9397-08002B2CF9AE}" pid="13" name="AsAtDate">
    <vt:lpwstr>03 Dec 2014</vt:lpwstr>
  </property>
  <property fmtid="{D5CDD505-2E9C-101B-9397-08002B2CF9AE}" pid="14" name="Suffix">
    <vt:lpwstr>00-00-01</vt:lpwstr>
  </property>
  <property fmtid="{D5CDD505-2E9C-101B-9397-08002B2CF9AE}" pid="15" name="DocumentType">
    <vt:lpwstr>Act</vt:lpwstr>
  </property>
  <property fmtid="{D5CDD505-2E9C-101B-9397-08002B2CF9AE}" pid="16" name="CommencementDate">
    <vt:lpwstr>20141203</vt:lpwstr>
  </property>
</Properties>
</file>