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A7" w:rsidRDefault="00CC23A7" w:rsidP="00CC23A7">
      <w:pPr>
        <w:pStyle w:val="WA"/>
        <w:outlineLvl w:val="0"/>
      </w:pPr>
      <w:bookmarkStart w:id="0" w:name="_GoBack"/>
      <w:bookmarkEnd w:id="0"/>
      <w:r>
        <w:t>Western Australia</w:t>
      </w:r>
    </w:p>
    <w:p w:rsidR="00CC23A7" w:rsidRDefault="00CC23A7" w:rsidP="00CC23A7">
      <w:pPr>
        <w:pStyle w:val="NameofActRegPage1"/>
        <w:spacing w:before="3760" w:after="4200"/>
        <w:outlineLvl w:val="0"/>
      </w:pPr>
      <w:r>
        <w:t>Mines Safety and Inspection Amendment Act 2014</w:t>
      </w:r>
    </w:p>
    <w:p w:rsidR="00CC23A7" w:rsidRDefault="00CC23A7" w:rsidP="00CC23A7">
      <w:pPr>
        <w:jc w:val="center"/>
        <w:outlineLvl w:val="0"/>
        <w:rPr>
          <w:b/>
        </w:rPr>
        <w:sectPr w:rsidR="00CC23A7" w:rsidSect="00FF6F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CC23A7" w:rsidRDefault="00CC23A7" w:rsidP="00CC23A7">
      <w:pPr>
        <w:pStyle w:val="WA"/>
        <w:outlineLvl w:val="0"/>
      </w:pPr>
      <w:r>
        <w:lastRenderedPageBreak/>
        <w:t>Western Australia</w:t>
      </w:r>
    </w:p>
    <w:p w:rsidR="00CC23A7" w:rsidRDefault="00CC23A7" w:rsidP="00CC23A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830AC">
        <w:rPr>
          <w:noProof/>
        </w:rPr>
        <w:t>Mines Safety and Inspection Amendment Act 2014</w:t>
      </w:r>
      <w:r>
        <w:fldChar w:fldCharType="end"/>
      </w:r>
    </w:p>
    <w:p w:rsidR="00CC23A7" w:rsidRDefault="00CC23A7" w:rsidP="00CC23A7">
      <w:pPr>
        <w:pStyle w:val="Arrangement"/>
      </w:pPr>
      <w:r>
        <w:t>Contents</w:t>
      </w:r>
    </w:p>
    <w:p w:rsidR="00CC23A7" w:rsidRDefault="00CC23A7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  <w:sz w:val="22"/>
        </w:rP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rPr>
          <w:b w:val="0"/>
          <w:sz w:val="22"/>
        </w:rPr>
        <w:fldChar w:fldCharType="separate"/>
      </w:r>
      <w:r>
        <w:t>Part 1 — Preliminary</w:t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CF302F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_Toc405474593 \h </w:instrText>
      </w:r>
      <w:r>
        <w:fldChar w:fldCharType="separate"/>
      </w:r>
      <w:r w:rsidR="001830AC">
        <w:t>2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CF302F">
        <w:rPr>
          <w:snapToGrid w:val="0"/>
        </w:rPr>
        <w:t>.</w:t>
      </w:r>
      <w:r w:rsidRPr="00CF302F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_Toc405474594 \h </w:instrText>
      </w:r>
      <w:r>
        <w:fldChar w:fldCharType="separate"/>
      </w:r>
      <w:r w:rsidR="001830AC">
        <w:t>2</w:t>
      </w:r>
      <w:r>
        <w:fldChar w:fldCharType="end"/>
      </w:r>
    </w:p>
    <w:p w:rsidR="00CC23A7" w:rsidRDefault="00CC23A7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 w:rsidRPr="00CF302F">
        <w:rPr>
          <w:i/>
        </w:rPr>
        <w:t>Mines Safety and Inspection Act 1994</w:t>
      </w:r>
      <w:r>
        <w:t xml:space="preserve"> amended</w:t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CF302F">
        <w:rPr>
          <w:snapToGrid w:val="0"/>
        </w:rPr>
        <w:t>.</w:t>
      </w:r>
      <w:r w:rsidRPr="00CF302F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_Toc405474596 \h </w:instrText>
      </w:r>
      <w:r>
        <w:fldChar w:fldCharType="separate"/>
      </w:r>
      <w:r w:rsidR="001830AC">
        <w:t>3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4 amended</w:t>
      </w:r>
      <w:r>
        <w:tab/>
      </w:r>
      <w:r>
        <w:fldChar w:fldCharType="begin"/>
      </w:r>
      <w:r>
        <w:instrText xml:space="preserve"> PAGEREF _Toc405474597 \h </w:instrText>
      </w:r>
      <w:r>
        <w:fldChar w:fldCharType="separate"/>
      </w:r>
      <w:r w:rsidR="001830AC">
        <w:t>3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17 amended</w:t>
      </w:r>
      <w:r>
        <w:tab/>
      </w:r>
      <w:r>
        <w:fldChar w:fldCharType="begin"/>
      </w:r>
      <w:r>
        <w:instrText xml:space="preserve"> PAGEREF _Toc405474598 \h </w:instrText>
      </w:r>
      <w:r>
        <w:fldChar w:fldCharType="separate"/>
      </w:r>
      <w:r w:rsidR="001830AC">
        <w:t>3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18 amended</w:t>
      </w:r>
      <w:r>
        <w:tab/>
      </w:r>
      <w:r>
        <w:fldChar w:fldCharType="begin"/>
      </w:r>
      <w:r>
        <w:instrText xml:space="preserve"> PAGEREF _Toc405474599 \h </w:instrText>
      </w:r>
      <w:r>
        <w:fldChar w:fldCharType="separate"/>
      </w:r>
      <w:r w:rsidR="001830AC">
        <w:t>3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Sections 19 and 20 deleted</w:t>
      </w:r>
      <w:r>
        <w:tab/>
      </w:r>
      <w:r>
        <w:fldChar w:fldCharType="begin"/>
      </w:r>
      <w:r>
        <w:instrText xml:space="preserve"> PAGEREF _Toc405474600 \h </w:instrText>
      </w:r>
      <w:r>
        <w:fldChar w:fldCharType="separate"/>
      </w:r>
      <w:r w:rsidR="001830AC">
        <w:t>3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21 amended</w:t>
      </w:r>
      <w:r>
        <w:tab/>
      </w:r>
      <w:r>
        <w:fldChar w:fldCharType="begin"/>
      </w:r>
      <w:r>
        <w:instrText xml:space="preserve"> PAGEREF _Toc405474601 \h </w:instrText>
      </w:r>
      <w:r>
        <w:fldChar w:fldCharType="separate"/>
      </w:r>
      <w:r w:rsidR="001830AC">
        <w:t>3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25 deleted</w:t>
      </w:r>
      <w:r>
        <w:tab/>
      </w:r>
      <w:r>
        <w:fldChar w:fldCharType="begin"/>
      </w:r>
      <w:r>
        <w:instrText xml:space="preserve"> PAGEREF _Toc405474602 \h </w:instrText>
      </w:r>
      <w:r>
        <w:fldChar w:fldCharType="separate"/>
      </w:r>
      <w:r w:rsidR="001830AC">
        <w:t>4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26 amended</w:t>
      </w:r>
      <w:r>
        <w:tab/>
      </w:r>
      <w:r>
        <w:fldChar w:fldCharType="begin"/>
      </w:r>
      <w:r>
        <w:instrText xml:space="preserve"> PAGEREF _Toc405474603 \h </w:instrText>
      </w:r>
      <w:r>
        <w:fldChar w:fldCharType="separate"/>
      </w:r>
      <w:r w:rsidR="001830AC">
        <w:t>4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 53 amended</w:t>
      </w:r>
      <w:r>
        <w:tab/>
      </w:r>
      <w:r>
        <w:fldChar w:fldCharType="begin"/>
      </w:r>
      <w:r>
        <w:instrText xml:space="preserve"> PAGEREF _Toc405474604 \h </w:instrText>
      </w:r>
      <w:r>
        <w:fldChar w:fldCharType="separate"/>
      </w:r>
      <w:r w:rsidR="001830AC">
        <w:t>4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Section 77 amended</w:t>
      </w:r>
      <w:r>
        <w:tab/>
      </w:r>
      <w:r>
        <w:fldChar w:fldCharType="begin"/>
      </w:r>
      <w:r>
        <w:instrText xml:space="preserve"> PAGEREF _Toc405474605 \h </w:instrText>
      </w:r>
      <w:r>
        <w:fldChar w:fldCharType="separate"/>
      </w:r>
      <w:r w:rsidR="001830AC">
        <w:t>4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Section 87 amended</w:t>
      </w:r>
      <w:r>
        <w:tab/>
      </w:r>
      <w:r>
        <w:fldChar w:fldCharType="begin"/>
      </w:r>
      <w:r>
        <w:instrText xml:space="preserve"> PAGEREF _Toc405474606 \h </w:instrText>
      </w:r>
      <w:r>
        <w:fldChar w:fldCharType="separate"/>
      </w:r>
      <w:r w:rsidR="001830AC">
        <w:t>4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Section 104 amended</w:t>
      </w:r>
      <w:r>
        <w:tab/>
      </w:r>
      <w:r>
        <w:fldChar w:fldCharType="begin"/>
      </w:r>
      <w:r>
        <w:instrText xml:space="preserve"> PAGEREF _Toc405474607 \h </w:instrText>
      </w:r>
      <w:r>
        <w:fldChar w:fldCharType="separate"/>
      </w:r>
      <w:r w:rsidR="001830AC">
        <w:t>5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Section 108 deleted</w:t>
      </w:r>
      <w:r>
        <w:tab/>
      </w:r>
      <w:r>
        <w:fldChar w:fldCharType="begin"/>
      </w:r>
      <w:r>
        <w:instrText xml:space="preserve"> PAGEREF _Toc405474608 \h </w:instrText>
      </w:r>
      <w:r>
        <w:fldChar w:fldCharType="separate"/>
      </w:r>
      <w:r w:rsidR="001830AC">
        <w:t>5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Schedule 1 deleted</w:t>
      </w:r>
      <w:r>
        <w:tab/>
      </w:r>
      <w:r>
        <w:fldChar w:fldCharType="begin"/>
      </w:r>
      <w:r>
        <w:instrText xml:space="preserve"> PAGEREF _Toc405474609 \h </w:instrText>
      </w:r>
      <w:r>
        <w:fldChar w:fldCharType="separate"/>
      </w:r>
      <w:r w:rsidR="001830AC">
        <w:t>5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Various references to “or assistant inspector” deleted</w:t>
      </w:r>
      <w:r>
        <w:tab/>
      </w:r>
      <w:r>
        <w:fldChar w:fldCharType="begin"/>
      </w:r>
      <w:r>
        <w:instrText xml:space="preserve"> PAGEREF _Toc405474610 \h </w:instrText>
      </w:r>
      <w:r>
        <w:fldChar w:fldCharType="separate"/>
      </w:r>
      <w:r w:rsidR="001830AC">
        <w:t>5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Various references to “or an assistant inspector” deleted</w:t>
      </w:r>
      <w:r>
        <w:tab/>
      </w:r>
      <w:r>
        <w:fldChar w:fldCharType="begin"/>
      </w:r>
      <w:r>
        <w:instrText xml:space="preserve"> PAGEREF _Toc405474611 \h </w:instrText>
      </w:r>
      <w:r>
        <w:fldChar w:fldCharType="separate"/>
      </w:r>
      <w:r w:rsidR="001830AC">
        <w:t>5</w:t>
      </w:r>
      <w:r>
        <w:fldChar w:fldCharType="end"/>
      </w:r>
    </w:p>
    <w:p w:rsidR="00CC23A7" w:rsidRDefault="00CC23A7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Part 3 — </w:t>
      </w:r>
      <w:r w:rsidRPr="00CF302F">
        <w:rPr>
          <w:i/>
        </w:rPr>
        <w:t xml:space="preserve">Coal Industry Superannuation Act 1989 </w:t>
      </w:r>
      <w:r>
        <w:t>amended</w:t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</w:t>
      </w:r>
      <w:r w:rsidRPr="00CF302F">
        <w:rPr>
          <w:snapToGrid w:val="0"/>
        </w:rPr>
        <w:t>.</w:t>
      </w:r>
      <w:r w:rsidRPr="00CF302F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_Toc405474613 \h </w:instrText>
      </w:r>
      <w:r>
        <w:fldChar w:fldCharType="separate"/>
      </w:r>
      <w:r w:rsidR="001830AC">
        <w:t>5</w:t>
      </w:r>
      <w:r>
        <w:fldChar w:fldCharType="end"/>
      </w:r>
    </w:p>
    <w:p w:rsidR="00CC23A7" w:rsidRDefault="00CC23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Section 4 amended</w:t>
      </w:r>
      <w:r>
        <w:tab/>
      </w:r>
      <w:r>
        <w:fldChar w:fldCharType="begin"/>
      </w:r>
      <w:r>
        <w:instrText xml:space="preserve"> PAGEREF _Toc405474614 \h </w:instrText>
      </w:r>
      <w:r>
        <w:fldChar w:fldCharType="separate"/>
      </w:r>
      <w:r w:rsidR="001830AC">
        <w:t>5</w:t>
      </w:r>
      <w:r>
        <w:fldChar w:fldCharType="end"/>
      </w:r>
    </w:p>
    <w:p w:rsidR="00CC23A7" w:rsidRDefault="00CC23A7" w:rsidP="00CC23A7">
      <w:pPr>
        <w:pStyle w:val="TOC2"/>
      </w:pPr>
      <w:r>
        <w:fldChar w:fldCharType="end"/>
      </w:r>
    </w:p>
    <w:p w:rsidR="00CC23A7" w:rsidRDefault="00CC23A7" w:rsidP="00CC23A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CC23A7" w:rsidRDefault="00CC23A7" w:rsidP="00CC23A7">
      <w:pPr>
        <w:pStyle w:val="NoteHeading"/>
        <w:sectPr w:rsidR="00CC23A7" w:rsidSect="00FF6F7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C23A7" w:rsidRDefault="00CC23A7" w:rsidP="00CC23A7">
      <w:pPr>
        <w:pStyle w:val="WA"/>
      </w:pPr>
      <w:r>
        <w:lastRenderedPageBreak/>
        <w:t>Western Australia</w:t>
      </w:r>
    </w:p>
    <w:p w:rsidR="001328D1" w:rsidRPr="00FA739D" w:rsidRDefault="00287041">
      <w:pPr>
        <w:pStyle w:val="NameofActReg"/>
        <w:suppressLineNumbers/>
      </w:pPr>
      <w:r>
        <w:t>Mines Safety and Inspection Amendment Act 2014</w:t>
      </w:r>
    </w:p>
    <w:p w:rsidR="001328D1" w:rsidRPr="00400729" w:rsidRDefault="00332E2E" w:rsidP="00332E2E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287041">
        <w:t>33 of 2014</w:t>
      </w:r>
    </w:p>
    <w:p w:rsidR="001328D1" w:rsidRDefault="001328D1">
      <w:pPr>
        <w:pStyle w:val="LongTitle"/>
        <w:suppressLineNumbers/>
      </w:pPr>
      <w:r w:rsidRPr="00400729">
        <w:rPr>
          <w:snapToGrid w:val="0"/>
        </w:rPr>
        <w:t xml:space="preserve">An Act to amend the </w:t>
      </w:r>
      <w:r w:rsidR="00471B2E" w:rsidRPr="00400729">
        <w:rPr>
          <w:i/>
          <w:snapToGrid w:val="0"/>
        </w:rPr>
        <w:t xml:space="preserve">Mines Safety and Inspection </w:t>
      </w:r>
      <w:r w:rsidR="00405D7D" w:rsidRPr="00400729">
        <w:rPr>
          <w:i/>
          <w:snapToGrid w:val="0"/>
        </w:rPr>
        <w:t>Act 1</w:t>
      </w:r>
      <w:r w:rsidR="00471B2E" w:rsidRPr="00400729">
        <w:rPr>
          <w:i/>
          <w:snapToGrid w:val="0"/>
        </w:rPr>
        <w:t>994</w:t>
      </w:r>
      <w:r w:rsidR="00FA739D">
        <w:rPr>
          <w:i/>
          <w:snapToGrid w:val="0"/>
        </w:rPr>
        <w:t xml:space="preserve"> </w:t>
      </w:r>
      <w:r w:rsidR="00FA739D" w:rsidRPr="00FA739D">
        <w:rPr>
          <w:snapToGrid w:val="0"/>
        </w:rPr>
        <w:t>and to consequentially amend</w:t>
      </w:r>
      <w:r w:rsidR="00FA739D">
        <w:t xml:space="preserve"> the </w:t>
      </w:r>
      <w:r w:rsidR="00FA739D">
        <w:rPr>
          <w:i/>
        </w:rPr>
        <w:t>Coal Industry Superannuation Act 1989</w:t>
      </w:r>
      <w:r w:rsidRPr="00400729">
        <w:t>.</w:t>
      </w:r>
    </w:p>
    <w:p w:rsidR="00332E2E" w:rsidRDefault="00332E2E" w:rsidP="004B1EC7">
      <w:pPr>
        <w:pStyle w:val="AssentNote"/>
      </w:pPr>
      <w:r>
        <w:t xml:space="preserve">[Assented to </w:t>
      </w:r>
      <w:r w:rsidR="00014BDE">
        <w:t>3 December 2014</w:t>
      </w:r>
      <w:r>
        <w:t>]</w:t>
      </w:r>
    </w:p>
    <w:p w:rsidR="001328D1" w:rsidRPr="004B1EC7" w:rsidRDefault="001328D1" w:rsidP="004B1EC7">
      <w:pPr>
        <w:pStyle w:val="Enactment"/>
      </w:pPr>
      <w:r w:rsidRPr="004B1EC7">
        <w:t>The Parliament of Western Australia enacts as follows:</w:t>
      </w:r>
    </w:p>
    <w:p w:rsidR="001328D1" w:rsidRDefault="00FA739D" w:rsidP="00FA739D">
      <w:pPr>
        <w:pStyle w:val="Heading2"/>
        <w:rPr>
          <w:rStyle w:val="CharPartText"/>
        </w:rPr>
      </w:pPr>
      <w:bookmarkStart w:id="2" w:name="_Toc387155767"/>
      <w:bookmarkStart w:id="3" w:name="_Toc387155889"/>
      <w:bookmarkStart w:id="4" w:name="_Toc387156840"/>
      <w:bookmarkStart w:id="5" w:name="_Toc387158084"/>
      <w:bookmarkStart w:id="6" w:name="_Toc387158125"/>
      <w:bookmarkStart w:id="7" w:name="_Toc387158185"/>
      <w:bookmarkStart w:id="8" w:name="_Toc387818722"/>
      <w:bookmarkStart w:id="9" w:name="_Toc404770848"/>
      <w:bookmarkStart w:id="10" w:name="_Toc405377523"/>
      <w:bookmarkStart w:id="11" w:name="_Toc405379735"/>
      <w:bookmarkStart w:id="12" w:name="_Toc405380352"/>
      <w:bookmarkStart w:id="13" w:name="_Toc405474569"/>
      <w:bookmarkStart w:id="14" w:name="_Toc405474592"/>
      <w:r w:rsidRPr="00FA739D">
        <w:rPr>
          <w:rStyle w:val="CharPartNo"/>
        </w:rPr>
        <w:lastRenderedPageBreak/>
        <w:t xml:space="preserve">Part </w:t>
      </w:r>
      <w:r w:rsidR="002C752A">
        <w:rPr>
          <w:rStyle w:val="CharPartNo"/>
        </w:rPr>
        <w:t>1</w:t>
      </w:r>
      <w:r w:rsidRPr="00FA739D">
        <w:rPr>
          <w:rStyle w:val="CharDivNo"/>
        </w:rPr>
        <w:t> </w:t>
      </w:r>
      <w:r>
        <w:t>—</w:t>
      </w:r>
      <w:r w:rsidRPr="00FA739D">
        <w:rPr>
          <w:rStyle w:val="CharDivText"/>
        </w:rPr>
        <w:t> </w:t>
      </w:r>
      <w:r w:rsidRPr="00FA739D"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A739D" w:rsidRPr="00256D43" w:rsidRDefault="002C752A" w:rsidP="00FA739D">
      <w:pPr>
        <w:pStyle w:val="Heading5"/>
      </w:pPr>
      <w:bookmarkStart w:id="15" w:name="_Toc404770849"/>
      <w:bookmarkStart w:id="16" w:name="_Toc405379736"/>
      <w:bookmarkStart w:id="17" w:name="_Toc405380353"/>
      <w:bookmarkStart w:id="18" w:name="_Toc405474593"/>
      <w:r>
        <w:rPr>
          <w:rStyle w:val="CharSectno"/>
        </w:rPr>
        <w:t>1</w:t>
      </w:r>
      <w:r w:rsidR="00FA739D" w:rsidRPr="00256D43">
        <w:t>.</w:t>
      </w:r>
      <w:r w:rsidR="00FA739D" w:rsidRPr="00256D43">
        <w:tab/>
      </w:r>
      <w:r w:rsidR="00FA739D" w:rsidRPr="00256D43">
        <w:rPr>
          <w:snapToGrid w:val="0"/>
        </w:rPr>
        <w:t>Short title</w:t>
      </w:r>
      <w:bookmarkEnd w:id="15"/>
      <w:bookmarkEnd w:id="16"/>
      <w:bookmarkEnd w:id="17"/>
      <w:bookmarkEnd w:id="18"/>
    </w:p>
    <w:p w:rsidR="00FA739D" w:rsidRPr="00256D43" w:rsidRDefault="00FA739D" w:rsidP="00FA739D">
      <w:pPr>
        <w:pStyle w:val="Subsection"/>
      </w:pPr>
      <w:r w:rsidRPr="00256D43">
        <w:tab/>
      </w:r>
      <w:r w:rsidRPr="00256D43">
        <w:tab/>
        <w:t>This</w:t>
      </w:r>
      <w:r w:rsidRPr="00256D43">
        <w:rPr>
          <w:snapToGrid w:val="0"/>
        </w:rPr>
        <w:t xml:space="preserve"> is the</w:t>
      </w:r>
      <w:r w:rsidRPr="00256D43">
        <w:rPr>
          <w:i/>
          <w:snapToGrid w:val="0"/>
        </w:rPr>
        <w:t xml:space="preserve"> </w:t>
      </w:r>
      <w:r w:rsidR="00287041">
        <w:rPr>
          <w:i/>
          <w:snapToGrid w:val="0"/>
        </w:rPr>
        <w:t>Mines Safety and Inspection Amendment Act 2014</w:t>
      </w:r>
      <w:r w:rsidRPr="00256D43">
        <w:rPr>
          <w:snapToGrid w:val="0"/>
        </w:rPr>
        <w:t>.</w:t>
      </w:r>
    </w:p>
    <w:p w:rsidR="00FA739D" w:rsidRPr="00256D43" w:rsidRDefault="002C752A" w:rsidP="00FA739D">
      <w:pPr>
        <w:pStyle w:val="Heading5"/>
        <w:rPr>
          <w:snapToGrid w:val="0"/>
        </w:rPr>
      </w:pPr>
      <w:bookmarkStart w:id="19" w:name="_Toc404770850"/>
      <w:bookmarkStart w:id="20" w:name="_Toc405379737"/>
      <w:bookmarkStart w:id="21" w:name="_Toc405380354"/>
      <w:bookmarkStart w:id="22" w:name="_Toc405474594"/>
      <w:r>
        <w:rPr>
          <w:rStyle w:val="CharSectno"/>
        </w:rPr>
        <w:t>2</w:t>
      </w:r>
      <w:r w:rsidR="00FA739D" w:rsidRPr="00256D43">
        <w:rPr>
          <w:snapToGrid w:val="0"/>
        </w:rPr>
        <w:t>.</w:t>
      </w:r>
      <w:r w:rsidR="00FA739D" w:rsidRPr="00256D43">
        <w:rPr>
          <w:snapToGrid w:val="0"/>
        </w:rPr>
        <w:tab/>
      </w:r>
      <w:r w:rsidR="00FA739D" w:rsidRPr="00256D43">
        <w:t>Commencement</w:t>
      </w:r>
      <w:bookmarkEnd w:id="19"/>
      <w:bookmarkEnd w:id="20"/>
      <w:bookmarkEnd w:id="21"/>
      <w:bookmarkEnd w:id="22"/>
    </w:p>
    <w:p w:rsidR="00FA739D" w:rsidRPr="00256D43" w:rsidRDefault="00FA739D" w:rsidP="00FA739D">
      <w:pPr>
        <w:pStyle w:val="Subsection"/>
        <w:rPr>
          <w:spacing w:val="-2"/>
        </w:rPr>
      </w:pPr>
      <w:r w:rsidRPr="00256D43">
        <w:tab/>
      </w:r>
      <w:r w:rsidRPr="00256D43">
        <w:tab/>
        <w:t xml:space="preserve">This Act </w:t>
      </w:r>
      <w:r w:rsidRPr="00256D43">
        <w:rPr>
          <w:spacing w:val="-2"/>
        </w:rPr>
        <w:t xml:space="preserve">comes into </w:t>
      </w:r>
      <w:r w:rsidRPr="00256D43">
        <w:t>operation</w:t>
      </w:r>
      <w:r w:rsidRPr="00256D43">
        <w:rPr>
          <w:spacing w:val="-2"/>
        </w:rPr>
        <w:t xml:space="preserve"> as follows</w:t>
      </w:r>
      <w:r w:rsidRPr="00256D43">
        <w:t> —</w:t>
      </w:r>
    </w:p>
    <w:p w:rsidR="00FA739D" w:rsidRPr="00256D43" w:rsidRDefault="00FA739D" w:rsidP="00FA739D">
      <w:pPr>
        <w:pStyle w:val="Indenta"/>
      </w:pPr>
      <w:r w:rsidRPr="00256D43">
        <w:tab/>
      </w:r>
      <w:r w:rsidR="002C752A">
        <w:t>(a)</w:t>
      </w:r>
      <w:r w:rsidRPr="00256D43">
        <w:tab/>
      </w:r>
      <w:r w:rsidR="001746EF">
        <w:t>Part 1</w:t>
      </w:r>
      <w:r w:rsidRPr="00256D43">
        <w:t> — on the day on which this Act receives the Royal Assent;</w:t>
      </w:r>
    </w:p>
    <w:p w:rsidR="00FA739D" w:rsidRDefault="00FA739D" w:rsidP="00FA739D">
      <w:pPr>
        <w:pStyle w:val="Indenta"/>
      </w:pPr>
      <w:r w:rsidRPr="00256D43">
        <w:tab/>
      </w:r>
      <w:r w:rsidR="002C752A">
        <w:t>(b)</w:t>
      </w:r>
      <w:r w:rsidRPr="00256D43">
        <w:tab/>
        <w:t>the rest of the Act — on a day fixed by proclamation, and different days may be fixed for different provisions.</w:t>
      </w:r>
    </w:p>
    <w:p w:rsidR="00FA739D" w:rsidRPr="00FA739D" w:rsidRDefault="00FA739D" w:rsidP="00FA739D">
      <w:pPr>
        <w:pStyle w:val="Heading2"/>
      </w:pPr>
      <w:bookmarkStart w:id="23" w:name="_Toc387155770"/>
      <w:bookmarkStart w:id="24" w:name="_Toc387155892"/>
      <w:bookmarkStart w:id="25" w:name="_Toc387156843"/>
      <w:bookmarkStart w:id="26" w:name="_Toc387158087"/>
      <w:bookmarkStart w:id="27" w:name="_Toc387158128"/>
      <w:bookmarkStart w:id="28" w:name="_Toc387158188"/>
      <w:bookmarkStart w:id="29" w:name="_Toc387818725"/>
      <w:bookmarkStart w:id="30" w:name="_Toc404770851"/>
      <w:bookmarkStart w:id="31" w:name="_Toc405377526"/>
      <w:bookmarkStart w:id="32" w:name="_Toc405379738"/>
      <w:bookmarkStart w:id="33" w:name="_Toc405380355"/>
      <w:bookmarkStart w:id="34" w:name="_Toc405474572"/>
      <w:bookmarkStart w:id="35" w:name="_Toc405474595"/>
      <w:r w:rsidRPr="00FA739D">
        <w:rPr>
          <w:rStyle w:val="CharPartNo"/>
        </w:rPr>
        <w:lastRenderedPageBreak/>
        <w:t xml:space="preserve">Part </w:t>
      </w:r>
      <w:r w:rsidR="002C752A">
        <w:rPr>
          <w:rStyle w:val="CharPartNo"/>
        </w:rPr>
        <w:t>2</w:t>
      </w:r>
      <w:r w:rsidRPr="00FA739D">
        <w:rPr>
          <w:rStyle w:val="CharDivNo"/>
        </w:rPr>
        <w:t> </w:t>
      </w:r>
      <w:r>
        <w:t>—</w:t>
      </w:r>
      <w:r w:rsidRPr="00FA739D">
        <w:rPr>
          <w:rStyle w:val="CharDivText"/>
        </w:rPr>
        <w:t> </w:t>
      </w:r>
      <w:r w:rsidRPr="009422DD">
        <w:rPr>
          <w:rStyle w:val="CharPartText"/>
          <w:i/>
        </w:rPr>
        <w:t>Mines Safety and Inspection Act</w:t>
      </w:r>
      <w:r w:rsidR="005C096F" w:rsidRPr="009422DD">
        <w:rPr>
          <w:rStyle w:val="CharPartText"/>
          <w:i/>
        </w:rPr>
        <w:t> </w:t>
      </w:r>
      <w:r w:rsidRPr="009422DD">
        <w:rPr>
          <w:rStyle w:val="CharPartText"/>
          <w:i/>
        </w:rPr>
        <w:t>1994</w:t>
      </w:r>
      <w:r w:rsidRPr="009422DD">
        <w:rPr>
          <w:rStyle w:val="CharPartText"/>
        </w:rPr>
        <w:t xml:space="preserve"> </w:t>
      </w:r>
      <w:r w:rsidRPr="007F1162">
        <w:rPr>
          <w:rStyle w:val="CharPartText"/>
        </w:rPr>
        <w:t>amended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1328D1" w:rsidRPr="00256D43" w:rsidRDefault="002C752A">
      <w:pPr>
        <w:pStyle w:val="Heading5"/>
        <w:rPr>
          <w:snapToGrid w:val="0"/>
        </w:rPr>
      </w:pPr>
      <w:bookmarkStart w:id="36" w:name="_Toc404770852"/>
      <w:bookmarkStart w:id="37" w:name="_Toc405379739"/>
      <w:bookmarkStart w:id="38" w:name="_Toc405380356"/>
      <w:bookmarkStart w:id="39" w:name="_Toc405474596"/>
      <w:r>
        <w:rPr>
          <w:rStyle w:val="CharSectno"/>
        </w:rPr>
        <w:t>3</w:t>
      </w:r>
      <w:r w:rsidR="001328D1" w:rsidRPr="00256D43">
        <w:rPr>
          <w:snapToGrid w:val="0"/>
        </w:rPr>
        <w:t>.</w:t>
      </w:r>
      <w:r w:rsidR="001328D1" w:rsidRPr="00256D43">
        <w:rPr>
          <w:snapToGrid w:val="0"/>
        </w:rPr>
        <w:tab/>
        <w:t>Act amended</w:t>
      </w:r>
      <w:bookmarkEnd w:id="36"/>
      <w:bookmarkEnd w:id="37"/>
      <w:bookmarkEnd w:id="38"/>
      <w:bookmarkEnd w:id="39"/>
    </w:p>
    <w:p w:rsidR="001328D1" w:rsidRPr="00256D43" w:rsidRDefault="001328D1">
      <w:pPr>
        <w:pStyle w:val="Subsection"/>
      </w:pPr>
      <w:r w:rsidRPr="00256D43">
        <w:tab/>
      </w:r>
      <w:r w:rsidRPr="00256D43">
        <w:tab/>
        <w:t xml:space="preserve">This </w:t>
      </w:r>
      <w:r w:rsidR="00FA739D">
        <w:t>Part</w:t>
      </w:r>
      <w:r w:rsidRPr="00256D43">
        <w:t xml:space="preserve"> amends the </w:t>
      </w:r>
      <w:r w:rsidR="00471B2E" w:rsidRPr="00256D43">
        <w:rPr>
          <w:i/>
        </w:rPr>
        <w:t xml:space="preserve">Mines Safety and Inspection </w:t>
      </w:r>
      <w:r w:rsidR="00405D7D" w:rsidRPr="00256D43">
        <w:rPr>
          <w:i/>
        </w:rPr>
        <w:t>Act 1</w:t>
      </w:r>
      <w:r w:rsidR="00471B2E" w:rsidRPr="00256D43">
        <w:rPr>
          <w:i/>
        </w:rPr>
        <w:t>994</w:t>
      </w:r>
      <w:r w:rsidRPr="00256D43">
        <w:t>.</w:t>
      </w:r>
    </w:p>
    <w:p w:rsidR="00286C3B" w:rsidRPr="00256D43" w:rsidRDefault="002C752A" w:rsidP="00286C3B">
      <w:pPr>
        <w:pStyle w:val="Heading5"/>
      </w:pPr>
      <w:bookmarkStart w:id="40" w:name="_Toc404770853"/>
      <w:bookmarkStart w:id="41" w:name="_Toc405379740"/>
      <w:bookmarkStart w:id="42" w:name="_Toc405380357"/>
      <w:bookmarkStart w:id="43" w:name="_Toc405474597"/>
      <w:r>
        <w:rPr>
          <w:rStyle w:val="CharSectno"/>
        </w:rPr>
        <w:t>4</w:t>
      </w:r>
      <w:r w:rsidR="00286C3B" w:rsidRPr="00256D43">
        <w:t>.</w:t>
      </w:r>
      <w:r w:rsidR="00286C3B" w:rsidRPr="00256D43">
        <w:tab/>
      </w:r>
      <w:r w:rsidR="00405D7D" w:rsidRPr="00256D43">
        <w:t>Section 4</w:t>
      </w:r>
      <w:r w:rsidR="00286C3B" w:rsidRPr="00256D43">
        <w:t xml:space="preserve"> amended</w:t>
      </w:r>
      <w:bookmarkEnd w:id="40"/>
      <w:bookmarkEnd w:id="41"/>
      <w:bookmarkEnd w:id="42"/>
      <w:bookmarkEnd w:id="43"/>
    </w:p>
    <w:p w:rsidR="00286C3B" w:rsidRPr="00256D43" w:rsidRDefault="00286C3B" w:rsidP="00286C3B">
      <w:pPr>
        <w:pStyle w:val="Subsection"/>
      </w:pPr>
      <w:r w:rsidRPr="00256D43">
        <w:tab/>
      </w:r>
      <w:r w:rsidRPr="00256D43">
        <w:tab/>
        <w:t xml:space="preserve">In </w:t>
      </w:r>
      <w:r w:rsidR="00405D7D" w:rsidRPr="00256D43">
        <w:t>section 4</w:t>
      </w:r>
      <w:r w:rsidRPr="00256D43">
        <w:t>(1) delete the definitions of:</w:t>
      </w:r>
    </w:p>
    <w:p w:rsidR="00286C3B" w:rsidRPr="00256D43" w:rsidRDefault="00286C3B" w:rsidP="00286C3B">
      <w:pPr>
        <w:pStyle w:val="DeleteListSub"/>
        <w:rPr>
          <w:b/>
          <w:i/>
        </w:rPr>
      </w:pPr>
      <w:bookmarkStart w:id="44" w:name="RuleErr_1"/>
      <w:r w:rsidRPr="00256D43">
        <w:rPr>
          <w:b/>
          <w:i/>
        </w:rPr>
        <w:t>assistant inspector</w:t>
      </w:r>
    </w:p>
    <w:p w:rsidR="00286C3B" w:rsidRPr="00256D43" w:rsidRDefault="00286C3B" w:rsidP="00286C3B">
      <w:pPr>
        <w:pStyle w:val="DeleteListSub"/>
        <w:rPr>
          <w:b/>
          <w:i/>
        </w:rPr>
      </w:pPr>
      <w:bookmarkStart w:id="45" w:name="RuleErr_2"/>
      <w:bookmarkEnd w:id="44"/>
      <w:r w:rsidRPr="00256D43">
        <w:rPr>
          <w:b/>
          <w:i/>
        </w:rPr>
        <w:t>employee’s inspector</w:t>
      </w:r>
    </w:p>
    <w:p w:rsidR="00D3755F" w:rsidRPr="00256D43" w:rsidRDefault="002C752A" w:rsidP="00D3755F">
      <w:pPr>
        <w:pStyle w:val="Heading5"/>
      </w:pPr>
      <w:bookmarkStart w:id="46" w:name="_Toc404770854"/>
      <w:bookmarkStart w:id="47" w:name="_Toc405379741"/>
      <w:bookmarkStart w:id="48" w:name="_Toc405380358"/>
      <w:bookmarkStart w:id="49" w:name="_Toc405474598"/>
      <w:bookmarkEnd w:id="45"/>
      <w:r>
        <w:rPr>
          <w:rStyle w:val="CharSectno"/>
        </w:rPr>
        <w:t>5</w:t>
      </w:r>
      <w:r w:rsidR="00D3755F" w:rsidRPr="00256D43">
        <w:t>.</w:t>
      </w:r>
      <w:r w:rsidR="00D3755F" w:rsidRPr="00256D43">
        <w:tab/>
      </w:r>
      <w:r w:rsidR="00405D7D" w:rsidRPr="00256D43">
        <w:t>Section 1</w:t>
      </w:r>
      <w:r w:rsidR="00D3755F" w:rsidRPr="00256D43">
        <w:t>7 amended</w:t>
      </w:r>
      <w:bookmarkEnd w:id="46"/>
      <w:bookmarkEnd w:id="47"/>
      <w:bookmarkEnd w:id="48"/>
      <w:bookmarkEnd w:id="49"/>
    </w:p>
    <w:p w:rsidR="00D3755F" w:rsidRPr="00256D43" w:rsidRDefault="00D3755F" w:rsidP="00D3755F">
      <w:pPr>
        <w:pStyle w:val="Subsection"/>
      </w:pPr>
      <w:r w:rsidRPr="00256D43">
        <w:tab/>
      </w:r>
      <w:r w:rsidRPr="00256D43">
        <w:tab/>
        <w:t xml:space="preserve">Delete </w:t>
      </w:r>
      <w:r w:rsidR="00405D7D" w:rsidRPr="00256D43">
        <w:t>section 1</w:t>
      </w:r>
      <w:r w:rsidRPr="00256D43">
        <w:t>7(2) and insert:</w:t>
      </w:r>
    </w:p>
    <w:p w:rsidR="00D3755F" w:rsidRPr="00256D43" w:rsidRDefault="00D3755F" w:rsidP="00D3755F">
      <w:pPr>
        <w:pStyle w:val="BlankOpen"/>
      </w:pPr>
    </w:p>
    <w:p w:rsidR="00D3755F" w:rsidRPr="00256D43" w:rsidRDefault="00D3755F" w:rsidP="00D3755F">
      <w:pPr>
        <w:pStyle w:val="zSubsection"/>
        <w:rPr>
          <w:snapToGrid w:val="0"/>
        </w:rPr>
      </w:pPr>
      <w:r w:rsidRPr="00256D43">
        <w:tab/>
        <w:t>(2)</w:t>
      </w:r>
      <w:r w:rsidRPr="00256D43">
        <w:tab/>
      </w:r>
      <w:r w:rsidRPr="00256D43">
        <w:rPr>
          <w:snapToGrid w:val="0"/>
        </w:rPr>
        <w:t>There are to be 2 categories of inspectors, namely, district inspectors and special inspectors.</w:t>
      </w:r>
    </w:p>
    <w:p w:rsidR="00D3755F" w:rsidRPr="00256D43" w:rsidRDefault="00D3755F" w:rsidP="00D3755F">
      <w:pPr>
        <w:pStyle w:val="BlankClose"/>
      </w:pPr>
    </w:p>
    <w:p w:rsidR="00236667" w:rsidRPr="00256D43" w:rsidRDefault="002C752A" w:rsidP="00236667">
      <w:pPr>
        <w:pStyle w:val="Heading5"/>
      </w:pPr>
      <w:bookmarkStart w:id="50" w:name="_Toc404770855"/>
      <w:bookmarkStart w:id="51" w:name="_Toc405379742"/>
      <w:bookmarkStart w:id="52" w:name="_Toc405380359"/>
      <w:bookmarkStart w:id="53" w:name="_Toc405474599"/>
      <w:r>
        <w:rPr>
          <w:rStyle w:val="CharSectno"/>
        </w:rPr>
        <w:t>6</w:t>
      </w:r>
      <w:r w:rsidR="00236667" w:rsidRPr="00256D43">
        <w:t>.</w:t>
      </w:r>
      <w:r w:rsidR="00236667" w:rsidRPr="00256D43">
        <w:tab/>
      </w:r>
      <w:r w:rsidR="00405D7D" w:rsidRPr="00256D43">
        <w:t>Section 1</w:t>
      </w:r>
      <w:r w:rsidR="00236667" w:rsidRPr="00256D43">
        <w:t>8 amended</w:t>
      </w:r>
      <w:bookmarkEnd w:id="50"/>
      <w:bookmarkEnd w:id="51"/>
      <w:bookmarkEnd w:id="52"/>
      <w:bookmarkEnd w:id="53"/>
    </w:p>
    <w:p w:rsidR="00236667" w:rsidRPr="00256D43" w:rsidRDefault="00236667" w:rsidP="00236667">
      <w:pPr>
        <w:pStyle w:val="Subsection"/>
      </w:pPr>
      <w:r w:rsidRPr="00256D43">
        <w:tab/>
      </w:r>
      <w:r w:rsidRPr="00256D43">
        <w:tab/>
        <w:t xml:space="preserve">Delete </w:t>
      </w:r>
      <w:r w:rsidR="00405D7D" w:rsidRPr="00256D43">
        <w:t>section 1</w:t>
      </w:r>
      <w:r w:rsidRPr="00256D43">
        <w:t>8(2).</w:t>
      </w:r>
    </w:p>
    <w:p w:rsidR="001328D1" w:rsidRPr="00256D43" w:rsidRDefault="002C752A" w:rsidP="00210488">
      <w:pPr>
        <w:pStyle w:val="Heading5"/>
      </w:pPr>
      <w:bookmarkStart w:id="54" w:name="_Toc404770856"/>
      <w:bookmarkStart w:id="55" w:name="_Toc405379743"/>
      <w:bookmarkStart w:id="56" w:name="_Toc405380360"/>
      <w:bookmarkStart w:id="57" w:name="_Toc405474600"/>
      <w:r>
        <w:rPr>
          <w:rStyle w:val="CharSectno"/>
        </w:rPr>
        <w:t>7</w:t>
      </w:r>
      <w:r w:rsidR="00210488" w:rsidRPr="00256D43">
        <w:t>.</w:t>
      </w:r>
      <w:r w:rsidR="00210488" w:rsidRPr="00256D43">
        <w:tab/>
      </w:r>
      <w:r w:rsidR="00405D7D" w:rsidRPr="00256D43">
        <w:t>Sections 1</w:t>
      </w:r>
      <w:r w:rsidR="00210488" w:rsidRPr="00256D43">
        <w:t>9 and 20 deleted</w:t>
      </w:r>
      <w:bookmarkEnd w:id="54"/>
      <w:bookmarkEnd w:id="55"/>
      <w:bookmarkEnd w:id="56"/>
      <w:bookmarkEnd w:id="57"/>
    </w:p>
    <w:p w:rsidR="00210488" w:rsidRPr="00256D43" w:rsidRDefault="00210488" w:rsidP="00210488">
      <w:pPr>
        <w:pStyle w:val="Subsection"/>
      </w:pPr>
      <w:r w:rsidRPr="00256D43">
        <w:tab/>
      </w:r>
      <w:r w:rsidRPr="00256D43">
        <w:tab/>
        <w:t xml:space="preserve">Delete </w:t>
      </w:r>
      <w:r w:rsidR="00405D7D" w:rsidRPr="00256D43">
        <w:t>sections 1</w:t>
      </w:r>
      <w:r w:rsidRPr="00256D43">
        <w:t>9 and 20.</w:t>
      </w:r>
    </w:p>
    <w:p w:rsidR="00C20AEF" w:rsidRPr="00256D43" w:rsidRDefault="002C752A" w:rsidP="00C20AEF">
      <w:pPr>
        <w:pStyle w:val="Heading5"/>
      </w:pPr>
      <w:bookmarkStart w:id="58" w:name="_Toc404770857"/>
      <w:bookmarkStart w:id="59" w:name="_Toc405379744"/>
      <w:bookmarkStart w:id="60" w:name="_Toc405380361"/>
      <w:bookmarkStart w:id="61" w:name="_Toc405474601"/>
      <w:r>
        <w:rPr>
          <w:rStyle w:val="CharSectno"/>
        </w:rPr>
        <w:t>8</w:t>
      </w:r>
      <w:r w:rsidR="00C20AEF" w:rsidRPr="00256D43">
        <w:t>.</w:t>
      </w:r>
      <w:r w:rsidR="00C20AEF" w:rsidRPr="00256D43">
        <w:tab/>
      </w:r>
      <w:r w:rsidR="00405D7D" w:rsidRPr="00256D43">
        <w:t>Section 2</w:t>
      </w:r>
      <w:r w:rsidR="00C20AEF" w:rsidRPr="00256D43">
        <w:t>1 amended</w:t>
      </w:r>
      <w:bookmarkEnd w:id="58"/>
      <w:bookmarkEnd w:id="59"/>
      <w:bookmarkEnd w:id="60"/>
      <w:bookmarkEnd w:id="61"/>
    </w:p>
    <w:p w:rsidR="00C20AEF" w:rsidRPr="00256D43" w:rsidRDefault="00C20AEF" w:rsidP="00C20AEF">
      <w:pPr>
        <w:pStyle w:val="Subsection"/>
      </w:pPr>
      <w:r w:rsidRPr="00256D43">
        <w:tab/>
      </w:r>
      <w:r w:rsidR="002C752A">
        <w:t>(1)</w:t>
      </w:r>
      <w:r w:rsidRPr="00256D43">
        <w:tab/>
        <w:t xml:space="preserve">Delete </w:t>
      </w:r>
      <w:r w:rsidR="00405D7D" w:rsidRPr="00256D43">
        <w:t>section 2</w:t>
      </w:r>
      <w:r w:rsidRPr="00256D43">
        <w:t>1(2).</w:t>
      </w:r>
    </w:p>
    <w:p w:rsidR="00B41B43" w:rsidRPr="00256D43" w:rsidRDefault="008A0189" w:rsidP="00544A5A">
      <w:pPr>
        <w:pStyle w:val="Subsection"/>
      </w:pPr>
      <w:r w:rsidRPr="00256D43">
        <w:tab/>
      </w:r>
      <w:r w:rsidR="002C752A">
        <w:t>(2)</w:t>
      </w:r>
      <w:r w:rsidRPr="00256D43">
        <w:tab/>
        <w:t xml:space="preserve">In </w:t>
      </w:r>
      <w:r w:rsidR="00405D7D" w:rsidRPr="00256D43">
        <w:t>section 2</w:t>
      </w:r>
      <w:r w:rsidRPr="00256D43">
        <w:t>1(3)</w:t>
      </w:r>
      <w:r w:rsidR="00544A5A" w:rsidRPr="00256D43">
        <w:t xml:space="preserve"> </w:t>
      </w:r>
      <w:r w:rsidR="00B41B43" w:rsidRPr="00256D43">
        <w:t>delete “inspector or assistant inspector, as the case may require.” and insert:</w:t>
      </w:r>
    </w:p>
    <w:p w:rsidR="00544A5A" w:rsidRPr="00256D43" w:rsidRDefault="00544A5A" w:rsidP="00544A5A">
      <w:pPr>
        <w:pStyle w:val="BlankOpen"/>
      </w:pPr>
    </w:p>
    <w:p w:rsidR="00544A5A" w:rsidRPr="00256D43" w:rsidRDefault="00544A5A" w:rsidP="00544A5A">
      <w:pPr>
        <w:pStyle w:val="Subsection"/>
      </w:pPr>
      <w:r w:rsidRPr="00256D43">
        <w:tab/>
      </w:r>
      <w:r w:rsidRPr="00256D43">
        <w:tab/>
        <w:t>inspector.</w:t>
      </w:r>
    </w:p>
    <w:p w:rsidR="00544A5A" w:rsidRPr="00256D43" w:rsidRDefault="00544A5A" w:rsidP="00544A5A">
      <w:pPr>
        <w:pStyle w:val="BlankClose"/>
      </w:pPr>
    </w:p>
    <w:p w:rsidR="00544A5A" w:rsidRPr="00256D43" w:rsidRDefault="00B41BA0" w:rsidP="00544A5A">
      <w:pPr>
        <w:pStyle w:val="Subsection"/>
      </w:pPr>
      <w:r w:rsidRPr="00256D43">
        <w:lastRenderedPageBreak/>
        <w:tab/>
      </w:r>
      <w:r w:rsidR="002C752A">
        <w:t>(3)</w:t>
      </w:r>
      <w:r w:rsidRPr="00256D43">
        <w:tab/>
        <w:t xml:space="preserve">In </w:t>
      </w:r>
      <w:r w:rsidR="00405D7D" w:rsidRPr="00256D43">
        <w:t>section 2</w:t>
      </w:r>
      <w:r w:rsidRPr="00256D43">
        <w:t>1(4)</w:t>
      </w:r>
      <w:r w:rsidR="00544A5A" w:rsidRPr="00256D43">
        <w:t xml:space="preserve"> </w:t>
      </w:r>
      <w:r w:rsidRPr="00256D43">
        <w:t>delete “inspector, special inspector, employee’s inspector, or assistant” and insert:</w:t>
      </w:r>
    </w:p>
    <w:p w:rsidR="00544A5A" w:rsidRPr="00256D43" w:rsidRDefault="00544A5A" w:rsidP="00544A5A">
      <w:pPr>
        <w:pStyle w:val="BlankOpen"/>
      </w:pPr>
    </w:p>
    <w:p w:rsidR="00B41BA0" w:rsidRPr="00256D43" w:rsidRDefault="00B41BA0" w:rsidP="00544A5A">
      <w:pPr>
        <w:pStyle w:val="Subsection"/>
      </w:pPr>
      <w:r w:rsidRPr="00256D43">
        <w:tab/>
      </w:r>
      <w:r w:rsidR="00F85600" w:rsidRPr="00256D43">
        <w:tab/>
      </w:r>
      <w:r w:rsidRPr="00256D43">
        <w:t>inspector or special</w:t>
      </w:r>
    </w:p>
    <w:p w:rsidR="00544A5A" w:rsidRPr="00256D43" w:rsidRDefault="00544A5A" w:rsidP="00544A5A">
      <w:pPr>
        <w:pStyle w:val="BlankClose"/>
      </w:pPr>
    </w:p>
    <w:p w:rsidR="00C20AEF" w:rsidRPr="00256D43" w:rsidRDefault="002C752A" w:rsidP="00C20AEF">
      <w:pPr>
        <w:pStyle w:val="Heading5"/>
      </w:pPr>
      <w:bookmarkStart w:id="62" w:name="_Toc404770858"/>
      <w:bookmarkStart w:id="63" w:name="_Toc405379745"/>
      <w:bookmarkStart w:id="64" w:name="_Toc405380362"/>
      <w:bookmarkStart w:id="65" w:name="_Toc405474602"/>
      <w:r>
        <w:rPr>
          <w:rStyle w:val="CharSectno"/>
        </w:rPr>
        <w:t>9</w:t>
      </w:r>
      <w:r w:rsidR="00C20AEF" w:rsidRPr="00256D43">
        <w:t>.</w:t>
      </w:r>
      <w:r w:rsidR="00C20AEF" w:rsidRPr="00256D43">
        <w:tab/>
      </w:r>
      <w:r w:rsidR="00405D7D" w:rsidRPr="00256D43">
        <w:t>Section 2</w:t>
      </w:r>
      <w:r w:rsidR="00C20AEF" w:rsidRPr="00256D43">
        <w:t>5 deleted</w:t>
      </w:r>
      <w:bookmarkEnd w:id="62"/>
      <w:bookmarkEnd w:id="63"/>
      <w:bookmarkEnd w:id="64"/>
      <w:bookmarkEnd w:id="65"/>
    </w:p>
    <w:p w:rsidR="00C20AEF" w:rsidRPr="00256D43" w:rsidRDefault="00C20AEF" w:rsidP="00C20AEF">
      <w:pPr>
        <w:pStyle w:val="Subsection"/>
      </w:pPr>
      <w:r w:rsidRPr="00256D43">
        <w:tab/>
      </w:r>
      <w:r w:rsidRPr="00256D43">
        <w:tab/>
        <w:t xml:space="preserve">Delete </w:t>
      </w:r>
      <w:r w:rsidR="00405D7D" w:rsidRPr="00256D43">
        <w:t>section 2</w:t>
      </w:r>
      <w:r w:rsidRPr="00256D43">
        <w:t>5.</w:t>
      </w:r>
    </w:p>
    <w:p w:rsidR="00DF3882" w:rsidRPr="00256D43" w:rsidRDefault="002C752A" w:rsidP="00DF3882">
      <w:pPr>
        <w:pStyle w:val="Heading5"/>
      </w:pPr>
      <w:bookmarkStart w:id="66" w:name="_Toc404770859"/>
      <w:bookmarkStart w:id="67" w:name="_Toc405379746"/>
      <w:bookmarkStart w:id="68" w:name="_Toc405380363"/>
      <w:bookmarkStart w:id="69" w:name="_Toc405474603"/>
      <w:r>
        <w:rPr>
          <w:rStyle w:val="CharSectno"/>
        </w:rPr>
        <w:t>10</w:t>
      </w:r>
      <w:r w:rsidR="00DF3882" w:rsidRPr="00256D43">
        <w:t>.</w:t>
      </w:r>
      <w:r w:rsidR="00DF3882" w:rsidRPr="00256D43">
        <w:tab/>
      </w:r>
      <w:r w:rsidR="00405D7D" w:rsidRPr="00256D43">
        <w:t>Section 2</w:t>
      </w:r>
      <w:r w:rsidR="00DF3882" w:rsidRPr="00256D43">
        <w:t>6 amended</w:t>
      </w:r>
      <w:bookmarkEnd w:id="66"/>
      <w:bookmarkEnd w:id="67"/>
      <w:bookmarkEnd w:id="68"/>
      <w:bookmarkEnd w:id="69"/>
    </w:p>
    <w:p w:rsidR="004A0B09" w:rsidRPr="00256D43" w:rsidRDefault="00DF3882" w:rsidP="004A0B09">
      <w:pPr>
        <w:pStyle w:val="Subsection"/>
      </w:pPr>
      <w:r w:rsidRPr="00256D43">
        <w:tab/>
      </w:r>
      <w:r w:rsidRPr="00256D43">
        <w:tab/>
        <w:t xml:space="preserve">In </w:t>
      </w:r>
      <w:r w:rsidR="00405D7D" w:rsidRPr="00256D43">
        <w:t>section 2</w:t>
      </w:r>
      <w:r w:rsidRPr="00256D43">
        <w:t>6(1)</w:t>
      </w:r>
      <w:r w:rsidR="004A0B09" w:rsidRPr="00256D43">
        <w:t xml:space="preserve">, (2) and (4) </w:t>
      </w:r>
      <w:r w:rsidR="00E32D07" w:rsidRPr="00256D43">
        <w:t>delete “inspector, an assistant inspector or a person assisting such” and insert:</w:t>
      </w:r>
    </w:p>
    <w:p w:rsidR="004A0B09" w:rsidRPr="00256D43" w:rsidRDefault="004A0B09" w:rsidP="004A0B09">
      <w:pPr>
        <w:pStyle w:val="BlankOpen"/>
      </w:pPr>
    </w:p>
    <w:p w:rsidR="00E32D07" w:rsidRPr="00256D43" w:rsidRDefault="004A0B09" w:rsidP="004A0B09">
      <w:pPr>
        <w:pStyle w:val="Subsection"/>
      </w:pPr>
      <w:r w:rsidRPr="00256D43">
        <w:tab/>
      </w:r>
      <w:r w:rsidR="00E32D07" w:rsidRPr="00256D43">
        <w:tab/>
        <w:t>inspector or a person assisting</w:t>
      </w:r>
    </w:p>
    <w:p w:rsidR="004A0B09" w:rsidRPr="00256D43" w:rsidRDefault="004A0B09" w:rsidP="004A0B09">
      <w:pPr>
        <w:pStyle w:val="BlankClose"/>
      </w:pPr>
    </w:p>
    <w:p w:rsidR="00535EB6" w:rsidRPr="00256D43" w:rsidRDefault="002C752A" w:rsidP="00535EB6">
      <w:pPr>
        <w:pStyle w:val="Heading5"/>
      </w:pPr>
      <w:bookmarkStart w:id="70" w:name="_Toc404770860"/>
      <w:bookmarkStart w:id="71" w:name="_Toc405379747"/>
      <w:bookmarkStart w:id="72" w:name="_Toc405380364"/>
      <w:bookmarkStart w:id="73" w:name="_Toc405474604"/>
      <w:r>
        <w:rPr>
          <w:rStyle w:val="CharSectno"/>
        </w:rPr>
        <w:t>11</w:t>
      </w:r>
      <w:r w:rsidR="00535EB6" w:rsidRPr="00256D43">
        <w:t>.</w:t>
      </w:r>
      <w:r w:rsidR="00535EB6" w:rsidRPr="00256D43">
        <w:tab/>
      </w:r>
      <w:r w:rsidR="00405D7D" w:rsidRPr="00256D43">
        <w:t>Section 5</w:t>
      </w:r>
      <w:r w:rsidR="00535EB6" w:rsidRPr="00256D43">
        <w:t>3 amended</w:t>
      </w:r>
      <w:bookmarkEnd w:id="70"/>
      <w:bookmarkEnd w:id="71"/>
      <w:bookmarkEnd w:id="72"/>
      <w:bookmarkEnd w:id="73"/>
    </w:p>
    <w:p w:rsidR="00535EB6" w:rsidRPr="00256D43" w:rsidRDefault="00535EB6" w:rsidP="00535EB6">
      <w:pPr>
        <w:pStyle w:val="Subsection"/>
      </w:pPr>
      <w:r w:rsidRPr="00256D43">
        <w:tab/>
      </w:r>
      <w:r w:rsidRPr="00256D43">
        <w:tab/>
        <w:t xml:space="preserve">In </w:t>
      </w:r>
      <w:r w:rsidR="00405D7D" w:rsidRPr="00256D43">
        <w:t>section 5</w:t>
      </w:r>
      <w:r w:rsidRPr="00256D43">
        <w:t xml:space="preserve">3(1)(g) delete “employees, employers, and employee’s inspectors in accordance with </w:t>
      </w:r>
      <w:r w:rsidR="00405D7D" w:rsidRPr="00256D43">
        <w:t>section 2</w:t>
      </w:r>
      <w:r w:rsidRPr="00256D43">
        <w:t>5,” and insert:</w:t>
      </w:r>
    </w:p>
    <w:p w:rsidR="00535EB6" w:rsidRPr="00256D43" w:rsidRDefault="00535EB6" w:rsidP="00535EB6">
      <w:pPr>
        <w:pStyle w:val="BlankOpen"/>
      </w:pPr>
    </w:p>
    <w:p w:rsidR="00535EB6" w:rsidRPr="00256D43" w:rsidRDefault="00535EB6" w:rsidP="00535EB6">
      <w:pPr>
        <w:pStyle w:val="Subsection"/>
      </w:pPr>
      <w:r w:rsidRPr="00256D43">
        <w:tab/>
      </w:r>
      <w:r w:rsidRPr="00256D43">
        <w:tab/>
        <w:t>employees and employers</w:t>
      </w:r>
    </w:p>
    <w:p w:rsidR="00535EB6" w:rsidRPr="00256D43" w:rsidRDefault="00535EB6" w:rsidP="00535EB6">
      <w:pPr>
        <w:pStyle w:val="BlankClose"/>
      </w:pPr>
    </w:p>
    <w:p w:rsidR="00D900C5" w:rsidRPr="00256D43" w:rsidRDefault="002C752A" w:rsidP="00D900C5">
      <w:pPr>
        <w:pStyle w:val="Heading5"/>
      </w:pPr>
      <w:bookmarkStart w:id="74" w:name="_Toc404770861"/>
      <w:bookmarkStart w:id="75" w:name="_Toc405379748"/>
      <w:bookmarkStart w:id="76" w:name="_Toc405380365"/>
      <w:bookmarkStart w:id="77" w:name="_Toc405474605"/>
      <w:r>
        <w:rPr>
          <w:rStyle w:val="CharSectno"/>
        </w:rPr>
        <w:t>12</w:t>
      </w:r>
      <w:r w:rsidR="00D900C5" w:rsidRPr="00256D43">
        <w:t>.</w:t>
      </w:r>
      <w:r w:rsidR="00D900C5" w:rsidRPr="00256D43">
        <w:tab/>
      </w:r>
      <w:r w:rsidR="00405D7D" w:rsidRPr="00256D43">
        <w:t>Section 7</w:t>
      </w:r>
      <w:r w:rsidR="00D900C5" w:rsidRPr="00256D43">
        <w:t>7 amended</w:t>
      </w:r>
      <w:bookmarkEnd w:id="74"/>
      <w:bookmarkEnd w:id="75"/>
      <w:bookmarkEnd w:id="76"/>
      <w:bookmarkEnd w:id="77"/>
    </w:p>
    <w:p w:rsidR="00D900C5" w:rsidRPr="00256D43" w:rsidRDefault="00D900C5" w:rsidP="00D900C5">
      <w:pPr>
        <w:pStyle w:val="Subsection"/>
      </w:pPr>
      <w:r w:rsidRPr="00256D43">
        <w:tab/>
      </w:r>
      <w:r w:rsidRPr="00256D43">
        <w:tab/>
        <w:t xml:space="preserve">In </w:t>
      </w:r>
      <w:r w:rsidR="00405D7D" w:rsidRPr="00256D43">
        <w:t>section 7</w:t>
      </w:r>
      <w:r w:rsidRPr="00256D43">
        <w:t>7(2) delete “an assistant inspector,”.</w:t>
      </w:r>
    </w:p>
    <w:p w:rsidR="000316F0" w:rsidRPr="00256D43" w:rsidRDefault="002C752A" w:rsidP="000316F0">
      <w:pPr>
        <w:pStyle w:val="Heading5"/>
      </w:pPr>
      <w:bookmarkStart w:id="78" w:name="_Toc404770862"/>
      <w:bookmarkStart w:id="79" w:name="_Toc405379749"/>
      <w:bookmarkStart w:id="80" w:name="_Toc405380366"/>
      <w:bookmarkStart w:id="81" w:name="_Toc405474606"/>
      <w:r>
        <w:rPr>
          <w:rStyle w:val="CharSectno"/>
        </w:rPr>
        <w:t>13</w:t>
      </w:r>
      <w:r w:rsidR="000316F0" w:rsidRPr="00256D43">
        <w:t>.</w:t>
      </w:r>
      <w:r w:rsidR="000316F0" w:rsidRPr="00256D43">
        <w:tab/>
      </w:r>
      <w:r w:rsidR="00405D7D" w:rsidRPr="00256D43">
        <w:t>Section 8</w:t>
      </w:r>
      <w:r w:rsidR="000316F0" w:rsidRPr="00256D43">
        <w:t>7 amended</w:t>
      </w:r>
      <w:bookmarkEnd w:id="78"/>
      <w:bookmarkEnd w:id="79"/>
      <w:bookmarkEnd w:id="80"/>
      <w:bookmarkEnd w:id="81"/>
    </w:p>
    <w:p w:rsidR="001E17F4" w:rsidRPr="00256D43" w:rsidRDefault="000316F0" w:rsidP="000316F0">
      <w:pPr>
        <w:pStyle w:val="Subsection"/>
      </w:pPr>
      <w:r w:rsidRPr="00256D43">
        <w:tab/>
      </w:r>
      <w:r w:rsidRPr="00256D43">
        <w:tab/>
        <w:t xml:space="preserve">In </w:t>
      </w:r>
      <w:r w:rsidR="00405D7D" w:rsidRPr="00256D43">
        <w:t>section 8</w:t>
      </w:r>
      <w:r w:rsidRPr="00256D43">
        <w:t>7(4)</w:t>
      </w:r>
      <w:r w:rsidR="00DB40E0" w:rsidRPr="00256D43">
        <w:t>:</w:t>
      </w:r>
    </w:p>
    <w:p w:rsidR="000316F0" w:rsidRPr="00256D43" w:rsidRDefault="001E17F4" w:rsidP="001E17F4">
      <w:pPr>
        <w:pStyle w:val="Indenta"/>
      </w:pPr>
      <w:r w:rsidRPr="00256D43">
        <w:tab/>
      </w:r>
      <w:r w:rsidR="002C752A">
        <w:t>(a)</w:t>
      </w:r>
      <w:r w:rsidRPr="00256D43">
        <w:tab/>
      </w:r>
      <w:r w:rsidR="000316F0" w:rsidRPr="00256D43">
        <w:t>delete “inspector, an assistant inspector,” and insert:</w:t>
      </w:r>
    </w:p>
    <w:p w:rsidR="001E17F4" w:rsidRPr="00256D43" w:rsidRDefault="001E17F4" w:rsidP="001E17F4">
      <w:pPr>
        <w:pStyle w:val="BlankOpen"/>
      </w:pPr>
    </w:p>
    <w:p w:rsidR="001E17F4" w:rsidRPr="00256D43" w:rsidRDefault="001E17F4" w:rsidP="001E17F4">
      <w:pPr>
        <w:pStyle w:val="Indenta"/>
      </w:pPr>
      <w:r w:rsidRPr="00256D43">
        <w:tab/>
      </w:r>
      <w:r w:rsidRPr="00256D43">
        <w:tab/>
        <w:t>inspector</w:t>
      </w:r>
    </w:p>
    <w:p w:rsidR="001E17F4" w:rsidRPr="00256D43" w:rsidRDefault="001E17F4" w:rsidP="001E17F4">
      <w:pPr>
        <w:pStyle w:val="BlankClose"/>
      </w:pPr>
    </w:p>
    <w:p w:rsidR="001E17F4" w:rsidRPr="00256D43" w:rsidRDefault="001E17F4" w:rsidP="001E17F4">
      <w:pPr>
        <w:pStyle w:val="Indenta"/>
      </w:pPr>
      <w:r w:rsidRPr="00256D43">
        <w:lastRenderedPageBreak/>
        <w:tab/>
      </w:r>
      <w:r w:rsidR="002C752A">
        <w:t>(b)</w:t>
      </w:r>
      <w:r w:rsidRPr="00256D43">
        <w:tab/>
        <w:t>delete “inspector, assistant inspector,” (each occurrence) and insert:</w:t>
      </w:r>
    </w:p>
    <w:p w:rsidR="001E17F4" w:rsidRPr="00256D43" w:rsidRDefault="001E17F4" w:rsidP="001E17F4">
      <w:pPr>
        <w:pStyle w:val="BlankOpen"/>
      </w:pPr>
    </w:p>
    <w:p w:rsidR="001E17F4" w:rsidRPr="00256D43" w:rsidRDefault="001E17F4" w:rsidP="001E17F4">
      <w:pPr>
        <w:pStyle w:val="Indenta"/>
      </w:pPr>
      <w:r w:rsidRPr="00256D43">
        <w:tab/>
      </w:r>
      <w:r w:rsidRPr="00256D43">
        <w:tab/>
        <w:t>inspector</w:t>
      </w:r>
    </w:p>
    <w:p w:rsidR="001E17F4" w:rsidRPr="00256D43" w:rsidRDefault="001E17F4" w:rsidP="001E17F4">
      <w:pPr>
        <w:pStyle w:val="BlankClose"/>
      </w:pPr>
    </w:p>
    <w:p w:rsidR="00341EC0" w:rsidRPr="00256D43" w:rsidRDefault="002C752A" w:rsidP="00341EC0">
      <w:pPr>
        <w:pStyle w:val="Heading5"/>
      </w:pPr>
      <w:bookmarkStart w:id="82" w:name="_Toc404770863"/>
      <w:bookmarkStart w:id="83" w:name="_Toc405379750"/>
      <w:bookmarkStart w:id="84" w:name="_Toc405380367"/>
      <w:bookmarkStart w:id="85" w:name="_Toc405474607"/>
      <w:r>
        <w:rPr>
          <w:rStyle w:val="CharSectno"/>
        </w:rPr>
        <w:t>14</w:t>
      </w:r>
      <w:r w:rsidR="00341EC0" w:rsidRPr="00256D43">
        <w:t>.</w:t>
      </w:r>
      <w:r w:rsidR="00341EC0" w:rsidRPr="00256D43">
        <w:tab/>
      </w:r>
      <w:r w:rsidR="00405D7D" w:rsidRPr="00256D43">
        <w:t>Section 1</w:t>
      </w:r>
      <w:r w:rsidR="00341EC0" w:rsidRPr="00256D43">
        <w:t>04 amended</w:t>
      </w:r>
      <w:bookmarkEnd w:id="82"/>
      <w:bookmarkEnd w:id="83"/>
      <w:bookmarkEnd w:id="84"/>
      <w:bookmarkEnd w:id="85"/>
    </w:p>
    <w:p w:rsidR="00341EC0" w:rsidRPr="00256D43" w:rsidRDefault="00341EC0" w:rsidP="00341EC0">
      <w:pPr>
        <w:pStyle w:val="Subsection"/>
      </w:pPr>
      <w:r w:rsidRPr="00256D43">
        <w:tab/>
      </w:r>
      <w:r w:rsidRPr="00256D43">
        <w:tab/>
        <w:t xml:space="preserve">In </w:t>
      </w:r>
      <w:r w:rsidR="00405D7D" w:rsidRPr="00256D43">
        <w:t>section 1</w:t>
      </w:r>
      <w:r w:rsidRPr="00256D43">
        <w:t>04(1)(a) delete “and assistant inspectors”.</w:t>
      </w:r>
    </w:p>
    <w:p w:rsidR="00A64D29" w:rsidRPr="00256D43" w:rsidRDefault="002C752A" w:rsidP="00A64D29">
      <w:pPr>
        <w:pStyle w:val="Heading5"/>
      </w:pPr>
      <w:bookmarkStart w:id="86" w:name="_Toc404770864"/>
      <w:bookmarkStart w:id="87" w:name="_Toc405379751"/>
      <w:bookmarkStart w:id="88" w:name="_Toc405380368"/>
      <w:bookmarkStart w:id="89" w:name="_Toc405474608"/>
      <w:r>
        <w:rPr>
          <w:rStyle w:val="CharSectno"/>
        </w:rPr>
        <w:t>15</w:t>
      </w:r>
      <w:r w:rsidR="00A64D29" w:rsidRPr="00256D43">
        <w:t>.</w:t>
      </w:r>
      <w:r w:rsidR="00A64D29" w:rsidRPr="00256D43">
        <w:tab/>
      </w:r>
      <w:r w:rsidR="002A22CA" w:rsidRPr="00256D43">
        <w:t>Section 1</w:t>
      </w:r>
      <w:r w:rsidR="00A64D29" w:rsidRPr="00256D43">
        <w:t>08 deleted</w:t>
      </w:r>
      <w:bookmarkEnd w:id="86"/>
      <w:bookmarkEnd w:id="87"/>
      <w:bookmarkEnd w:id="88"/>
      <w:bookmarkEnd w:id="89"/>
    </w:p>
    <w:p w:rsidR="00A64D29" w:rsidRPr="00256D43" w:rsidRDefault="00A64D29" w:rsidP="00A64D29">
      <w:pPr>
        <w:pStyle w:val="Subsection"/>
      </w:pPr>
      <w:r w:rsidRPr="00256D43">
        <w:tab/>
      </w:r>
      <w:r w:rsidRPr="00256D43">
        <w:tab/>
        <w:t xml:space="preserve">Delete </w:t>
      </w:r>
      <w:r w:rsidR="002A22CA" w:rsidRPr="00256D43">
        <w:t>section 1</w:t>
      </w:r>
      <w:r w:rsidRPr="00256D43">
        <w:t>08.</w:t>
      </w:r>
    </w:p>
    <w:p w:rsidR="003B6D11" w:rsidRPr="00256D43" w:rsidRDefault="002C752A" w:rsidP="003B6D11">
      <w:pPr>
        <w:pStyle w:val="Heading5"/>
      </w:pPr>
      <w:bookmarkStart w:id="90" w:name="_Toc404770865"/>
      <w:bookmarkStart w:id="91" w:name="_Toc405379752"/>
      <w:bookmarkStart w:id="92" w:name="_Toc405380369"/>
      <w:bookmarkStart w:id="93" w:name="_Toc405474609"/>
      <w:r>
        <w:rPr>
          <w:rStyle w:val="CharSectno"/>
        </w:rPr>
        <w:t>16</w:t>
      </w:r>
      <w:r w:rsidR="003B6D11" w:rsidRPr="00256D43">
        <w:t>.</w:t>
      </w:r>
      <w:r w:rsidR="003B6D11" w:rsidRPr="00256D43">
        <w:tab/>
      </w:r>
      <w:r w:rsidR="002A22CA" w:rsidRPr="00256D43">
        <w:t>Schedule 1</w:t>
      </w:r>
      <w:r w:rsidR="003B6D11" w:rsidRPr="00256D43">
        <w:t xml:space="preserve"> deleted</w:t>
      </w:r>
      <w:bookmarkEnd w:id="90"/>
      <w:bookmarkEnd w:id="91"/>
      <w:bookmarkEnd w:id="92"/>
      <w:bookmarkEnd w:id="93"/>
    </w:p>
    <w:p w:rsidR="003B6D11" w:rsidRPr="00256D43" w:rsidRDefault="003B6D11" w:rsidP="003B6D11">
      <w:pPr>
        <w:pStyle w:val="Subsection"/>
      </w:pPr>
      <w:r w:rsidRPr="00256D43">
        <w:tab/>
      </w:r>
      <w:r w:rsidRPr="00256D43">
        <w:tab/>
        <w:t xml:space="preserve">Delete </w:t>
      </w:r>
      <w:r w:rsidR="002A22CA" w:rsidRPr="00256D43">
        <w:t>Schedule 1</w:t>
      </w:r>
      <w:r w:rsidRPr="00256D43">
        <w:t>.</w:t>
      </w:r>
    </w:p>
    <w:p w:rsidR="00FC1BC3" w:rsidRPr="00256D43" w:rsidRDefault="002C752A" w:rsidP="00FC1BC3">
      <w:pPr>
        <w:pStyle w:val="Heading5"/>
      </w:pPr>
      <w:bookmarkStart w:id="94" w:name="_Toc404770866"/>
      <w:bookmarkStart w:id="95" w:name="_Toc405379753"/>
      <w:bookmarkStart w:id="96" w:name="_Toc405380370"/>
      <w:bookmarkStart w:id="97" w:name="_Toc405474610"/>
      <w:r>
        <w:rPr>
          <w:rStyle w:val="CharSectno"/>
        </w:rPr>
        <w:t>17</w:t>
      </w:r>
      <w:r w:rsidR="00FC1BC3" w:rsidRPr="00256D43">
        <w:t>.</w:t>
      </w:r>
      <w:r w:rsidR="00FC1BC3" w:rsidRPr="00256D43">
        <w:tab/>
        <w:t xml:space="preserve">Various references to </w:t>
      </w:r>
      <w:r w:rsidR="00DB40E0" w:rsidRPr="00256D43">
        <w:t>“</w:t>
      </w:r>
      <w:r w:rsidR="00FC1BC3" w:rsidRPr="009717E7">
        <w:t>or assistant inspector</w:t>
      </w:r>
      <w:r w:rsidR="00DB40E0" w:rsidRPr="00256D43">
        <w:t>”</w:t>
      </w:r>
      <w:r w:rsidR="00FC1BC3" w:rsidRPr="00256D43">
        <w:t xml:space="preserve"> deleted</w:t>
      </w:r>
      <w:bookmarkEnd w:id="94"/>
      <w:bookmarkEnd w:id="95"/>
      <w:bookmarkEnd w:id="96"/>
      <w:bookmarkEnd w:id="97"/>
    </w:p>
    <w:p w:rsidR="00FC1BC3" w:rsidRPr="00256D43" w:rsidRDefault="00FC1BC3" w:rsidP="00FC1BC3">
      <w:pPr>
        <w:pStyle w:val="Subsection"/>
      </w:pPr>
      <w:r w:rsidRPr="00256D43">
        <w:tab/>
      </w:r>
      <w:r w:rsidRPr="00256D43">
        <w:tab/>
        <w:t>In the provisions listed in the Table delete “or assistant inspector”.</w:t>
      </w:r>
    </w:p>
    <w:p w:rsidR="00FC1BC3" w:rsidRPr="00256D43" w:rsidRDefault="00FC1BC3" w:rsidP="00B35BE0">
      <w:pPr>
        <w:pStyle w:val="THeadingNAm"/>
        <w:keepLines/>
        <w:widowControl w:val="0"/>
      </w:pPr>
      <w:r w:rsidRPr="00256D43"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 w:rsidR="00FC1BC3" w:rsidRPr="00256D43">
        <w:trPr>
          <w:tblHeader/>
        </w:trPr>
        <w:tc>
          <w:tcPr>
            <w:tcW w:w="3033" w:type="dxa"/>
          </w:tcPr>
          <w:p w:rsidR="00FC1BC3" w:rsidRPr="00256D43" w:rsidRDefault="00FC1BC3" w:rsidP="00B35BE0">
            <w:pPr>
              <w:pStyle w:val="TableNAm"/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256D43">
              <w:rPr>
                <w:b/>
                <w:bCs/>
              </w:rPr>
              <w:t>Provision</w:t>
            </w:r>
          </w:p>
        </w:tc>
        <w:tc>
          <w:tcPr>
            <w:tcW w:w="3034" w:type="dxa"/>
          </w:tcPr>
          <w:p w:rsidR="00FC1BC3" w:rsidRPr="00256D43" w:rsidRDefault="00FC1BC3" w:rsidP="00B35BE0">
            <w:pPr>
              <w:pStyle w:val="TableNAm"/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256D43">
              <w:rPr>
                <w:b/>
                <w:bCs/>
              </w:rPr>
              <w:t>Provision</w:t>
            </w:r>
          </w:p>
        </w:tc>
      </w:tr>
      <w:tr w:rsidR="00FC1BC3" w:rsidRPr="00256D43">
        <w:tc>
          <w:tcPr>
            <w:tcW w:w="3033" w:type="dxa"/>
          </w:tcPr>
          <w:p w:rsidR="00FC1BC3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2</w:t>
            </w:r>
            <w:r w:rsidR="00544A5A" w:rsidRPr="00256D43">
              <w:t xml:space="preserve">1(3) </w:t>
            </w:r>
            <w:r w:rsidR="00DB40E0" w:rsidRPr="00256D43">
              <w:br/>
            </w:r>
            <w:r w:rsidR="00544A5A" w:rsidRPr="00256D43">
              <w:t>(1</w:t>
            </w:r>
            <w:r w:rsidR="00544A5A" w:rsidRPr="00256D43">
              <w:rPr>
                <w:vertAlign w:val="superscript"/>
              </w:rPr>
              <w:t>st</w:t>
            </w:r>
            <w:r w:rsidR="00544A5A" w:rsidRPr="00256D43">
              <w:t xml:space="preserve"> and 2</w:t>
            </w:r>
            <w:r w:rsidR="00544A5A" w:rsidRPr="00256D43">
              <w:rPr>
                <w:vertAlign w:val="superscript"/>
              </w:rPr>
              <w:t>nd</w:t>
            </w:r>
            <w:r w:rsidR="00544A5A" w:rsidRPr="00256D43">
              <w:t xml:space="preserve"> occurrences)</w:t>
            </w:r>
          </w:p>
        </w:tc>
        <w:tc>
          <w:tcPr>
            <w:tcW w:w="3034" w:type="dxa"/>
          </w:tcPr>
          <w:p w:rsidR="00FC1BC3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2</w:t>
            </w:r>
            <w:r w:rsidR="00544A5A" w:rsidRPr="00256D43">
              <w:t>1(4) (2</w:t>
            </w:r>
            <w:r w:rsidR="00544A5A" w:rsidRPr="00256D43">
              <w:rPr>
                <w:vertAlign w:val="superscript"/>
              </w:rPr>
              <w:t>nd</w:t>
            </w:r>
            <w:r w:rsidR="00544A5A" w:rsidRPr="00256D43">
              <w:t xml:space="preserve"> occurrence)</w:t>
            </w:r>
          </w:p>
        </w:tc>
      </w:tr>
      <w:tr w:rsidR="00FC1BC3" w:rsidRPr="00256D43">
        <w:tc>
          <w:tcPr>
            <w:tcW w:w="3033" w:type="dxa"/>
          </w:tcPr>
          <w:p w:rsidR="00FC1BC3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2</w:t>
            </w:r>
            <w:r w:rsidR="00544A5A" w:rsidRPr="00256D43">
              <w:t>1(5) (each occurrence)</w:t>
            </w:r>
          </w:p>
        </w:tc>
        <w:tc>
          <w:tcPr>
            <w:tcW w:w="3034" w:type="dxa"/>
          </w:tcPr>
          <w:p w:rsidR="00FC1BC3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2</w:t>
            </w:r>
            <w:r w:rsidR="004A0B09" w:rsidRPr="00256D43">
              <w:t>3(1) (each occurrence)</w:t>
            </w:r>
          </w:p>
        </w:tc>
      </w:tr>
      <w:tr w:rsidR="00FC1BC3" w:rsidRPr="00256D43">
        <w:tc>
          <w:tcPr>
            <w:tcW w:w="3033" w:type="dxa"/>
          </w:tcPr>
          <w:p w:rsidR="00FC1BC3" w:rsidRPr="00256D43" w:rsidRDefault="00405D7D">
            <w:pPr>
              <w:pStyle w:val="TableNAm"/>
            </w:pPr>
            <w:r w:rsidRPr="00256D43">
              <w:t>s. 2</w:t>
            </w:r>
            <w:r w:rsidR="004A0B09" w:rsidRPr="00256D43">
              <w:t>3(2) and (3)</w:t>
            </w:r>
          </w:p>
        </w:tc>
        <w:tc>
          <w:tcPr>
            <w:tcW w:w="3034" w:type="dxa"/>
          </w:tcPr>
          <w:p w:rsidR="00FC1BC3" w:rsidRPr="00256D43" w:rsidRDefault="00405D7D" w:rsidP="004A0B09">
            <w:pPr>
              <w:pStyle w:val="TableNAm"/>
            </w:pPr>
            <w:r w:rsidRPr="00256D43">
              <w:t>s. 2</w:t>
            </w:r>
            <w:r w:rsidR="004A0B09" w:rsidRPr="00256D43">
              <w:t>6(1)(a), (2) and (4)(b)</w:t>
            </w:r>
          </w:p>
        </w:tc>
      </w:tr>
      <w:tr w:rsidR="00E4549D" w:rsidRPr="00256D43">
        <w:tc>
          <w:tcPr>
            <w:tcW w:w="3033" w:type="dxa"/>
          </w:tcPr>
          <w:p w:rsidR="00E4549D" w:rsidRPr="00256D43" w:rsidRDefault="00405D7D">
            <w:pPr>
              <w:pStyle w:val="TableNAm"/>
            </w:pPr>
            <w:r w:rsidRPr="00256D43">
              <w:t>s. 2</w:t>
            </w:r>
            <w:r w:rsidR="00E4549D" w:rsidRPr="00256D43">
              <w:t>7(1) (each occurrence)</w:t>
            </w:r>
          </w:p>
        </w:tc>
        <w:tc>
          <w:tcPr>
            <w:tcW w:w="3034" w:type="dxa"/>
          </w:tcPr>
          <w:p w:rsidR="00E4549D" w:rsidRPr="00256D43" w:rsidRDefault="00405D7D" w:rsidP="00E4549D">
            <w:pPr>
              <w:pStyle w:val="TableNAm"/>
            </w:pPr>
            <w:r w:rsidRPr="00256D43">
              <w:t>s. 2</w:t>
            </w:r>
            <w:r w:rsidR="00E4549D" w:rsidRPr="00256D43">
              <w:t>8(1) (each occurrence)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 w:rsidP="006A2A94">
            <w:pPr>
              <w:pStyle w:val="TableNAm"/>
            </w:pPr>
            <w:r w:rsidRPr="00256D43">
              <w:t>s. 2</w:t>
            </w:r>
            <w:r w:rsidR="00F20B1F" w:rsidRPr="00256D43">
              <w:t>9(1) (each occurrence)</w:t>
            </w:r>
          </w:p>
        </w:tc>
        <w:tc>
          <w:tcPr>
            <w:tcW w:w="3034" w:type="dxa"/>
          </w:tcPr>
          <w:p w:rsidR="00F20B1F" w:rsidRPr="00256D43" w:rsidRDefault="00405D7D" w:rsidP="00F20B1F">
            <w:pPr>
              <w:pStyle w:val="TableNAm"/>
            </w:pPr>
            <w:r w:rsidRPr="00256D43">
              <w:t>s. 2</w:t>
            </w:r>
            <w:r w:rsidR="00F20B1F" w:rsidRPr="00256D43">
              <w:t>9(2)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>
            <w:pPr>
              <w:pStyle w:val="TableNAm"/>
            </w:pPr>
            <w:r w:rsidRPr="00256D43">
              <w:t>s. 3</w:t>
            </w:r>
            <w:r w:rsidR="00F20B1F" w:rsidRPr="00256D43">
              <w:t>0(2) and (3)(a)</w:t>
            </w:r>
          </w:p>
        </w:tc>
        <w:tc>
          <w:tcPr>
            <w:tcW w:w="3034" w:type="dxa"/>
          </w:tcPr>
          <w:p w:rsidR="00F20B1F" w:rsidRPr="00256D43" w:rsidRDefault="00405D7D">
            <w:pPr>
              <w:pStyle w:val="TableNAm"/>
            </w:pPr>
            <w:r w:rsidRPr="00256D43">
              <w:t>s. 3</w:t>
            </w:r>
            <w:r w:rsidR="00F20B1F" w:rsidRPr="00256D43">
              <w:t>1(a)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>
            <w:pPr>
              <w:pStyle w:val="TableNAm"/>
            </w:pPr>
            <w:r w:rsidRPr="00256D43">
              <w:t>s. 3</w:t>
            </w:r>
            <w:r w:rsidR="00F20B1F" w:rsidRPr="00256D43">
              <w:t>1AA(1)(a)</w:t>
            </w:r>
          </w:p>
        </w:tc>
        <w:tc>
          <w:tcPr>
            <w:tcW w:w="3034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3</w:t>
            </w:r>
            <w:r w:rsidR="00F20B1F" w:rsidRPr="00256D43">
              <w:t>1AC(1) and (2)(b)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>
            <w:pPr>
              <w:pStyle w:val="TableNAm"/>
            </w:pPr>
            <w:r w:rsidRPr="00256D43">
              <w:t>s. 3</w:t>
            </w:r>
            <w:r w:rsidR="00F20B1F" w:rsidRPr="00256D43">
              <w:t>1AD(1) and (2)(b)</w:t>
            </w:r>
          </w:p>
        </w:tc>
        <w:tc>
          <w:tcPr>
            <w:tcW w:w="3034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3</w:t>
            </w:r>
            <w:r w:rsidR="00F20B1F" w:rsidRPr="00256D43">
              <w:t>1AE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3</w:t>
            </w:r>
            <w:r w:rsidR="00F20B1F" w:rsidRPr="00256D43">
              <w:t>1AF(a)</w:t>
            </w:r>
          </w:p>
        </w:tc>
        <w:tc>
          <w:tcPr>
            <w:tcW w:w="3034" w:type="dxa"/>
          </w:tcPr>
          <w:p w:rsidR="00F20B1F" w:rsidRPr="00256D43" w:rsidRDefault="00405D7D" w:rsidP="00F95562">
            <w:pPr>
              <w:pStyle w:val="TableNAm"/>
            </w:pPr>
            <w:r w:rsidRPr="00256D43">
              <w:t>s. 3</w:t>
            </w:r>
            <w:r w:rsidR="00F20B1F" w:rsidRPr="00256D43">
              <w:t xml:space="preserve">1AH(2) </w:t>
            </w:r>
            <w:r w:rsidR="00F95562">
              <w:br/>
            </w:r>
            <w:r w:rsidR="00F20B1F" w:rsidRPr="00256D43">
              <w:t>(each occurrence)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3</w:t>
            </w:r>
            <w:r w:rsidR="00F20B1F" w:rsidRPr="00256D43">
              <w:t>1AH(3)</w:t>
            </w:r>
          </w:p>
        </w:tc>
        <w:tc>
          <w:tcPr>
            <w:tcW w:w="3034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3</w:t>
            </w:r>
            <w:r w:rsidR="00F20B1F" w:rsidRPr="00256D43">
              <w:t>1AI(a)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3</w:t>
            </w:r>
            <w:r w:rsidR="00F20B1F" w:rsidRPr="00256D43">
              <w:t>1BD(1)</w:t>
            </w:r>
          </w:p>
        </w:tc>
        <w:tc>
          <w:tcPr>
            <w:tcW w:w="3034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9</w:t>
            </w:r>
            <w:r w:rsidR="00F20B1F" w:rsidRPr="00256D43">
              <w:t>8(1)(f)</w:t>
            </w:r>
          </w:p>
        </w:tc>
      </w:tr>
      <w:tr w:rsidR="00F20B1F" w:rsidRPr="00256D43">
        <w:tc>
          <w:tcPr>
            <w:tcW w:w="3033" w:type="dxa"/>
          </w:tcPr>
          <w:p w:rsidR="00F20B1F" w:rsidRPr="00256D43" w:rsidRDefault="00405D7D" w:rsidP="00405D7D">
            <w:pPr>
              <w:pStyle w:val="TableNAm"/>
            </w:pPr>
            <w:r w:rsidRPr="00256D43">
              <w:t>s. 1</w:t>
            </w:r>
            <w:r w:rsidR="00F20B1F" w:rsidRPr="00256D43">
              <w:t>01(b)</w:t>
            </w:r>
          </w:p>
        </w:tc>
        <w:tc>
          <w:tcPr>
            <w:tcW w:w="3034" w:type="dxa"/>
          </w:tcPr>
          <w:p w:rsidR="00F20B1F" w:rsidRPr="00256D43" w:rsidRDefault="00F20B1F">
            <w:pPr>
              <w:pStyle w:val="TableNAm"/>
            </w:pPr>
          </w:p>
        </w:tc>
      </w:tr>
    </w:tbl>
    <w:p w:rsidR="00F540C4" w:rsidRPr="00256D43" w:rsidRDefault="002C752A" w:rsidP="00F540C4">
      <w:pPr>
        <w:pStyle w:val="Heading5"/>
      </w:pPr>
      <w:bookmarkStart w:id="98" w:name="_Toc404770867"/>
      <w:bookmarkStart w:id="99" w:name="_Toc405379754"/>
      <w:bookmarkStart w:id="100" w:name="_Toc405380371"/>
      <w:bookmarkStart w:id="101" w:name="_Toc405474611"/>
      <w:r>
        <w:rPr>
          <w:rStyle w:val="CharSectno"/>
        </w:rPr>
        <w:t>18</w:t>
      </w:r>
      <w:r w:rsidR="00F540C4" w:rsidRPr="00256D43">
        <w:t>.</w:t>
      </w:r>
      <w:r w:rsidR="00F540C4" w:rsidRPr="00256D43">
        <w:tab/>
        <w:t xml:space="preserve">Various references to </w:t>
      </w:r>
      <w:r w:rsidR="00DB40E0" w:rsidRPr="00256D43">
        <w:t>“</w:t>
      </w:r>
      <w:r w:rsidR="00F540C4" w:rsidRPr="009717E7">
        <w:t>or an assistant inspector</w:t>
      </w:r>
      <w:r w:rsidR="00DB40E0" w:rsidRPr="00256D43">
        <w:t>”</w:t>
      </w:r>
      <w:r w:rsidR="00F540C4" w:rsidRPr="00256D43">
        <w:t xml:space="preserve"> deleted</w:t>
      </w:r>
      <w:bookmarkEnd w:id="98"/>
      <w:bookmarkEnd w:id="99"/>
      <w:bookmarkEnd w:id="100"/>
      <w:bookmarkEnd w:id="101"/>
    </w:p>
    <w:p w:rsidR="00F540C4" w:rsidRPr="00256D43" w:rsidRDefault="00F540C4" w:rsidP="00F540C4">
      <w:pPr>
        <w:pStyle w:val="Subsection"/>
      </w:pPr>
      <w:r w:rsidRPr="00256D43">
        <w:tab/>
      </w:r>
      <w:r w:rsidRPr="00256D43">
        <w:tab/>
        <w:t>In the provisions listed in the Table delete “or an assistant inspector”.</w:t>
      </w:r>
    </w:p>
    <w:p w:rsidR="00F540C4" w:rsidRPr="00256D43" w:rsidRDefault="00F540C4" w:rsidP="00B35BE0">
      <w:pPr>
        <w:pStyle w:val="THeadingNAm"/>
        <w:keepLines/>
        <w:widowControl w:val="0"/>
      </w:pPr>
      <w:r w:rsidRPr="00256D43"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 w:rsidR="00F540C4" w:rsidRPr="00256D43" w:rsidTr="00D900C5">
        <w:trPr>
          <w:tblHeader/>
        </w:trPr>
        <w:tc>
          <w:tcPr>
            <w:tcW w:w="3033" w:type="dxa"/>
          </w:tcPr>
          <w:p w:rsidR="00F540C4" w:rsidRPr="00256D43" w:rsidRDefault="00F540C4" w:rsidP="00B35BE0">
            <w:pPr>
              <w:pStyle w:val="TableNAm"/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256D43">
              <w:rPr>
                <w:b/>
                <w:bCs/>
              </w:rPr>
              <w:t>Provision</w:t>
            </w:r>
          </w:p>
        </w:tc>
        <w:tc>
          <w:tcPr>
            <w:tcW w:w="3034" w:type="dxa"/>
          </w:tcPr>
          <w:p w:rsidR="00F540C4" w:rsidRPr="00256D43" w:rsidRDefault="00F540C4" w:rsidP="00B35BE0">
            <w:pPr>
              <w:pStyle w:val="TableNAm"/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256D43">
              <w:rPr>
                <w:b/>
                <w:bCs/>
              </w:rPr>
              <w:t>Provision</w:t>
            </w:r>
          </w:p>
        </w:tc>
      </w:tr>
      <w:tr w:rsidR="00F540C4" w:rsidRPr="00256D43" w:rsidTr="00D900C5">
        <w:tc>
          <w:tcPr>
            <w:tcW w:w="3033" w:type="dxa"/>
          </w:tcPr>
          <w:p w:rsidR="00F540C4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2</w:t>
            </w:r>
            <w:r w:rsidR="00F540C4" w:rsidRPr="00256D43">
              <w:t>1(3)</w:t>
            </w:r>
          </w:p>
        </w:tc>
        <w:tc>
          <w:tcPr>
            <w:tcW w:w="3034" w:type="dxa"/>
          </w:tcPr>
          <w:p w:rsidR="00F540C4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3</w:t>
            </w:r>
            <w:r w:rsidR="00F540C4" w:rsidRPr="00256D43">
              <w:t>0(1)</w:t>
            </w:r>
          </w:p>
        </w:tc>
      </w:tr>
      <w:tr w:rsidR="00F540C4" w:rsidRPr="00256D43" w:rsidTr="00D900C5">
        <w:tc>
          <w:tcPr>
            <w:tcW w:w="3033" w:type="dxa"/>
          </w:tcPr>
          <w:p w:rsidR="00F540C4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3</w:t>
            </w:r>
            <w:r w:rsidR="00F540C4" w:rsidRPr="00256D43">
              <w:t>1AB</w:t>
            </w:r>
          </w:p>
        </w:tc>
        <w:tc>
          <w:tcPr>
            <w:tcW w:w="3034" w:type="dxa"/>
          </w:tcPr>
          <w:p w:rsidR="00F540C4" w:rsidRPr="00256D43" w:rsidRDefault="00405D7D" w:rsidP="00B35BE0">
            <w:pPr>
              <w:pStyle w:val="TableNAm"/>
              <w:keepNext/>
              <w:keepLines/>
              <w:widowControl w:val="0"/>
            </w:pPr>
            <w:r w:rsidRPr="00256D43">
              <w:t>s. 3</w:t>
            </w:r>
            <w:r w:rsidR="00F540C4" w:rsidRPr="00256D43">
              <w:t>1AH(1)</w:t>
            </w:r>
          </w:p>
        </w:tc>
      </w:tr>
    </w:tbl>
    <w:p w:rsidR="001328D1" w:rsidRDefault="001746EF" w:rsidP="001746EF">
      <w:pPr>
        <w:pStyle w:val="Heading2"/>
        <w:rPr>
          <w:rStyle w:val="CharPartText"/>
        </w:rPr>
      </w:pPr>
      <w:bookmarkStart w:id="102" w:name="_Toc387155787"/>
      <w:bookmarkStart w:id="103" w:name="_Toc387155909"/>
      <w:bookmarkStart w:id="104" w:name="_Toc387156860"/>
      <w:bookmarkStart w:id="105" w:name="_Toc387158104"/>
      <w:bookmarkStart w:id="106" w:name="_Toc387158145"/>
      <w:bookmarkStart w:id="107" w:name="_Toc387158205"/>
      <w:bookmarkStart w:id="108" w:name="_Toc387818742"/>
      <w:bookmarkStart w:id="109" w:name="_Toc404770868"/>
      <w:bookmarkStart w:id="110" w:name="_Toc405377543"/>
      <w:bookmarkStart w:id="111" w:name="_Toc405379755"/>
      <w:bookmarkStart w:id="112" w:name="_Toc405380372"/>
      <w:bookmarkStart w:id="113" w:name="_Toc405474589"/>
      <w:bookmarkStart w:id="114" w:name="_Toc405474612"/>
      <w:r w:rsidRPr="001746EF">
        <w:rPr>
          <w:rStyle w:val="CharPartNo"/>
        </w:rPr>
        <w:t xml:space="preserve">Part </w:t>
      </w:r>
      <w:r w:rsidR="002C752A">
        <w:rPr>
          <w:rStyle w:val="CharPartNo"/>
        </w:rPr>
        <w:t>3</w:t>
      </w:r>
      <w:r w:rsidRPr="001746EF">
        <w:rPr>
          <w:rStyle w:val="CharDivNo"/>
        </w:rPr>
        <w:t> </w:t>
      </w:r>
      <w:r>
        <w:t>—</w:t>
      </w:r>
      <w:r w:rsidRPr="001746EF">
        <w:rPr>
          <w:rStyle w:val="CharDivText"/>
        </w:rPr>
        <w:t> </w:t>
      </w:r>
      <w:r w:rsidRPr="009422DD">
        <w:rPr>
          <w:rStyle w:val="CharPartText"/>
          <w:i/>
        </w:rPr>
        <w:t>Coal Industry Superannuation Act</w:t>
      </w:r>
      <w:r w:rsidR="005C096F" w:rsidRPr="009422DD">
        <w:rPr>
          <w:rStyle w:val="CharPartText"/>
          <w:i/>
        </w:rPr>
        <w:t> </w:t>
      </w:r>
      <w:r w:rsidRPr="009422DD">
        <w:rPr>
          <w:rStyle w:val="CharPartText"/>
          <w:i/>
        </w:rPr>
        <w:t xml:space="preserve">1989 </w:t>
      </w:r>
      <w:r w:rsidRPr="007F1162">
        <w:rPr>
          <w:rStyle w:val="CharPartText"/>
        </w:rPr>
        <w:t>amended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746EF" w:rsidRDefault="002C752A" w:rsidP="001746EF">
      <w:pPr>
        <w:pStyle w:val="Heading5"/>
        <w:rPr>
          <w:snapToGrid w:val="0"/>
        </w:rPr>
      </w:pPr>
      <w:bookmarkStart w:id="115" w:name="_Toc404770869"/>
      <w:bookmarkStart w:id="116" w:name="_Toc405379756"/>
      <w:bookmarkStart w:id="117" w:name="_Toc405380373"/>
      <w:bookmarkStart w:id="118" w:name="_Toc405474613"/>
      <w:r>
        <w:rPr>
          <w:rStyle w:val="CharSectno"/>
        </w:rPr>
        <w:t>19</w:t>
      </w:r>
      <w:r w:rsidR="001746EF" w:rsidRPr="00256D43">
        <w:rPr>
          <w:snapToGrid w:val="0"/>
        </w:rPr>
        <w:t>.</w:t>
      </w:r>
      <w:r w:rsidR="001746EF" w:rsidRPr="00256D43">
        <w:rPr>
          <w:snapToGrid w:val="0"/>
        </w:rPr>
        <w:tab/>
        <w:t>Act amended</w:t>
      </w:r>
      <w:bookmarkEnd w:id="115"/>
      <w:bookmarkEnd w:id="116"/>
      <w:bookmarkEnd w:id="117"/>
      <w:bookmarkEnd w:id="118"/>
    </w:p>
    <w:p w:rsidR="001746EF" w:rsidRDefault="001746EF" w:rsidP="001746EF">
      <w:pPr>
        <w:pStyle w:val="Subsection"/>
      </w:pPr>
      <w:r>
        <w:tab/>
      </w:r>
      <w:r>
        <w:tab/>
      </w:r>
      <w:r w:rsidRPr="00256D43">
        <w:t xml:space="preserve">This </w:t>
      </w:r>
      <w:r>
        <w:t>Part</w:t>
      </w:r>
      <w:r w:rsidRPr="00256D43">
        <w:t xml:space="preserve"> amends the</w:t>
      </w:r>
      <w:r>
        <w:t xml:space="preserve"> </w:t>
      </w:r>
      <w:r>
        <w:rPr>
          <w:i/>
        </w:rPr>
        <w:t>Coal Industry Superannuation Act</w:t>
      </w:r>
      <w:r w:rsidR="00CC7C2A">
        <w:rPr>
          <w:i/>
        </w:rPr>
        <w:t> </w:t>
      </w:r>
      <w:r>
        <w:rPr>
          <w:i/>
        </w:rPr>
        <w:t>1989</w:t>
      </w:r>
      <w:r>
        <w:t>.</w:t>
      </w:r>
    </w:p>
    <w:p w:rsidR="001746EF" w:rsidRDefault="002C752A" w:rsidP="001746EF">
      <w:pPr>
        <w:pStyle w:val="Heading5"/>
      </w:pPr>
      <w:bookmarkStart w:id="119" w:name="_Toc404770870"/>
      <w:bookmarkStart w:id="120" w:name="_Toc405379757"/>
      <w:bookmarkStart w:id="121" w:name="_Toc405380374"/>
      <w:bookmarkStart w:id="122" w:name="_Toc405474614"/>
      <w:r>
        <w:rPr>
          <w:rStyle w:val="CharSectno"/>
        </w:rPr>
        <w:t>20</w:t>
      </w:r>
      <w:r w:rsidR="001746EF" w:rsidRPr="001746EF">
        <w:t>.</w:t>
      </w:r>
      <w:r w:rsidR="001746EF" w:rsidRPr="001746EF">
        <w:tab/>
      </w:r>
      <w:r w:rsidR="001746EF">
        <w:t>Section 4 amended</w:t>
      </w:r>
      <w:bookmarkEnd w:id="119"/>
      <w:bookmarkEnd w:id="120"/>
      <w:bookmarkEnd w:id="121"/>
      <w:bookmarkEnd w:id="122"/>
    </w:p>
    <w:p w:rsidR="001746EF" w:rsidRDefault="001746EF" w:rsidP="001746EF">
      <w:pPr>
        <w:pStyle w:val="Subsection"/>
      </w:pPr>
      <w:r>
        <w:tab/>
      </w:r>
      <w:r>
        <w:tab/>
        <w:t>Delete section 4(1)(b).</w:t>
      </w:r>
    </w:p>
    <w:p w:rsidR="005C096F" w:rsidRDefault="005C096F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6F" w:rsidRDefault="005C096F" w:rsidP="001746EF">
      <w:pPr>
        <w:pStyle w:val="Subsection"/>
      </w:pPr>
    </w:p>
    <w:p w:rsidR="005C096F" w:rsidRPr="005C096F" w:rsidRDefault="005C096F" w:rsidP="001746EF">
      <w:pPr>
        <w:pStyle w:val="Subsection"/>
        <w:rPr>
          <w:rStyle w:val="DraftersNotes"/>
        </w:rPr>
        <w:sectPr w:rsidR="005C096F" w:rsidRPr="005C096F" w:rsidSect="004B1EC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titlePg/>
          <w:docGrid w:linePitch="326"/>
        </w:sectPr>
      </w:pPr>
    </w:p>
    <w:p w:rsidR="00D612E0" w:rsidRPr="00DB40E0" w:rsidRDefault="00D612E0" w:rsidP="00DB40E0">
      <w:pPr>
        <w:pStyle w:val="SignatureText"/>
        <w:rPr>
          <w:szCs w:val="24"/>
        </w:rPr>
      </w:pPr>
    </w:p>
    <w:sectPr w:rsidR="00D612E0" w:rsidRPr="00DB40E0" w:rsidSect="004B1EC7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2A" w:rsidRDefault="00CC7C2A">
      <w:pPr>
        <w:rPr>
          <w:b/>
          <w:sz w:val="28"/>
        </w:rPr>
      </w:pPr>
      <w:r>
        <w:rPr>
          <w:b/>
          <w:sz w:val="28"/>
        </w:rPr>
        <w:t>Endnotes</w:t>
      </w:r>
    </w:p>
    <w:p w:rsidR="00CC7C2A" w:rsidRDefault="00CC7C2A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CC7C2A" w:rsidRDefault="00CC7C2A">
      <w:pPr>
        <w:pStyle w:val="Footer"/>
      </w:pPr>
    </w:p>
  </w:endnote>
  <w:endnote w:type="continuationNotice" w:id="1">
    <w:p w:rsidR="00CC7C2A" w:rsidRDefault="00CC7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7" w:rsidRDefault="00CC23A7">
    <w:pPr>
      <w:pStyle w:val="Footer"/>
      <w:tabs>
        <w:tab w:val="clear" w:pos="4153"/>
        <w:tab w:val="right" w:pos="7088"/>
      </w:tabs>
      <w:rPr>
        <w:rStyle w:val="PageNumber"/>
      </w:rPr>
    </w:pPr>
  </w:p>
  <w:p w:rsidR="00CC23A7" w:rsidRDefault="00CC23A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No. 33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</w:p>
  <w:p w:rsidR="00CC23A7" w:rsidRPr="00FF6F7E" w:rsidRDefault="00CC23A7" w:rsidP="00FF6F7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C7" w:rsidRDefault="004B1EC7">
    <w:pPr>
      <w:pStyle w:val="Footer"/>
      <w:tabs>
        <w:tab w:val="clear" w:pos="4153"/>
        <w:tab w:val="right" w:pos="7088"/>
      </w:tabs>
      <w:rPr>
        <w:rStyle w:val="PageNumber"/>
      </w:rPr>
    </w:pPr>
  </w:p>
  <w:p w:rsidR="004B1EC7" w:rsidRDefault="004B1E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64191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No. 33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C7C2A" w:rsidRPr="004B1EC7" w:rsidRDefault="004B1EC7" w:rsidP="004B1EC7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C7" w:rsidRDefault="004B1EC7">
    <w:pPr>
      <w:pStyle w:val="Footer"/>
      <w:tabs>
        <w:tab w:val="clear" w:pos="4153"/>
        <w:tab w:val="right" w:pos="7088"/>
      </w:tabs>
      <w:rPr>
        <w:rStyle w:val="PageNumber"/>
      </w:rPr>
    </w:pPr>
  </w:p>
  <w:p w:rsidR="004B1EC7" w:rsidRDefault="004B1E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No. 33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64191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CC7C2A" w:rsidRPr="004B1EC7" w:rsidRDefault="004B1EC7" w:rsidP="004B1EC7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C7" w:rsidRDefault="004B1EC7">
    <w:pPr>
      <w:pStyle w:val="Footer"/>
      <w:tabs>
        <w:tab w:val="clear" w:pos="4153"/>
        <w:tab w:val="right" w:pos="7088"/>
      </w:tabs>
      <w:rPr>
        <w:rStyle w:val="PageNumber"/>
      </w:rPr>
    </w:pPr>
  </w:p>
  <w:p w:rsidR="004B1EC7" w:rsidRDefault="004B1E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No. 33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64191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4B1EC7" w:rsidRPr="004B1EC7" w:rsidRDefault="004B1EC7" w:rsidP="004B1EC7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7" w:rsidRDefault="00CC23A7">
    <w:pPr>
      <w:pStyle w:val="Footer"/>
      <w:tabs>
        <w:tab w:val="clear" w:pos="4153"/>
        <w:tab w:val="right" w:pos="7088"/>
      </w:tabs>
      <w:rPr>
        <w:rStyle w:val="PageNumber"/>
      </w:rPr>
    </w:pPr>
  </w:p>
  <w:p w:rsidR="00CC23A7" w:rsidRDefault="00CC23A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No. 33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CC23A7" w:rsidRPr="00FF6F7E" w:rsidRDefault="00CC23A7" w:rsidP="00FF6F7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7" w:rsidRDefault="00CC23A7">
    <w:pPr>
      <w:pStyle w:val="Footer"/>
      <w:tabs>
        <w:tab w:val="clear" w:pos="4153"/>
        <w:tab w:val="right" w:pos="7088"/>
      </w:tabs>
      <w:rPr>
        <w:rStyle w:val="PageNumber"/>
      </w:rPr>
    </w:pPr>
  </w:p>
  <w:p w:rsidR="00CC23A7" w:rsidRDefault="00CC23A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No. 33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CC23A7" w:rsidRPr="00FF6F7E" w:rsidRDefault="00CC23A7" w:rsidP="00FF6F7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7" w:rsidRDefault="00CC23A7">
    <w:pPr>
      <w:pStyle w:val="Footer"/>
      <w:tabs>
        <w:tab w:val="clear" w:pos="4153"/>
        <w:tab w:val="right" w:pos="7088"/>
      </w:tabs>
      <w:rPr>
        <w:rStyle w:val="PageNumber"/>
      </w:rPr>
    </w:pPr>
  </w:p>
  <w:p w:rsidR="00CC23A7" w:rsidRDefault="00CC23A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830AC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No. 33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</w:p>
  <w:p w:rsidR="00CC23A7" w:rsidRPr="00FF6F7E" w:rsidRDefault="00CC23A7" w:rsidP="00FF6F7E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7" w:rsidRDefault="00CC23A7">
    <w:pPr>
      <w:pStyle w:val="Footer"/>
      <w:tabs>
        <w:tab w:val="clear" w:pos="4153"/>
        <w:tab w:val="right" w:pos="7088"/>
      </w:tabs>
      <w:rPr>
        <w:rStyle w:val="PageNumber"/>
      </w:rPr>
    </w:pPr>
  </w:p>
  <w:p w:rsidR="00CC23A7" w:rsidRDefault="00CC23A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No. 33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64191">
      <w:rPr>
        <w:rStyle w:val="CharPageNo"/>
        <w:rFonts w:ascii="Arial" w:hAnsi="Arial"/>
        <w:noProof/>
      </w:rPr>
      <w:t>ii</w:t>
    </w:r>
    <w:r>
      <w:rPr>
        <w:rStyle w:val="CharPageNo"/>
        <w:rFonts w:ascii="Arial" w:hAnsi="Arial"/>
      </w:rPr>
      <w:fldChar w:fldCharType="end"/>
    </w:r>
  </w:p>
  <w:p w:rsidR="00CC23A7" w:rsidRPr="00FF6F7E" w:rsidRDefault="00CC23A7" w:rsidP="00FF6F7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7" w:rsidRDefault="00CC23A7">
    <w:pPr>
      <w:pStyle w:val="Footer"/>
      <w:tabs>
        <w:tab w:val="clear" w:pos="4153"/>
        <w:tab w:val="right" w:pos="7088"/>
      </w:tabs>
      <w:rPr>
        <w:rStyle w:val="PageNumber"/>
      </w:rPr>
    </w:pPr>
  </w:p>
  <w:p w:rsidR="00CC23A7" w:rsidRDefault="00CC23A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03 Dec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830AC">
      <w:rPr>
        <w:rFonts w:ascii="Arial" w:hAnsi="Arial" w:cs="Arial"/>
        <w:sz w:val="20"/>
      </w:rPr>
      <w:t>No. 33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830A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C23A7" w:rsidRPr="00FF6F7E" w:rsidRDefault="00CC23A7" w:rsidP="00FF6F7E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C7" w:rsidRDefault="004B1EC7">
    <w:pPr>
      <w:pStyle w:val="Footer"/>
      <w:tabs>
        <w:tab w:val="clear" w:pos="4153"/>
        <w:tab w:val="right" w:pos="7088"/>
      </w:tabs>
      <w:rPr>
        <w:rStyle w:val="PageNumber"/>
      </w:rPr>
    </w:pPr>
  </w:p>
  <w:p w:rsidR="004B1EC7" w:rsidRDefault="004B1E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830AC"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No. 33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</w:p>
  <w:p w:rsidR="00CC7C2A" w:rsidRPr="004B1EC7" w:rsidRDefault="004B1EC7" w:rsidP="004B1EC7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C7" w:rsidRDefault="004B1EC7">
    <w:pPr>
      <w:pStyle w:val="Footer"/>
      <w:tabs>
        <w:tab w:val="clear" w:pos="4153"/>
        <w:tab w:val="right" w:pos="7088"/>
      </w:tabs>
      <w:rPr>
        <w:rStyle w:val="PageNumber"/>
      </w:rPr>
    </w:pPr>
  </w:p>
  <w:p w:rsidR="004B1EC7" w:rsidRDefault="004B1E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No. 33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830AC">
      <w:rPr>
        <w:rStyle w:val="PageNumber"/>
        <w:rFonts w:ascii="Arial" w:hAnsi="Arial" w:cs="Arial"/>
        <w:noProof/>
      </w:rPr>
      <w:t>7</w:t>
    </w:r>
    <w:r>
      <w:rPr>
        <w:rStyle w:val="PageNumber"/>
        <w:rFonts w:ascii="Arial" w:hAnsi="Arial" w:cs="Arial"/>
      </w:rPr>
      <w:fldChar w:fldCharType="end"/>
    </w:r>
  </w:p>
  <w:p w:rsidR="00CC7C2A" w:rsidRPr="004B1EC7" w:rsidRDefault="004B1EC7" w:rsidP="004B1EC7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C7" w:rsidRDefault="004B1EC7">
    <w:pPr>
      <w:pStyle w:val="Footer"/>
      <w:tabs>
        <w:tab w:val="clear" w:pos="4153"/>
        <w:tab w:val="right" w:pos="7088"/>
      </w:tabs>
      <w:rPr>
        <w:rStyle w:val="PageNumber"/>
      </w:rPr>
    </w:pPr>
  </w:p>
  <w:p w:rsidR="004B1EC7" w:rsidRDefault="004B1EC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830AC">
      <w:rPr>
        <w:rFonts w:ascii="Arial" w:hAnsi="Arial" w:cs="Arial"/>
        <w:sz w:val="20"/>
        <w:lang w:val="en-US"/>
      </w:rPr>
      <w:t>No. 33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830A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F1162" w:rsidRPr="004B1EC7" w:rsidRDefault="004B1EC7" w:rsidP="004B1EC7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2A" w:rsidRDefault="00CC7C2A">
      <w:r>
        <w:separator/>
      </w:r>
    </w:p>
  </w:footnote>
  <w:footnote w:type="continuationSeparator" w:id="0">
    <w:p w:rsidR="00CC7C2A" w:rsidRDefault="00CC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7" w:rsidRDefault="00CC23A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830AC">
      <w:rPr>
        <w:i/>
        <w:noProof/>
      </w:rPr>
      <w:t>Mines Safety and Inspection Amendment Act 2014</w:t>
    </w:r>
    <w:r>
      <w:rPr>
        <w:i/>
      </w:rPr>
      <w:fldChar w:fldCharType="end"/>
    </w:r>
  </w:p>
  <w:p w:rsidR="00CC23A7" w:rsidRDefault="00CC23A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C23A7" w:rsidRDefault="00CC23A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C23A7" w:rsidRDefault="00CC23A7">
    <w:pPr>
      <w:pStyle w:val="headerpart"/>
    </w:pPr>
  </w:p>
  <w:p w:rsidR="00CC23A7" w:rsidRDefault="00CC23A7">
    <w:pPr>
      <w:pBdr>
        <w:bottom w:val="single" w:sz="6" w:space="1" w:color="auto"/>
      </w:pBdr>
      <w:rPr>
        <w:b/>
      </w:rPr>
    </w:pPr>
  </w:p>
  <w:p w:rsidR="00CC23A7" w:rsidRDefault="00CC23A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A" w:rsidRDefault="00CC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C" w:rsidRDefault="00183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C" w:rsidRDefault="001830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C23A7">
      <w:trPr>
        <w:cantSplit/>
      </w:trPr>
      <w:tc>
        <w:tcPr>
          <w:tcW w:w="7258" w:type="dxa"/>
          <w:gridSpan w:val="2"/>
        </w:tcPr>
        <w:p w:rsidR="00CC23A7" w:rsidRDefault="00CC23A7">
          <w:pPr>
            <w:pStyle w:val="HeaderActNameLeft"/>
          </w:pPr>
          <w:fldSimple w:instr=" Styleref &quot;Name of Act/Reg&quot; ">
            <w:r w:rsidR="001830AC">
              <w:rPr>
                <w:noProof/>
              </w:rPr>
              <w:t>Mines Safety and Inspection Amendment Act 2014</w:t>
            </w:r>
          </w:fldSimple>
        </w:p>
      </w:tc>
    </w:tr>
    <w:tr w:rsidR="00CC23A7">
      <w:tc>
        <w:tcPr>
          <w:tcW w:w="1548" w:type="dxa"/>
        </w:tcPr>
        <w:p w:rsidR="00CC23A7" w:rsidRDefault="00CC23A7">
          <w:pPr>
            <w:pStyle w:val="HeaderNumberLeft"/>
          </w:pPr>
        </w:p>
      </w:tc>
      <w:tc>
        <w:tcPr>
          <w:tcW w:w="5715" w:type="dxa"/>
        </w:tcPr>
        <w:p w:rsidR="00CC23A7" w:rsidRDefault="00CC23A7">
          <w:pPr>
            <w:pStyle w:val="HeaderTextLeft"/>
          </w:pPr>
        </w:p>
      </w:tc>
    </w:tr>
    <w:tr w:rsidR="00CC23A7">
      <w:tc>
        <w:tcPr>
          <w:tcW w:w="1548" w:type="dxa"/>
        </w:tcPr>
        <w:p w:rsidR="00CC23A7" w:rsidRDefault="00CC23A7">
          <w:pPr>
            <w:pStyle w:val="HeaderNumberLeft"/>
          </w:pPr>
        </w:p>
      </w:tc>
      <w:tc>
        <w:tcPr>
          <w:tcW w:w="5715" w:type="dxa"/>
        </w:tcPr>
        <w:p w:rsidR="00CC23A7" w:rsidRDefault="00CC23A7">
          <w:pPr>
            <w:pStyle w:val="HeaderTextLeft"/>
          </w:pPr>
        </w:p>
      </w:tc>
    </w:tr>
    <w:tr w:rsidR="00CC23A7">
      <w:trPr>
        <w:cantSplit/>
      </w:trPr>
      <w:tc>
        <w:tcPr>
          <w:tcW w:w="7258" w:type="dxa"/>
          <w:gridSpan w:val="2"/>
        </w:tcPr>
        <w:p w:rsidR="00CC23A7" w:rsidRDefault="00CC23A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C23A7" w:rsidRDefault="00CC23A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C23A7">
      <w:trPr>
        <w:cantSplit/>
      </w:trPr>
      <w:tc>
        <w:tcPr>
          <w:tcW w:w="7258" w:type="dxa"/>
          <w:gridSpan w:val="2"/>
        </w:tcPr>
        <w:p w:rsidR="00CC23A7" w:rsidRDefault="00CC23A7">
          <w:pPr>
            <w:pStyle w:val="HeaderActNameRight"/>
            <w:ind w:right="17"/>
          </w:pPr>
          <w:fldSimple w:instr=" Styleref &quot;Name of Act/Reg&quot; ">
            <w:r w:rsidR="001830AC">
              <w:rPr>
                <w:noProof/>
              </w:rPr>
              <w:t>Mines Safety and Inspection Amendment Act 2014</w:t>
            </w:r>
          </w:fldSimple>
        </w:p>
      </w:tc>
    </w:tr>
    <w:tr w:rsidR="00CC23A7">
      <w:tc>
        <w:tcPr>
          <w:tcW w:w="5715" w:type="dxa"/>
        </w:tcPr>
        <w:p w:rsidR="00CC23A7" w:rsidRDefault="00CC23A7">
          <w:pPr>
            <w:pStyle w:val="HeaderTextRight"/>
          </w:pPr>
        </w:p>
      </w:tc>
      <w:tc>
        <w:tcPr>
          <w:tcW w:w="1548" w:type="dxa"/>
        </w:tcPr>
        <w:p w:rsidR="00CC23A7" w:rsidRDefault="00CC23A7">
          <w:pPr>
            <w:pStyle w:val="HeaderNumberRight"/>
            <w:ind w:right="17"/>
          </w:pPr>
        </w:p>
      </w:tc>
    </w:tr>
    <w:tr w:rsidR="00CC23A7">
      <w:tc>
        <w:tcPr>
          <w:tcW w:w="5715" w:type="dxa"/>
        </w:tcPr>
        <w:p w:rsidR="00CC23A7" w:rsidRDefault="00CC23A7">
          <w:pPr>
            <w:pStyle w:val="HeaderTextRight"/>
          </w:pPr>
        </w:p>
      </w:tc>
      <w:tc>
        <w:tcPr>
          <w:tcW w:w="1548" w:type="dxa"/>
        </w:tcPr>
        <w:p w:rsidR="00CC23A7" w:rsidRDefault="00CC23A7">
          <w:pPr>
            <w:pStyle w:val="HeaderNumberRight"/>
            <w:ind w:right="17"/>
          </w:pPr>
        </w:p>
      </w:tc>
    </w:tr>
    <w:tr w:rsidR="00CC23A7">
      <w:trPr>
        <w:cantSplit/>
      </w:trPr>
      <w:tc>
        <w:tcPr>
          <w:tcW w:w="7258" w:type="dxa"/>
          <w:gridSpan w:val="2"/>
        </w:tcPr>
        <w:p w:rsidR="00CC23A7" w:rsidRDefault="00CC23A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C23A7" w:rsidRDefault="00CC23A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C7C2A">
      <w:tc>
        <w:tcPr>
          <w:tcW w:w="7263" w:type="dxa"/>
          <w:gridSpan w:val="2"/>
        </w:tcPr>
        <w:p w:rsidR="00CC7C2A" w:rsidRDefault="00562A37">
          <w:pPr>
            <w:pStyle w:val="HeaderActNameLeft"/>
          </w:pPr>
          <w:fldSimple w:instr=" STYLEREF &quot;Name of Act/Reg&quot; \* CHARFORMAT ">
            <w:r w:rsidR="001830AC">
              <w:rPr>
                <w:noProof/>
              </w:rPr>
              <w:t>Mines Safety and Inspection Amendment Act 2014</w:t>
            </w:r>
          </w:fldSimple>
        </w:p>
      </w:tc>
    </w:tr>
    <w:tr w:rsidR="00CC7C2A">
      <w:tc>
        <w:tcPr>
          <w:tcW w:w="1548" w:type="dxa"/>
        </w:tcPr>
        <w:p w:rsidR="00CC7C2A" w:rsidRDefault="00CC7C2A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1830AC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562A37">
            <w:fldChar w:fldCharType="begin"/>
          </w:r>
          <w:r w:rsidR="00562A37">
            <w:instrText xml:space="preserve"> STYLEREF CharPartNo </w:instrText>
          </w:r>
          <w:r w:rsidR="00562A37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2C752A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2C752A">
              <w:rPr>
                <w:noProof/>
              </w:rPr>
              <w:instrText>2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C7C2A" w:rsidRDefault="00562A3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CC7C2A">
      <w:tc>
        <w:tcPr>
          <w:tcW w:w="1548" w:type="dxa"/>
        </w:tcPr>
        <w:p w:rsidR="00CC7C2A" w:rsidRDefault="00CC7C2A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1830AC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C7C2A" w:rsidRDefault="00CC7C2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C7C2A">
      <w:tc>
        <w:tcPr>
          <w:tcW w:w="7263" w:type="dxa"/>
          <w:gridSpan w:val="2"/>
        </w:tcPr>
        <w:p w:rsidR="00CC7C2A" w:rsidRDefault="00CC7C2A" w:rsidP="00CC7C2A">
          <w:pPr>
            <w:pStyle w:val="HeaderTextLeft"/>
            <w:tabs>
              <w:tab w:val="left" w:pos="4430"/>
            </w:tabs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1830AC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1830AC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C752A">
            <w:rPr>
              <w:b/>
              <w:noProof/>
            </w:rPr>
            <w:instrText>18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1830A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CC7C2A" w:rsidRDefault="00CC7C2A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C7C2A">
      <w:trPr>
        <w:cantSplit/>
      </w:trPr>
      <w:tc>
        <w:tcPr>
          <w:tcW w:w="7263" w:type="dxa"/>
          <w:gridSpan w:val="2"/>
        </w:tcPr>
        <w:p w:rsidR="00CC7C2A" w:rsidRDefault="00562A37">
          <w:pPr>
            <w:pStyle w:val="HeaderActNameRight"/>
            <w:ind w:right="17"/>
          </w:pPr>
          <w:fldSimple w:instr=" STYLEREF &quot;Name of Act/Reg&quot; \* CHARFORMAT ">
            <w:r w:rsidR="001830AC">
              <w:rPr>
                <w:noProof/>
              </w:rPr>
              <w:t>Mines Safety and Inspection Amendment Act 2014</w:t>
            </w:r>
          </w:fldSimple>
        </w:p>
      </w:tc>
    </w:tr>
    <w:tr w:rsidR="00CC7C2A">
      <w:tc>
        <w:tcPr>
          <w:tcW w:w="5715" w:type="dxa"/>
          <w:vAlign w:val="bottom"/>
        </w:tcPr>
        <w:p w:rsidR="00CC7C2A" w:rsidRDefault="00562A3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CC7C2A" w:rsidRDefault="00CC7C2A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1830AC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562A37">
            <w:fldChar w:fldCharType="begin"/>
          </w:r>
          <w:r w:rsidR="00562A37">
            <w:instrText xml:space="preserve"> STYLEREF CharPartNo </w:instrText>
          </w:r>
          <w:r w:rsidR="00562A37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2C752A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2C752A"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</w:tr>
    <w:tr w:rsidR="00CC7C2A">
      <w:tc>
        <w:tcPr>
          <w:tcW w:w="5715" w:type="dxa"/>
          <w:vAlign w:val="bottom"/>
        </w:tcPr>
        <w:p w:rsidR="00CC7C2A" w:rsidRDefault="00CC7C2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C7C2A" w:rsidRDefault="00CC7C2A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1830AC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</w:tr>
    <w:tr w:rsidR="00CC7C2A">
      <w:trPr>
        <w:cantSplit/>
      </w:trPr>
      <w:tc>
        <w:tcPr>
          <w:tcW w:w="7263" w:type="dxa"/>
          <w:gridSpan w:val="2"/>
        </w:tcPr>
        <w:p w:rsidR="00CC7C2A" w:rsidRPr="009422DD" w:rsidRDefault="007F1162">
          <w:pPr>
            <w:pStyle w:val="HeaderNumberRight"/>
            <w:ind w:right="17"/>
          </w:pPr>
          <w:r w:rsidRPr="009422DD">
            <w:t xml:space="preserve">s. </w:t>
          </w:r>
          <w:r w:rsidRPr="009422DD">
            <w:fldChar w:fldCharType="begin"/>
          </w:r>
          <w:r w:rsidRPr="009422DD">
            <w:instrText xml:space="preserve"> IF </w:instrText>
          </w:r>
          <w:fldSimple w:instr=" STYLEREF CharSectNo \n ">
            <w:r w:rsidR="001830AC">
              <w:rPr>
                <w:noProof/>
              </w:rPr>
              <w:instrText>0</w:instrText>
            </w:r>
          </w:fldSimple>
          <w:r w:rsidRPr="009422DD">
            <w:instrText xml:space="preserve"> = 0 "</w:instrText>
          </w:r>
          <w:fldSimple w:instr=" STYLEREF CharSectNo ">
            <w:r w:rsidR="001830AC">
              <w:rPr>
                <w:noProof/>
              </w:rPr>
              <w:instrText>1</w:instrText>
            </w:r>
          </w:fldSimple>
          <w:r w:rsidRPr="009422DD">
            <w:instrText>" "</w:instrText>
          </w:r>
          <w:fldSimple w:instr=" STYLEREF CharSectNo \n ">
            <w:r w:rsidR="002C752A">
              <w:rPr>
                <w:noProof/>
              </w:rPr>
              <w:instrText>19</w:instrText>
            </w:r>
          </w:fldSimple>
          <w:r w:rsidRPr="009422DD">
            <w:instrText>"</w:instrText>
          </w:r>
          <w:r w:rsidRPr="009422DD">
            <w:fldChar w:fldCharType="separate"/>
          </w:r>
          <w:r w:rsidR="001830AC">
            <w:rPr>
              <w:noProof/>
            </w:rPr>
            <w:t>1</w:t>
          </w:r>
          <w:r w:rsidRPr="009422DD">
            <w:fldChar w:fldCharType="end"/>
          </w:r>
        </w:p>
      </w:tc>
    </w:tr>
  </w:tbl>
  <w:p w:rsidR="00CC7C2A" w:rsidRDefault="00CC7C2A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62" w:rsidRDefault="007F116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A" w:rsidRDefault="00CC7C2A">
    <w:pPr>
      <w:pStyle w:val="HeaderText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505151943"/>
    <w:docVar w:name="WAFER_20140505151943" w:val="RemoveTocBookmarks,RemoveUnusedBookmarks,RemoveLanguageTags,UsedStyles,ResetPageSize"/>
    <w:docVar w:name="WAFER_20140505151943_GUID" w:val="3aafbeee-adf7-4b06-8a6c-d39ccdda08d4"/>
  </w:docVars>
  <w:rsids>
    <w:rsidRoot w:val="0068141A"/>
    <w:rsid w:val="00006332"/>
    <w:rsid w:val="000134C8"/>
    <w:rsid w:val="00014BDE"/>
    <w:rsid w:val="00017245"/>
    <w:rsid w:val="00030DC2"/>
    <w:rsid w:val="000316F0"/>
    <w:rsid w:val="00032CB6"/>
    <w:rsid w:val="00034F1F"/>
    <w:rsid w:val="00036AB1"/>
    <w:rsid w:val="00040E29"/>
    <w:rsid w:val="000424AA"/>
    <w:rsid w:val="00047653"/>
    <w:rsid w:val="00047C4F"/>
    <w:rsid w:val="0005317B"/>
    <w:rsid w:val="000534B3"/>
    <w:rsid w:val="00056E30"/>
    <w:rsid w:val="000634B7"/>
    <w:rsid w:val="00064F22"/>
    <w:rsid w:val="00066369"/>
    <w:rsid w:val="00067447"/>
    <w:rsid w:val="00067C8F"/>
    <w:rsid w:val="00085282"/>
    <w:rsid w:val="00090A1C"/>
    <w:rsid w:val="00090E8F"/>
    <w:rsid w:val="000A1263"/>
    <w:rsid w:val="000B3BC5"/>
    <w:rsid w:val="000C0208"/>
    <w:rsid w:val="000C3957"/>
    <w:rsid w:val="000D3DF4"/>
    <w:rsid w:val="000D5CF6"/>
    <w:rsid w:val="000D76F4"/>
    <w:rsid w:val="000E2933"/>
    <w:rsid w:val="000E3192"/>
    <w:rsid w:val="000F165C"/>
    <w:rsid w:val="00103EB0"/>
    <w:rsid w:val="00107E08"/>
    <w:rsid w:val="001172CC"/>
    <w:rsid w:val="001225CB"/>
    <w:rsid w:val="00122840"/>
    <w:rsid w:val="001238D5"/>
    <w:rsid w:val="00123F05"/>
    <w:rsid w:val="001253B4"/>
    <w:rsid w:val="00130E6C"/>
    <w:rsid w:val="001328D1"/>
    <w:rsid w:val="001366B5"/>
    <w:rsid w:val="00137946"/>
    <w:rsid w:val="001404B1"/>
    <w:rsid w:val="00146FF8"/>
    <w:rsid w:val="00162157"/>
    <w:rsid w:val="00162D4F"/>
    <w:rsid w:val="00171B6A"/>
    <w:rsid w:val="00172BF7"/>
    <w:rsid w:val="001746EF"/>
    <w:rsid w:val="001830AC"/>
    <w:rsid w:val="00183D23"/>
    <w:rsid w:val="00194114"/>
    <w:rsid w:val="00197E19"/>
    <w:rsid w:val="001A0BAB"/>
    <w:rsid w:val="001A354E"/>
    <w:rsid w:val="001B338E"/>
    <w:rsid w:val="001D06A8"/>
    <w:rsid w:val="001D2159"/>
    <w:rsid w:val="001E17F4"/>
    <w:rsid w:val="001E3F8B"/>
    <w:rsid w:val="001F2751"/>
    <w:rsid w:val="002008A5"/>
    <w:rsid w:val="002015B0"/>
    <w:rsid w:val="00201768"/>
    <w:rsid w:val="00203716"/>
    <w:rsid w:val="002101AB"/>
    <w:rsid w:val="00210488"/>
    <w:rsid w:val="00212417"/>
    <w:rsid w:val="0021581C"/>
    <w:rsid w:val="00223EA8"/>
    <w:rsid w:val="0023368D"/>
    <w:rsid w:val="00236667"/>
    <w:rsid w:val="00240E30"/>
    <w:rsid w:val="00256D43"/>
    <w:rsid w:val="0026738C"/>
    <w:rsid w:val="0027050A"/>
    <w:rsid w:val="00280988"/>
    <w:rsid w:val="002815EA"/>
    <w:rsid w:val="00281E4A"/>
    <w:rsid w:val="00282DB8"/>
    <w:rsid w:val="00285639"/>
    <w:rsid w:val="00286C3B"/>
    <w:rsid w:val="00287041"/>
    <w:rsid w:val="0028759B"/>
    <w:rsid w:val="002909DE"/>
    <w:rsid w:val="002910C5"/>
    <w:rsid w:val="0029363D"/>
    <w:rsid w:val="00297274"/>
    <w:rsid w:val="002A017B"/>
    <w:rsid w:val="002A22CA"/>
    <w:rsid w:val="002B7469"/>
    <w:rsid w:val="002B79FB"/>
    <w:rsid w:val="002C3958"/>
    <w:rsid w:val="002C4A7E"/>
    <w:rsid w:val="002C4B2D"/>
    <w:rsid w:val="002C752A"/>
    <w:rsid w:val="002D29CA"/>
    <w:rsid w:val="002E3742"/>
    <w:rsid w:val="002E55E3"/>
    <w:rsid w:val="002E743A"/>
    <w:rsid w:val="002F1A98"/>
    <w:rsid w:val="00306E13"/>
    <w:rsid w:val="00311577"/>
    <w:rsid w:val="003117BA"/>
    <w:rsid w:val="00314C47"/>
    <w:rsid w:val="00332E2E"/>
    <w:rsid w:val="0033504C"/>
    <w:rsid w:val="00335510"/>
    <w:rsid w:val="003367F0"/>
    <w:rsid w:val="00341EC0"/>
    <w:rsid w:val="003439AD"/>
    <w:rsid w:val="00344494"/>
    <w:rsid w:val="00352C18"/>
    <w:rsid w:val="00355E20"/>
    <w:rsid w:val="00362308"/>
    <w:rsid w:val="003850EB"/>
    <w:rsid w:val="00393055"/>
    <w:rsid w:val="00396F11"/>
    <w:rsid w:val="003A01C3"/>
    <w:rsid w:val="003A3692"/>
    <w:rsid w:val="003A6BDF"/>
    <w:rsid w:val="003B5792"/>
    <w:rsid w:val="003B5B68"/>
    <w:rsid w:val="003B6D11"/>
    <w:rsid w:val="003C3ADE"/>
    <w:rsid w:val="003C5966"/>
    <w:rsid w:val="003C7F98"/>
    <w:rsid w:val="003E4472"/>
    <w:rsid w:val="003F45B8"/>
    <w:rsid w:val="003F4DDC"/>
    <w:rsid w:val="003F6C77"/>
    <w:rsid w:val="00400729"/>
    <w:rsid w:val="00405D7D"/>
    <w:rsid w:val="004076AF"/>
    <w:rsid w:val="0042356B"/>
    <w:rsid w:val="00426383"/>
    <w:rsid w:val="0042655F"/>
    <w:rsid w:val="0042764B"/>
    <w:rsid w:val="0043294D"/>
    <w:rsid w:val="00436C50"/>
    <w:rsid w:val="0043706F"/>
    <w:rsid w:val="00442A05"/>
    <w:rsid w:val="00461536"/>
    <w:rsid w:val="00461598"/>
    <w:rsid w:val="00466338"/>
    <w:rsid w:val="00466584"/>
    <w:rsid w:val="004665A3"/>
    <w:rsid w:val="00466ED7"/>
    <w:rsid w:val="00471B2E"/>
    <w:rsid w:val="004738F9"/>
    <w:rsid w:val="00485416"/>
    <w:rsid w:val="00487754"/>
    <w:rsid w:val="00494A6C"/>
    <w:rsid w:val="004A0B09"/>
    <w:rsid w:val="004A2AFC"/>
    <w:rsid w:val="004B1EC7"/>
    <w:rsid w:val="004B33A3"/>
    <w:rsid w:val="004C4468"/>
    <w:rsid w:val="004C4F72"/>
    <w:rsid w:val="004C695E"/>
    <w:rsid w:val="004C7796"/>
    <w:rsid w:val="004D2F6B"/>
    <w:rsid w:val="004D7586"/>
    <w:rsid w:val="004E1762"/>
    <w:rsid w:val="004F0C9B"/>
    <w:rsid w:val="004F128F"/>
    <w:rsid w:val="004F20FD"/>
    <w:rsid w:val="00501717"/>
    <w:rsid w:val="00503D43"/>
    <w:rsid w:val="00506BFC"/>
    <w:rsid w:val="00510148"/>
    <w:rsid w:val="00515793"/>
    <w:rsid w:val="00520027"/>
    <w:rsid w:val="00524B62"/>
    <w:rsid w:val="00530A71"/>
    <w:rsid w:val="00534BD1"/>
    <w:rsid w:val="00535EB6"/>
    <w:rsid w:val="005404F3"/>
    <w:rsid w:val="00544A5A"/>
    <w:rsid w:val="005530B0"/>
    <w:rsid w:val="00561FAC"/>
    <w:rsid w:val="00562A37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096F"/>
    <w:rsid w:val="005C1CB1"/>
    <w:rsid w:val="005C7A73"/>
    <w:rsid w:val="005F054A"/>
    <w:rsid w:val="005F0B5C"/>
    <w:rsid w:val="005F1B0E"/>
    <w:rsid w:val="005F4BBF"/>
    <w:rsid w:val="00611FCD"/>
    <w:rsid w:val="006206C2"/>
    <w:rsid w:val="00627C5A"/>
    <w:rsid w:val="00631C51"/>
    <w:rsid w:val="00636C61"/>
    <w:rsid w:val="006467BA"/>
    <w:rsid w:val="006504EB"/>
    <w:rsid w:val="006561D5"/>
    <w:rsid w:val="00664191"/>
    <w:rsid w:val="0067065D"/>
    <w:rsid w:val="00676B82"/>
    <w:rsid w:val="006804B2"/>
    <w:rsid w:val="0068112F"/>
    <w:rsid w:val="0068141A"/>
    <w:rsid w:val="0068173A"/>
    <w:rsid w:val="00684D42"/>
    <w:rsid w:val="006867D9"/>
    <w:rsid w:val="00690EC3"/>
    <w:rsid w:val="0069252B"/>
    <w:rsid w:val="00694133"/>
    <w:rsid w:val="006A1E82"/>
    <w:rsid w:val="006A2A94"/>
    <w:rsid w:val="006A41F6"/>
    <w:rsid w:val="006A6574"/>
    <w:rsid w:val="006B487E"/>
    <w:rsid w:val="006B5AD5"/>
    <w:rsid w:val="006C2B2B"/>
    <w:rsid w:val="006C47FD"/>
    <w:rsid w:val="006D0406"/>
    <w:rsid w:val="006D2EF1"/>
    <w:rsid w:val="006E072D"/>
    <w:rsid w:val="006E0D35"/>
    <w:rsid w:val="006E73DF"/>
    <w:rsid w:val="006F1AB7"/>
    <w:rsid w:val="006F2DAB"/>
    <w:rsid w:val="006F5369"/>
    <w:rsid w:val="006F5C5C"/>
    <w:rsid w:val="006F6879"/>
    <w:rsid w:val="006F7A9B"/>
    <w:rsid w:val="00701BF5"/>
    <w:rsid w:val="00707269"/>
    <w:rsid w:val="007169D4"/>
    <w:rsid w:val="0072761C"/>
    <w:rsid w:val="0073341F"/>
    <w:rsid w:val="00733B13"/>
    <w:rsid w:val="00747129"/>
    <w:rsid w:val="00755DA6"/>
    <w:rsid w:val="00760686"/>
    <w:rsid w:val="00766EBD"/>
    <w:rsid w:val="00771A84"/>
    <w:rsid w:val="0077449A"/>
    <w:rsid w:val="0077710F"/>
    <w:rsid w:val="00780F6A"/>
    <w:rsid w:val="00782503"/>
    <w:rsid w:val="00782E77"/>
    <w:rsid w:val="00787CA0"/>
    <w:rsid w:val="00794CDF"/>
    <w:rsid w:val="007A3F8E"/>
    <w:rsid w:val="007B06F9"/>
    <w:rsid w:val="007B2C83"/>
    <w:rsid w:val="007B60A3"/>
    <w:rsid w:val="007B75F2"/>
    <w:rsid w:val="007C0255"/>
    <w:rsid w:val="007C6568"/>
    <w:rsid w:val="007D28A3"/>
    <w:rsid w:val="007F1162"/>
    <w:rsid w:val="007F1E78"/>
    <w:rsid w:val="007F278A"/>
    <w:rsid w:val="007F5451"/>
    <w:rsid w:val="00803935"/>
    <w:rsid w:val="00813E34"/>
    <w:rsid w:val="00820426"/>
    <w:rsid w:val="00822CD8"/>
    <w:rsid w:val="00836F9F"/>
    <w:rsid w:val="0084650B"/>
    <w:rsid w:val="0085163F"/>
    <w:rsid w:val="00851A22"/>
    <w:rsid w:val="00854059"/>
    <w:rsid w:val="00854361"/>
    <w:rsid w:val="00860569"/>
    <w:rsid w:val="00866004"/>
    <w:rsid w:val="00870F34"/>
    <w:rsid w:val="00874EE4"/>
    <w:rsid w:val="00875C4E"/>
    <w:rsid w:val="00876C93"/>
    <w:rsid w:val="008877C8"/>
    <w:rsid w:val="008A0189"/>
    <w:rsid w:val="008A1DC0"/>
    <w:rsid w:val="008B1B46"/>
    <w:rsid w:val="008C51FF"/>
    <w:rsid w:val="008E2C68"/>
    <w:rsid w:val="008E37BE"/>
    <w:rsid w:val="008E6691"/>
    <w:rsid w:val="008F7D52"/>
    <w:rsid w:val="00900B6D"/>
    <w:rsid w:val="009030CF"/>
    <w:rsid w:val="00905453"/>
    <w:rsid w:val="00905A01"/>
    <w:rsid w:val="0092074E"/>
    <w:rsid w:val="009232E0"/>
    <w:rsid w:val="009275C3"/>
    <w:rsid w:val="009308CB"/>
    <w:rsid w:val="009313DF"/>
    <w:rsid w:val="0093157D"/>
    <w:rsid w:val="00931CC6"/>
    <w:rsid w:val="00936D58"/>
    <w:rsid w:val="009422DD"/>
    <w:rsid w:val="0095297C"/>
    <w:rsid w:val="00961957"/>
    <w:rsid w:val="009717E7"/>
    <w:rsid w:val="00973457"/>
    <w:rsid w:val="009770C5"/>
    <w:rsid w:val="009830DD"/>
    <w:rsid w:val="00984DA5"/>
    <w:rsid w:val="00986E85"/>
    <w:rsid w:val="009B2BAA"/>
    <w:rsid w:val="009B3D1A"/>
    <w:rsid w:val="009B78EC"/>
    <w:rsid w:val="009C63E1"/>
    <w:rsid w:val="009C6C54"/>
    <w:rsid w:val="009D43B8"/>
    <w:rsid w:val="009E4935"/>
    <w:rsid w:val="009E6ED2"/>
    <w:rsid w:val="009F09E9"/>
    <w:rsid w:val="00A021BF"/>
    <w:rsid w:val="00A100E1"/>
    <w:rsid w:val="00A13AC3"/>
    <w:rsid w:val="00A150E8"/>
    <w:rsid w:val="00A16331"/>
    <w:rsid w:val="00A22D99"/>
    <w:rsid w:val="00A23FCF"/>
    <w:rsid w:val="00A24426"/>
    <w:rsid w:val="00A24F1A"/>
    <w:rsid w:val="00A3190B"/>
    <w:rsid w:val="00A338B1"/>
    <w:rsid w:val="00A34403"/>
    <w:rsid w:val="00A352AE"/>
    <w:rsid w:val="00A36BBF"/>
    <w:rsid w:val="00A475B9"/>
    <w:rsid w:val="00A52F40"/>
    <w:rsid w:val="00A649A0"/>
    <w:rsid w:val="00A64D29"/>
    <w:rsid w:val="00A73A36"/>
    <w:rsid w:val="00A75D5E"/>
    <w:rsid w:val="00A84715"/>
    <w:rsid w:val="00A86F58"/>
    <w:rsid w:val="00A91FCA"/>
    <w:rsid w:val="00A92D75"/>
    <w:rsid w:val="00A95761"/>
    <w:rsid w:val="00A965E3"/>
    <w:rsid w:val="00A9693E"/>
    <w:rsid w:val="00A96E48"/>
    <w:rsid w:val="00AC26FF"/>
    <w:rsid w:val="00AC7B1E"/>
    <w:rsid w:val="00AD3CB8"/>
    <w:rsid w:val="00AD51D0"/>
    <w:rsid w:val="00AE37B8"/>
    <w:rsid w:val="00AF7162"/>
    <w:rsid w:val="00B11DD4"/>
    <w:rsid w:val="00B12786"/>
    <w:rsid w:val="00B17811"/>
    <w:rsid w:val="00B17E43"/>
    <w:rsid w:val="00B31060"/>
    <w:rsid w:val="00B3358A"/>
    <w:rsid w:val="00B3427C"/>
    <w:rsid w:val="00B35BE0"/>
    <w:rsid w:val="00B409AE"/>
    <w:rsid w:val="00B41B43"/>
    <w:rsid w:val="00B41BA0"/>
    <w:rsid w:val="00B60C04"/>
    <w:rsid w:val="00B64E91"/>
    <w:rsid w:val="00B723F3"/>
    <w:rsid w:val="00B811A3"/>
    <w:rsid w:val="00B81A7F"/>
    <w:rsid w:val="00B85B7F"/>
    <w:rsid w:val="00B946F8"/>
    <w:rsid w:val="00B95906"/>
    <w:rsid w:val="00BB2BF3"/>
    <w:rsid w:val="00BB2D35"/>
    <w:rsid w:val="00BB6E98"/>
    <w:rsid w:val="00BC0AC8"/>
    <w:rsid w:val="00BC0E9E"/>
    <w:rsid w:val="00BC302D"/>
    <w:rsid w:val="00BF610E"/>
    <w:rsid w:val="00BF728F"/>
    <w:rsid w:val="00C0010B"/>
    <w:rsid w:val="00C0115D"/>
    <w:rsid w:val="00C05046"/>
    <w:rsid w:val="00C05F41"/>
    <w:rsid w:val="00C07544"/>
    <w:rsid w:val="00C12C3F"/>
    <w:rsid w:val="00C12E41"/>
    <w:rsid w:val="00C16B8C"/>
    <w:rsid w:val="00C20AEF"/>
    <w:rsid w:val="00C20EED"/>
    <w:rsid w:val="00C215BF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95CAF"/>
    <w:rsid w:val="00CA322A"/>
    <w:rsid w:val="00CA4074"/>
    <w:rsid w:val="00CB292A"/>
    <w:rsid w:val="00CB2EC1"/>
    <w:rsid w:val="00CC23A7"/>
    <w:rsid w:val="00CC6A42"/>
    <w:rsid w:val="00CC7C2A"/>
    <w:rsid w:val="00CD1A83"/>
    <w:rsid w:val="00CD3FCA"/>
    <w:rsid w:val="00CD7051"/>
    <w:rsid w:val="00CE4E17"/>
    <w:rsid w:val="00CF086E"/>
    <w:rsid w:val="00CF165B"/>
    <w:rsid w:val="00CF7D8C"/>
    <w:rsid w:val="00D0163A"/>
    <w:rsid w:val="00D027A0"/>
    <w:rsid w:val="00D045BB"/>
    <w:rsid w:val="00D063E4"/>
    <w:rsid w:val="00D11F90"/>
    <w:rsid w:val="00D30B4B"/>
    <w:rsid w:val="00D33539"/>
    <w:rsid w:val="00D3374D"/>
    <w:rsid w:val="00D350A4"/>
    <w:rsid w:val="00D36766"/>
    <w:rsid w:val="00D3755F"/>
    <w:rsid w:val="00D409A4"/>
    <w:rsid w:val="00D42567"/>
    <w:rsid w:val="00D612E0"/>
    <w:rsid w:val="00D6193E"/>
    <w:rsid w:val="00D670A4"/>
    <w:rsid w:val="00D80D0E"/>
    <w:rsid w:val="00D81B1C"/>
    <w:rsid w:val="00D86DBA"/>
    <w:rsid w:val="00D87F5F"/>
    <w:rsid w:val="00D900C5"/>
    <w:rsid w:val="00D93520"/>
    <w:rsid w:val="00D94E15"/>
    <w:rsid w:val="00D971AC"/>
    <w:rsid w:val="00DB08FA"/>
    <w:rsid w:val="00DB40E0"/>
    <w:rsid w:val="00DB7F1B"/>
    <w:rsid w:val="00DD1E23"/>
    <w:rsid w:val="00DD3D9D"/>
    <w:rsid w:val="00DD4E9F"/>
    <w:rsid w:val="00DE117F"/>
    <w:rsid w:val="00DE1B42"/>
    <w:rsid w:val="00DE583A"/>
    <w:rsid w:val="00DE7582"/>
    <w:rsid w:val="00DF1539"/>
    <w:rsid w:val="00DF2BB2"/>
    <w:rsid w:val="00DF3882"/>
    <w:rsid w:val="00E06386"/>
    <w:rsid w:val="00E106C9"/>
    <w:rsid w:val="00E22DFD"/>
    <w:rsid w:val="00E27E9E"/>
    <w:rsid w:val="00E31F7F"/>
    <w:rsid w:val="00E32D07"/>
    <w:rsid w:val="00E43561"/>
    <w:rsid w:val="00E4549D"/>
    <w:rsid w:val="00E456D9"/>
    <w:rsid w:val="00E46B00"/>
    <w:rsid w:val="00E4737B"/>
    <w:rsid w:val="00E55355"/>
    <w:rsid w:val="00E601F8"/>
    <w:rsid w:val="00E61FA8"/>
    <w:rsid w:val="00E665CA"/>
    <w:rsid w:val="00E72BE5"/>
    <w:rsid w:val="00E80376"/>
    <w:rsid w:val="00E80A41"/>
    <w:rsid w:val="00E825C3"/>
    <w:rsid w:val="00E85B9D"/>
    <w:rsid w:val="00E86569"/>
    <w:rsid w:val="00E97B7E"/>
    <w:rsid w:val="00E97EE5"/>
    <w:rsid w:val="00EA2D7E"/>
    <w:rsid w:val="00EA467A"/>
    <w:rsid w:val="00EB00C1"/>
    <w:rsid w:val="00EB0F04"/>
    <w:rsid w:val="00EB1452"/>
    <w:rsid w:val="00EB6CAE"/>
    <w:rsid w:val="00ED5F2B"/>
    <w:rsid w:val="00EE4E3F"/>
    <w:rsid w:val="00EE7E75"/>
    <w:rsid w:val="00EF0858"/>
    <w:rsid w:val="00EF43C2"/>
    <w:rsid w:val="00EF7EAD"/>
    <w:rsid w:val="00F13D88"/>
    <w:rsid w:val="00F20B1F"/>
    <w:rsid w:val="00F24551"/>
    <w:rsid w:val="00F24F91"/>
    <w:rsid w:val="00F25593"/>
    <w:rsid w:val="00F27EE7"/>
    <w:rsid w:val="00F30505"/>
    <w:rsid w:val="00F47498"/>
    <w:rsid w:val="00F540C4"/>
    <w:rsid w:val="00F5671F"/>
    <w:rsid w:val="00F603EE"/>
    <w:rsid w:val="00F72D80"/>
    <w:rsid w:val="00F75D2C"/>
    <w:rsid w:val="00F760AC"/>
    <w:rsid w:val="00F823B8"/>
    <w:rsid w:val="00F85600"/>
    <w:rsid w:val="00F86C60"/>
    <w:rsid w:val="00F91A05"/>
    <w:rsid w:val="00F93410"/>
    <w:rsid w:val="00F93C3F"/>
    <w:rsid w:val="00F9544F"/>
    <w:rsid w:val="00F95562"/>
    <w:rsid w:val="00FA1374"/>
    <w:rsid w:val="00FA739D"/>
    <w:rsid w:val="00FB1180"/>
    <w:rsid w:val="00FB4319"/>
    <w:rsid w:val="00FC1BC3"/>
    <w:rsid w:val="00FC7904"/>
    <w:rsid w:val="00FD0A68"/>
    <w:rsid w:val="00FD11E5"/>
    <w:rsid w:val="00FD21BE"/>
    <w:rsid w:val="00FD2FE7"/>
    <w:rsid w:val="00FD586B"/>
    <w:rsid w:val="00FE28FB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character" w:customStyle="1" w:styleId="NoteHeadingChar">
    <w:name w:val="Note Heading Char"/>
    <w:basedOn w:val="DefaultParagraphFont"/>
    <w:link w:val="NoteHeading"/>
    <w:rsid w:val="00562A3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character" w:customStyle="1" w:styleId="NoteHeadingChar">
    <w:name w:val="Note Heading Char"/>
    <w:basedOn w:val="DefaultParagraphFont"/>
    <w:link w:val="NoteHeading"/>
    <w:rsid w:val="00562A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820</Words>
  <Characters>4244</Characters>
  <Application>Microsoft Office Word</Application>
  <DocSecurity>0</DocSecurity>
  <Lines>223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4877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Safety and Inspection Amendment Act 2014 - 00-00-01</dc:title>
  <dc:subject>Bills and Amendments</dc:subject>
  <dc:creator>Dias, Clare</dc:creator>
  <cp:lastModifiedBy>svcMRProcess</cp:lastModifiedBy>
  <cp:revision>4</cp:revision>
  <cp:lastPrinted>2014-12-03T05:15:00Z</cp:lastPrinted>
  <dcterms:created xsi:type="dcterms:W3CDTF">2014-12-04T08:42:00Z</dcterms:created>
  <dcterms:modified xsi:type="dcterms:W3CDTF">2014-12-04T08:42:00Z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2270</vt:lpwstr>
  </property>
  <property fmtid="{D5CDD505-2E9C-101B-9397-08002B2CF9AE}" pid="3" name="ShortTitle">
    <vt:lpwstr>Mines Safety and Inspection Amendment Act 2014</vt:lpwstr>
  </property>
  <property fmtid="{D5CDD505-2E9C-101B-9397-08002B2CF9AE}" pid="4" name="Citation">
    <vt:lpwstr>Mines Safety and Inspection Amendment Act 2014</vt:lpwstr>
  </property>
  <property fmtid="{D5CDD505-2E9C-101B-9397-08002B2CF9AE}" pid="5" name="PrincipalAct">
    <vt:lpwstr/>
  </property>
  <property fmtid="{D5CDD505-2E9C-101B-9397-08002B2CF9AE}" pid="6" name="SLPBillNumber">
    <vt:lpwstr>76—1</vt:lpwstr>
  </property>
  <property fmtid="{D5CDD505-2E9C-101B-9397-08002B2CF9AE}" pid="7" name="StationID">
    <vt:lpwstr>12</vt:lpwstr>
  </property>
  <property fmtid="{D5CDD505-2E9C-101B-9397-08002B2CF9AE}" pid="8" name="ActNo">
    <vt:lpwstr>33 of 2014</vt:lpwstr>
  </property>
  <property fmtid="{D5CDD505-2E9C-101B-9397-08002B2CF9AE}" pid="9" name="ActNoFooter">
    <vt:lpwstr>No. 33 of 2014</vt:lpwstr>
  </property>
  <property fmtid="{D5CDD505-2E9C-101B-9397-08002B2CF9AE}" pid="10" name="KitandImprint">
    <vt:lpwstr>  </vt:lpwstr>
  </property>
  <property fmtid="{D5CDD505-2E9C-101B-9397-08002B2CF9AE}" pid="11" name="Assent Date">
    <vt:lpwstr>3 December 2014</vt:lpwstr>
  </property>
  <property fmtid="{D5CDD505-2E9C-101B-9397-08002B2CF9AE}" pid="12" name="PerfectBound">
    <vt:lpwstr>NO</vt:lpwstr>
  </property>
  <property fmtid="{D5CDD505-2E9C-101B-9397-08002B2CF9AE}" pid="13" name="AsAtDate">
    <vt:lpwstr>03 Dec 2014</vt:lpwstr>
  </property>
  <property fmtid="{D5CDD505-2E9C-101B-9397-08002B2CF9AE}" pid="14" name="Suffix">
    <vt:lpwstr>00-00-01</vt:lpwstr>
  </property>
  <property fmtid="{D5CDD505-2E9C-101B-9397-08002B2CF9AE}" pid="15" name="CommencementDate">
    <vt:lpwstr>20141203</vt:lpwstr>
  </property>
  <property fmtid="{D5CDD505-2E9C-101B-9397-08002B2CF9AE}" pid="16" name="DocumentType">
    <vt:lpwstr>Act</vt:lpwstr>
  </property>
</Properties>
</file>