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7.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Coal Industry Superannuation Act 1989</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Coal Industry Superannuation Act 1989</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_Toc415657841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_Toc415657842 \h </w:instrText>
      </w:r>
      <w:r>
        <w:fldChar w:fldCharType="separate"/>
      </w:r>
      <w:r>
        <w:t>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Interpretation</w:t>
      </w:r>
      <w:r>
        <w:tab/>
      </w:r>
      <w:r>
        <w:fldChar w:fldCharType="begin"/>
      </w:r>
      <w:r>
        <w:instrText xml:space="preserve"> PAGEREF _Toc415657843 \h </w:instrText>
      </w:r>
      <w:r>
        <w:fldChar w:fldCharType="separate"/>
      </w:r>
      <w:r>
        <w:t>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Mine worker</w:t>
      </w:r>
      <w:r>
        <w:tab/>
      </w:r>
      <w:r>
        <w:fldChar w:fldCharType="begin"/>
      </w:r>
      <w:r>
        <w:instrText xml:space="preserve"> PAGEREF _Toc415657844 \h </w:instrText>
      </w:r>
      <w:r>
        <w:fldChar w:fldCharType="separate"/>
      </w:r>
      <w:r>
        <w:t>3</w:t>
      </w:r>
      <w:r>
        <w:fldChar w:fldCharType="end"/>
      </w:r>
    </w:p>
    <w:p>
      <w:pPr>
        <w:pStyle w:val="TOC2"/>
        <w:tabs>
          <w:tab w:val="right" w:leader="dot" w:pos="7077"/>
        </w:tabs>
        <w:rPr>
          <w:rFonts w:asciiTheme="minorHAnsi" w:eastAsiaTheme="minorEastAsia" w:hAnsiTheme="minorHAnsi" w:cstheme="minorBidi"/>
          <w:b w:val="0"/>
          <w:sz w:val="22"/>
          <w:szCs w:val="22"/>
        </w:rPr>
      </w:pPr>
      <w:r>
        <w:t>Part 2 — Superannuation for mine workers</w:t>
      </w:r>
    </w:p>
    <w:p>
      <w:pPr>
        <w:pStyle w:val="TOC8"/>
        <w:rPr>
          <w:rFonts w:asciiTheme="minorHAnsi" w:eastAsiaTheme="minorEastAsia" w:hAnsiTheme="minorHAnsi" w:cstheme="minorBidi"/>
          <w:szCs w:val="22"/>
        </w:rPr>
      </w:pPr>
      <w:r>
        <w:t>7A.</w:t>
      </w:r>
      <w:r>
        <w:tab/>
        <w:t>Superannuation rules</w:t>
      </w:r>
      <w:r>
        <w:tab/>
      </w:r>
      <w:r>
        <w:fldChar w:fldCharType="begin"/>
      </w:r>
      <w:r>
        <w:instrText xml:space="preserve"> PAGEREF _Toc415657846 \h </w:instrText>
      </w:r>
      <w:r>
        <w:fldChar w:fldCharType="separate"/>
      </w:r>
      <w:r>
        <w:t>6</w:t>
      </w:r>
      <w:r>
        <w:fldChar w:fldCharType="end"/>
      </w:r>
    </w:p>
    <w:p>
      <w:pPr>
        <w:pStyle w:val="TOC8"/>
        <w:rPr>
          <w:rFonts w:asciiTheme="minorHAnsi" w:eastAsiaTheme="minorEastAsia" w:hAnsiTheme="minorHAnsi" w:cstheme="minorBidi"/>
          <w:szCs w:val="22"/>
        </w:rPr>
      </w:pPr>
      <w:r>
        <w:t>7B.</w:t>
      </w:r>
      <w:r>
        <w:tab/>
        <w:t>Designated fund</w:t>
      </w:r>
      <w:r>
        <w:tab/>
      </w:r>
      <w:r>
        <w:fldChar w:fldCharType="begin"/>
      </w:r>
      <w:r>
        <w:instrText xml:space="preserve"> PAGEREF _Toc415657847 \h </w:instrText>
      </w:r>
      <w:r>
        <w:fldChar w:fldCharType="separate"/>
      </w:r>
      <w:r>
        <w:t>6</w:t>
      </w:r>
      <w:r>
        <w:fldChar w:fldCharType="end"/>
      </w:r>
    </w:p>
    <w:p>
      <w:pPr>
        <w:pStyle w:val="TOC2"/>
        <w:tabs>
          <w:tab w:val="right" w:leader="dot" w:pos="7077"/>
        </w:tabs>
        <w:rPr>
          <w:rFonts w:asciiTheme="minorHAnsi" w:eastAsiaTheme="minorEastAsia" w:hAnsiTheme="minorHAnsi" w:cstheme="minorBidi"/>
          <w:b w:val="0"/>
          <w:sz w:val="22"/>
          <w:szCs w:val="22"/>
        </w:rPr>
      </w:pPr>
      <w:r>
        <w:t>Part 4 — Miscellaneous</w:t>
      </w:r>
    </w:p>
    <w:p>
      <w:pPr>
        <w:pStyle w:val="TOC8"/>
        <w:rPr>
          <w:rFonts w:asciiTheme="minorHAnsi" w:eastAsiaTheme="minorEastAsia" w:hAnsiTheme="minorHAnsi" w:cstheme="minorBidi"/>
          <w:szCs w:val="22"/>
        </w:rPr>
      </w:pPr>
      <w:r>
        <w:t>28</w:t>
      </w:r>
      <w:r>
        <w:rPr>
          <w:snapToGrid w:val="0"/>
        </w:rPr>
        <w:t>.</w:t>
      </w:r>
      <w:r>
        <w:rPr>
          <w:snapToGrid w:val="0"/>
        </w:rPr>
        <w:tab/>
        <w:t>Employer’s powers and liabilities in respect of termination not affected</w:t>
      </w:r>
      <w:r>
        <w:tab/>
      </w:r>
      <w:r>
        <w:fldChar w:fldCharType="begin"/>
      </w:r>
      <w:r>
        <w:instrText xml:space="preserve"> PAGEREF _Toc415657849 \h </w:instrText>
      </w:r>
      <w:r>
        <w:fldChar w:fldCharType="separate"/>
      </w:r>
      <w:r>
        <w:t>8</w:t>
      </w:r>
      <w:r>
        <w:fldChar w:fldCharType="end"/>
      </w:r>
    </w:p>
    <w:p>
      <w:pPr>
        <w:pStyle w:val="TOC8"/>
        <w:rPr>
          <w:rFonts w:asciiTheme="minorHAnsi" w:eastAsiaTheme="minorEastAsia" w:hAnsiTheme="minorHAnsi" w:cstheme="minorBidi"/>
          <w:szCs w:val="22"/>
        </w:rPr>
      </w:pPr>
      <w:r>
        <w:t>29</w:t>
      </w:r>
      <w:r>
        <w:rPr>
          <w:snapToGrid w:val="0"/>
        </w:rPr>
        <w:t>.</w:t>
      </w:r>
      <w:r>
        <w:rPr>
          <w:snapToGrid w:val="0"/>
        </w:rPr>
        <w:tab/>
        <w:t>Members’ rights to compensation not to be affected</w:t>
      </w:r>
      <w:r>
        <w:tab/>
      </w:r>
      <w:r>
        <w:fldChar w:fldCharType="begin"/>
      </w:r>
      <w:r>
        <w:instrText xml:space="preserve"> PAGEREF _Toc415657850 \h </w:instrText>
      </w:r>
      <w:r>
        <w:fldChar w:fldCharType="separate"/>
      </w:r>
      <w:r>
        <w:t>8</w:t>
      </w:r>
      <w:r>
        <w:fldChar w:fldCharType="end"/>
      </w:r>
    </w:p>
    <w:p>
      <w:pPr>
        <w:pStyle w:val="TOC8"/>
        <w:rPr>
          <w:rFonts w:asciiTheme="minorHAnsi" w:eastAsiaTheme="minorEastAsia" w:hAnsiTheme="minorHAnsi" w:cstheme="minorBidi"/>
          <w:szCs w:val="22"/>
        </w:rPr>
      </w:pPr>
      <w:r>
        <w:t>31</w:t>
      </w:r>
      <w:r>
        <w:rPr>
          <w:snapToGrid w:val="0"/>
        </w:rPr>
        <w:t>.</w:t>
      </w:r>
      <w:r>
        <w:rPr>
          <w:snapToGrid w:val="0"/>
        </w:rPr>
        <w:tab/>
        <w:t>Regulations</w:t>
      </w:r>
      <w:r>
        <w:tab/>
      </w:r>
      <w:r>
        <w:fldChar w:fldCharType="begin"/>
      </w:r>
      <w:r>
        <w:instrText xml:space="preserve"> PAGEREF _Toc415657851 \h </w:instrText>
      </w:r>
      <w:r>
        <w:fldChar w:fldCharType="separate"/>
      </w:r>
      <w:r>
        <w:t>8</w:t>
      </w:r>
      <w:r>
        <w:fldChar w:fldCharType="end"/>
      </w:r>
    </w:p>
    <w:p>
      <w:pPr>
        <w:pStyle w:val="TOC8"/>
        <w:rPr>
          <w:rFonts w:asciiTheme="minorHAnsi" w:eastAsiaTheme="minorEastAsia" w:hAnsiTheme="minorHAnsi" w:cstheme="minorBidi"/>
          <w:szCs w:val="22"/>
        </w:rPr>
      </w:pPr>
      <w:r>
        <w:t>32</w:t>
      </w:r>
      <w:r>
        <w:rPr>
          <w:snapToGrid w:val="0"/>
        </w:rPr>
        <w:t>.</w:t>
      </w:r>
      <w:r>
        <w:rPr>
          <w:snapToGrid w:val="0"/>
        </w:rPr>
        <w:tab/>
        <w:t>Review of Act</w:t>
      </w:r>
      <w:r>
        <w:tab/>
      </w:r>
      <w:r>
        <w:fldChar w:fldCharType="begin"/>
      </w:r>
      <w:r>
        <w:instrText xml:space="preserve"> PAGEREF _Toc415657852 \h </w:instrText>
      </w:r>
      <w:r>
        <w:fldChar w:fldCharType="separate"/>
      </w:r>
      <w:r>
        <w:t>9</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_Toc415657854 \h </w:instrText>
      </w:r>
      <w:r>
        <w:fldChar w:fldCharType="separate"/>
      </w:r>
      <w:r>
        <w:t>11</w:t>
      </w:r>
      <w:r>
        <w:fldChar w:fldCharType="end"/>
      </w:r>
    </w:p>
    <w:p>
      <w:pPr>
        <w:pStyle w:val="TOC8"/>
        <w:rPr>
          <w:rFonts w:asciiTheme="minorHAnsi" w:eastAsiaTheme="minorEastAsia" w:hAnsiTheme="minorHAnsi" w:cstheme="minorBidi"/>
          <w:szCs w:val="22"/>
        </w:rPr>
      </w:pPr>
      <w:r>
        <w:tab/>
        <w:t>Provisions that have not come into operation</w:t>
      </w:r>
      <w:r>
        <w:tab/>
      </w:r>
      <w:r>
        <w:fldChar w:fldCharType="begin"/>
      </w:r>
      <w:r>
        <w:instrText xml:space="preserve"> PAGEREF _Toc415657855 \h </w:instrText>
      </w:r>
      <w:r>
        <w:fldChar w:fldCharType="separate"/>
      </w:r>
      <w:r>
        <w:t>12</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pPr>
      <w:r>
        <w:t xml:space="preserve">Coal Industry Superannuation Act 1989 </w:t>
      </w:r>
    </w:p>
    <w:p>
      <w:pPr>
        <w:pStyle w:val="LongTitle"/>
      </w:pPr>
      <w:r>
        <w:t>An Act relating to superannuation for persons involved in coal mining in Western Australia and for various other persons and for related purposes.</w:t>
      </w:r>
    </w:p>
    <w:p>
      <w:pPr>
        <w:pStyle w:val="Footnotelongtitle"/>
      </w:pPr>
      <w:r>
        <w:tab/>
        <w:t>[Long title inserted by No. 16 of 2006 s. 3.]</w:t>
      </w:r>
    </w:p>
    <w:p>
      <w:pPr>
        <w:pStyle w:val="Heading2"/>
      </w:pPr>
      <w:bookmarkStart w:id="3" w:name="_Toc415657821"/>
      <w:bookmarkStart w:id="4" w:name="_Toc415657840"/>
      <w:r>
        <w:rPr>
          <w:rStyle w:val="CharPartNo"/>
        </w:rPr>
        <w:t>Part 1</w:t>
      </w:r>
      <w:r>
        <w:rPr>
          <w:rStyle w:val="CharDivNo"/>
        </w:rPr>
        <w:t> </w:t>
      </w:r>
      <w:r>
        <w:t>—</w:t>
      </w:r>
      <w:r>
        <w:rPr>
          <w:rStyle w:val="CharDivText"/>
        </w:rPr>
        <w:t> </w:t>
      </w:r>
      <w:r>
        <w:rPr>
          <w:rStyle w:val="CharPartText"/>
        </w:rPr>
        <w:t>Preliminary</w:t>
      </w:r>
      <w:bookmarkEnd w:id="3"/>
      <w:bookmarkEnd w:id="4"/>
      <w:r>
        <w:rPr>
          <w:rStyle w:val="CharPartText"/>
        </w:rPr>
        <w:t xml:space="preserve"> </w:t>
      </w:r>
    </w:p>
    <w:p>
      <w:pPr>
        <w:pStyle w:val="Heading5"/>
        <w:spacing w:before="180"/>
        <w:rPr>
          <w:snapToGrid w:val="0"/>
        </w:rPr>
      </w:pPr>
      <w:bookmarkStart w:id="5" w:name="_Toc415657841"/>
      <w:r>
        <w:rPr>
          <w:rStyle w:val="CharSectno"/>
        </w:rPr>
        <w:t>1</w:t>
      </w:r>
      <w:r>
        <w:rPr>
          <w:snapToGrid w:val="0"/>
        </w:rPr>
        <w:t>.</w:t>
      </w:r>
      <w:r>
        <w:rPr>
          <w:snapToGrid w:val="0"/>
        </w:rPr>
        <w:tab/>
        <w:t>Short title</w:t>
      </w:r>
      <w:bookmarkEnd w:id="5"/>
      <w:r>
        <w:rPr>
          <w:snapToGrid w:val="0"/>
        </w:rPr>
        <w:t xml:space="preserve"> </w:t>
      </w:r>
    </w:p>
    <w:p>
      <w:pPr>
        <w:pStyle w:val="Subsection"/>
        <w:spacing w:before="140"/>
        <w:rPr>
          <w:snapToGrid w:val="0"/>
        </w:rPr>
      </w:pPr>
      <w:r>
        <w:rPr>
          <w:snapToGrid w:val="0"/>
        </w:rPr>
        <w:tab/>
      </w:r>
      <w:r>
        <w:rPr>
          <w:snapToGrid w:val="0"/>
        </w:rPr>
        <w:tab/>
        <w:t xml:space="preserve">This Act may be cited as the </w:t>
      </w:r>
      <w:r>
        <w:rPr>
          <w:i/>
          <w:snapToGrid w:val="0"/>
        </w:rPr>
        <w:t>Coal Industry Superannuation Act 1989</w:t>
      </w:r>
      <w:r>
        <w:rPr>
          <w:snapToGrid w:val="0"/>
        </w:rPr>
        <w:t xml:space="preserve"> </w:t>
      </w:r>
      <w:r>
        <w:rPr>
          <w:snapToGrid w:val="0"/>
          <w:vertAlign w:val="superscript"/>
        </w:rPr>
        <w:t>1</w:t>
      </w:r>
      <w:r>
        <w:rPr>
          <w:snapToGrid w:val="0"/>
        </w:rPr>
        <w:t>.</w:t>
      </w:r>
    </w:p>
    <w:p>
      <w:pPr>
        <w:pStyle w:val="Heading5"/>
        <w:spacing w:before="200"/>
        <w:rPr>
          <w:snapToGrid w:val="0"/>
        </w:rPr>
      </w:pPr>
      <w:bookmarkStart w:id="6" w:name="_Toc415657842"/>
      <w:r>
        <w:rPr>
          <w:rStyle w:val="CharSectno"/>
        </w:rPr>
        <w:t>2</w:t>
      </w:r>
      <w:r>
        <w:rPr>
          <w:snapToGrid w:val="0"/>
        </w:rPr>
        <w:t>.</w:t>
      </w:r>
      <w:r>
        <w:rPr>
          <w:snapToGrid w:val="0"/>
        </w:rPr>
        <w:tab/>
        <w:t>Commencement</w:t>
      </w:r>
      <w:bookmarkEnd w:id="6"/>
      <w:r>
        <w:rPr>
          <w:snapToGrid w:val="0"/>
        </w:rPr>
        <w:t xml:space="preserve"> </w:t>
      </w:r>
    </w:p>
    <w:p>
      <w:pPr>
        <w:pStyle w:val="Subsection"/>
        <w:spacing w:before="140"/>
        <w:rPr>
          <w:snapToGrid w:val="0"/>
        </w:rPr>
      </w:pPr>
      <w:r>
        <w:rPr>
          <w:snapToGrid w:val="0"/>
        </w:rPr>
        <w:tab/>
      </w:r>
      <w:r>
        <w:rPr>
          <w:snapToGrid w:val="0"/>
        </w:rPr>
        <w:tab/>
        <w:t xml:space="preserve">This Act shall come into operation on such day as is fixed by proclamation </w:t>
      </w:r>
      <w:r>
        <w:rPr>
          <w:snapToGrid w:val="0"/>
          <w:vertAlign w:val="superscript"/>
        </w:rPr>
        <w:t>1</w:t>
      </w:r>
      <w:r>
        <w:rPr>
          <w:snapToGrid w:val="0"/>
        </w:rPr>
        <w:t>.</w:t>
      </w:r>
    </w:p>
    <w:p>
      <w:pPr>
        <w:pStyle w:val="Heading5"/>
        <w:spacing w:before="200"/>
        <w:rPr>
          <w:snapToGrid w:val="0"/>
        </w:rPr>
      </w:pPr>
      <w:bookmarkStart w:id="7" w:name="_Toc415657843"/>
      <w:r>
        <w:rPr>
          <w:rStyle w:val="CharSectno"/>
        </w:rPr>
        <w:t>3</w:t>
      </w:r>
      <w:r>
        <w:rPr>
          <w:snapToGrid w:val="0"/>
        </w:rPr>
        <w:t>.</w:t>
      </w:r>
      <w:r>
        <w:rPr>
          <w:snapToGrid w:val="0"/>
        </w:rPr>
        <w:tab/>
        <w:t>Interpretation</w:t>
      </w:r>
      <w:bookmarkEnd w:id="7"/>
      <w:r>
        <w:rPr>
          <w:snapToGrid w:val="0"/>
        </w:rPr>
        <w:t xml:space="preserve"> </w:t>
      </w:r>
    </w:p>
    <w:p>
      <w:pPr>
        <w:pStyle w:val="Subsection"/>
        <w:spacing w:before="140"/>
        <w:rPr>
          <w:snapToGrid w:val="0"/>
        </w:rPr>
      </w:pPr>
      <w:r>
        <w:rPr>
          <w:snapToGrid w:val="0"/>
        </w:rPr>
        <w:tab/>
        <w:t>(1)</w:t>
      </w:r>
      <w:r>
        <w:rPr>
          <w:snapToGrid w:val="0"/>
        </w:rPr>
        <w:tab/>
        <w:t>In this Act, unless the contrary intention appears — </w:t>
      </w:r>
    </w:p>
    <w:p>
      <w:pPr>
        <w:pStyle w:val="Defstart"/>
        <w:spacing w:before="70"/>
      </w:pPr>
      <w:r>
        <w:rPr>
          <w:b/>
        </w:rPr>
        <w:tab/>
      </w:r>
      <w:r>
        <w:rPr>
          <w:rStyle w:val="CharDefText"/>
        </w:rPr>
        <w:t>coal mine</w:t>
      </w:r>
      <w:r>
        <w:t xml:space="preserve"> includes an open cut, a shaft in the course of being sunk, a tunnel, a level and inclined plane in the course of being driven, and a shaft, level, plane, working place, tramway and siding both below ground and above ground, in and adjacent to and belonging to a coal mine;</w:t>
      </w:r>
    </w:p>
    <w:p>
      <w:pPr>
        <w:pStyle w:val="Defstart"/>
      </w:pPr>
      <w:r>
        <w:tab/>
      </w:r>
      <w:r>
        <w:rPr>
          <w:rStyle w:val="CharDefText"/>
        </w:rPr>
        <w:t>employer</w:t>
      </w:r>
      <w:r>
        <w:t xml:space="preserve"> means a natural person, firm or body corporate that employs mine workers;</w:t>
      </w:r>
    </w:p>
    <w:p>
      <w:pPr>
        <w:pStyle w:val="Defstart"/>
      </w:pPr>
      <w:r>
        <w:tab/>
      </w:r>
      <w:r>
        <w:rPr>
          <w:rStyle w:val="CharDefText"/>
        </w:rPr>
        <w:t>mine worker</w:t>
      </w:r>
      <w:r>
        <w:t xml:space="preserve"> has the meaning given in section 4;</w:t>
      </w:r>
    </w:p>
    <w:p>
      <w:pPr>
        <w:pStyle w:val="Defstart"/>
      </w:pPr>
      <w:r>
        <w:rPr>
          <w:b/>
        </w:rPr>
        <w:tab/>
      </w:r>
      <w:r>
        <w:rPr>
          <w:rStyle w:val="CharDefText"/>
        </w:rPr>
        <w:t>open cut</w:t>
      </w:r>
      <w:r>
        <w:t xml:space="preserve"> means a coal mine that is formed by an excavation in the ground and that has no overlying cover of earth;</w:t>
      </w:r>
    </w:p>
    <w:p>
      <w:pPr>
        <w:pStyle w:val="Defstart"/>
      </w:pPr>
      <w:r>
        <w:tab/>
      </w:r>
      <w:r>
        <w:rPr>
          <w:rStyle w:val="CharDefText"/>
        </w:rPr>
        <w:t xml:space="preserve">scheme </w:t>
      </w:r>
      <w:r>
        <w:t xml:space="preserve">means the superannuation scheme for mine workers constituted by this Act; </w:t>
      </w:r>
    </w:p>
    <w:p>
      <w:pPr>
        <w:pStyle w:val="Defstart"/>
      </w:pPr>
      <w:r>
        <w:tab/>
      </w:r>
      <w:r>
        <w:rPr>
          <w:rStyle w:val="CharDefText"/>
        </w:rPr>
        <w:t>scheme benefits</w:t>
      </w:r>
      <w:r>
        <w:t xml:space="preserve"> means the superannuation and related benefits to be paid under superannuation rules; </w:t>
      </w:r>
    </w:p>
    <w:p>
      <w:pPr>
        <w:pStyle w:val="Defstart"/>
      </w:pPr>
      <w:r>
        <w:rPr>
          <w:b/>
        </w:rPr>
        <w:tab/>
      </w:r>
      <w:r>
        <w:rPr>
          <w:rStyle w:val="CharDefText"/>
        </w:rPr>
        <w:t>scheme contributions</w:t>
      </w:r>
      <w:r>
        <w:t xml:space="preserve"> means the contributions payable or paid under superannuation rules; </w:t>
      </w:r>
    </w:p>
    <w:p>
      <w:pPr>
        <w:pStyle w:val="Defstart"/>
      </w:pPr>
      <w:r>
        <w:rPr>
          <w:b/>
        </w:rPr>
        <w:tab/>
      </w:r>
      <w:r>
        <w:rPr>
          <w:rStyle w:val="CharDefText"/>
        </w:rPr>
        <w:t>SIS Act</w:t>
      </w:r>
      <w:r>
        <w:t xml:space="preserve"> means — </w:t>
      </w:r>
    </w:p>
    <w:p>
      <w:pPr>
        <w:pStyle w:val="Defpara"/>
      </w:pPr>
      <w:r>
        <w:tab/>
        <w:t>(a)</w:t>
      </w:r>
      <w:r>
        <w:tab/>
        <w:t xml:space="preserve">the </w:t>
      </w:r>
      <w:r>
        <w:rPr>
          <w:i/>
        </w:rPr>
        <w:t>Superannuation Industry (Supervision) Act 1993</w:t>
      </w:r>
      <w:r>
        <w:t xml:space="preserve"> of the Commonwealth; and</w:t>
      </w:r>
    </w:p>
    <w:p>
      <w:pPr>
        <w:pStyle w:val="Defpara"/>
      </w:pPr>
      <w:r>
        <w:tab/>
        <w:t>(b)</w:t>
      </w:r>
      <w:r>
        <w:tab/>
        <w:t>any regulations or other instrument in force under that Act;</w:t>
      </w:r>
    </w:p>
    <w:p>
      <w:pPr>
        <w:pStyle w:val="Defstart"/>
      </w:pPr>
      <w:r>
        <w:tab/>
      </w:r>
      <w:r>
        <w:rPr>
          <w:rStyle w:val="CharDefText"/>
        </w:rPr>
        <w:t>successor fund</w:t>
      </w:r>
      <w:r>
        <w:t xml:space="preserve"> has the meaning given in </w:t>
      </w:r>
      <w:r>
        <w:rPr>
          <w:i/>
        </w:rPr>
        <w:t>Superannuation Industry (Supervision) Regulations 1994</w:t>
      </w:r>
      <w:r>
        <w:t xml:space="preserve"> (Commonwealth) regulation 1.03(1);</w:t>
      </w:r>
    </w:p>
    <w:p>
      <w:pPr>
        <w:pStyle w:val="Defstart"/>
      </w:pPr>
      <w:r>
        <w:rPr>
          <w:b/>
        </w:rPr>
        <w:tab/>
      </w:r>
      <w:r>
        <w:rPr>
          <w:rStyle w:val="CharDefText"/>
        </w:rPr>
        <w:t>superannuation fund</w:t>
      </w:r>
      <w:r>
        <w:t xml:space="preserve"> means a regulated superannuation fund within the meaning of the SIS Act section 19;</w:t>
      </w:r>
    </w:p>
    <w:p>
      <w:pPr>
        <w:pStyle w:val="Defstart"/>
      </w:pPr>
      <w:r>
        <w:tab/>
      </w:r>
      <w:r>
        <w:rPr>
          <w:rStyle w:val="CharDefText"/>
        </w:rPr>
        <w:t>superannuation rules</w:t>
      </w:r>
      <w:r>
        <w:t xml:space="preserve"> means rules made by regulations under section 7A(1).</w:t>
      </w:r>
    </w:p>
    <w:p>
      <w:pPr>
        <w:pStyle w:val="Subsection"/>
        <w:keepNext/>
        <w:rPr>
          <w:snapToGrid w:val="0"/>
        </w:rPr>
      </w:pPr>
      <w:r>
        <w:rPr>
          <w:snapToGrid w:val="0"/>
        </w:rPr>
        <w:tab/>
        <w:t>(2)</w:t>
      </w:r>
      <w:r>
        <w:rPr>
          <w:snapToGrid w:val="0"/>
        </w:rPr>
        <w:tab/>
        <w:t xml:space="preserve">The Governor may amend Schedule 1 by order published in the </w:t>
      </w:r>
      <w:r>
        <w:rPr>
          <w:i/>
          <w:snapToGrid w:val="0"/>
        </w:rPr>
        <w:t>Gazette</w:t>
      </w:r>
      <w:r>
        <w:rPr>
          <w:snapToGrid w:val="0"/>
        </w:rPr>
        <w:t>.</w:t>
      </w:r>
    </w:p>
    <w:p>
      <w:pPr>
        <w:pStyle w:val="Footnotesection"/>
      </w:pPr>
      <w:r>
        <w:tab/>
        <w:t xml:space="preserve">[Section 3 amended by No. 45 of 1994 s. 4; No. 46 of 1995 s. 5; No. 19 of 2013 s. 4 and 17.] </w:t>
      </w:r>
    </w:p>
    <w:p>
      <w:pPr>
        <w:pStyle w:val="Heading5"/>
        <w:rPr>
          <w:snapToGrid w:val="0"/>
        </w:rPr>
      </w:pPr>
      <w:bookmarkStart w:id="8" w:name="_Toc415657844"/>
      <w:r>
        <w:rPr>
          <w:rStyle w:val="CharSectno"/>
        </w:rPr>
        <w:t>4</w:t>
      </w:r>
      <w:r>
        <w:rPr>
          <w:snapToGrid w:val="0"/>
        </w:rPr>
        <w:t>.</w:t>
      </w:r>
      <w:r>
        <w:rPr>
          <w:snapToGrid w:val="0"/>
        </w:rPr>
        <w:tab/>
        <w:t>Mine worker</w:t>
      </w:r>
      <w:bookmarkEnd w:id="8"/>
      <w:r>
        <w:rPr>
          <w:snapToGrid w:val="0"/>
        </w:rPr>
        <w:t xml:space="preserve"> </w:t>
      </w:r>
    </w:p>
    <w:p>
      <w:pPr>
        <w:pStyle w:val="Subsection"/>
        <w:rPr>
          <w:snapToGrid w:val="0"/>
        </w:rPr>
      </w:pPr>
      <w:r>
        <w:rPr>
          <w:snapToGrid w:val="0"/>
        </w:rPr>
        <w:tab/>
        <w:t>(1)</w:t>
      </w:r>
      <w:r>
        <w:rPr>
          <w:snapToGrid w:val="0"/>
        </w:rPr>
        <w:tab/>
        <w:t xml:space="preserve">Subject to this section, for the purposes of this Act, </w:t>
      </w:r>
      <w:r>
        <w:rPr>
          <w:rStyle w:val="CharDefText"/>
        </w:rPr>
        <w:t>mine worker</w:t>
      </w:r>
      <w:r>
        <w:rPr>
          <w:snapToGrid w:val="0"/>
        </w:rPr>
        <w:t xml:space="preserve"> means — </w:t>
      </w:r>
    </w:p>
    <w:p>
      <w:pPr>
        <w:pStyle w:val="Indenta"/>
        <w:rPr>
          <w:snapToGrid w:val="0"/>
        </w:rPr>
      </w:pPr>
      <w:r>
        <w:rPr>
          <w:snapToGrid w:val="0"/>
        </w:rPr>
        <w:tab/>
        <w:t>(a)</w:t>
      </w:r>
      <w:r>
        <w:rPr>
          <w:snapToGrid w:val="0"/>
        </w:rPr>
        <w:tab/>
        <w:t xml:space="preserve">a person who is employed in the coal mining industry of Western Australia in terms of an </w:t>
      </w:r>
      <w:r>
        <w:t>industrial instrument; or</w:t>
      </w:r>
    </w:p>
    <w:p>
      <w:pPr>
        <w:pStyle w:val="Indenta"/>
        <w:rPr>
          <w:iCs/>
          <w:snapToGrid w:val="0"/>
        </w:rPr>
      </w:pPr>
      <w:r>
        <w:rPr>
          <w:snapToGrid w:val="0"/>
        </w:rPr>
        <w:tab/>
        <w:t>(b)</w:t>
      </w:r>
      <w:r>
        <w:rPr>
          <w:snapToGrid w:val="0"/>
        </w:rPr>
        <w:tab/>
        <w:t xml:space="preserve">an employee’s inspector appointed under section 17 of the </w:t>
      </w:r>
      <w:r>
        <w:rPr>
          <w:i/>
          <w:snapToGrid w:val="0"/>
        </w:rPr>
        <w:t>Mines Safety and Inspection Act 1994</w:t>
      </w:r>
      <w:r>
        <w:rPr>
          <w:iCs/>
          <w:snapToGrid w:val="0"/>
        </w:rPr>
        <w:t>; or</w:t>
      </w:r>
    </w:p>
    <w:p>
      <w:pPr>
        <w:pStyle w:val="Indenta"/>
        <w:keepNext/>
        <w:rPr>
          <w:snapToGrid w:val="0"/>
        </w:rPr>
      </w:pPr>
      <w:r>
        <w:rPr>
          <w:snapToGrid w:val="0"/>
        </w:rPr>
        <w:tab/>
        <w:t>(c)</w:t>
      </w:r>
      <w:r>
        <w:rPr>
          <w:snapToGrid w:val="0"/>
        </w:rPr>
        <w:tab/>
        <w:t>a person who — </w:t>
      </w:r>
    </w:p>
    <w:p>
      <w:pPr>
        <w:pStyle w:val="Indenti"/>
        <w:spacing w:before="60"/>
        <w:rPr>
          <w:snapToGrid w:val="0"/>
        </w:rPr>
      </w:pPr>
      <w:r>
        <w:rPr>
          <w:snapToGrid w:val="0"/>
        </w:rPr>
        <w:tab/>
        <w:t>(i)</w:t>
      </w:r>
      <w:r>
        <w:rPr>
          <w:snapToGrid w:val="0"/>
        </w:rPr>
        <w:tab/>
        <w:t xml:space="preserve">is an elected official of </w:t>
      </w:r>
      <w:r>
        <w:t>a registered organisation, the membership of which</w:t>
      </w:r>
      <w:r>
        <w:rPr>
          <w:snapToGrid w:val="0"/>
        </w:rPr>
        <w:t xml:space="preserve"> is principally confined to mine workers referred to in paragraph (a); and</w:t>
      </w:r>
    </w:p>
    <w:p>
      <w:pPr>
        <w:pStyle w:val="Indenti"/>
        <w:spacing w:before="60"/>
        <w:rPr>
          <w:snapToGrid w:val="0"/>
        </w:rPr>
      </w:pPr>
      <w:r>
        <w:rPr>
          <w:snapToGrid w:val="0"/>
        </w:rPr>
        <w:tab/>
        <w:t>(ii)</w:t>
      </w:r>
      <w:r>
        <w:rPr>
          <w:snapToGrid w:val="0"/>
        </w:rPr>
        <w:tab/>
        <w:t>has actually been employed in a coal mine in Western Australia for a period of, or for periods aggregating not less than, 5 years;</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(d)</w:t>
      </w:r>
      <w:r>
        <w:rPr>
          <w:snapToGrid w:val="0"/>
        </w:rPr>
        <w:tab/>
        <w:t xml:space="preserve">a person </w:t>
      </w:r>
      <w:r>
        <w:t>who</w:t>
      </w:r>
      <w:r>
        <w:rPr>
          <w:snapToGrid w:val="0"/>
        </w:rPr>
        <w:t xml:space="preserve"> is employed, whether by way of service agreement or by way of subcontract — </w:t>
      </w:r>
    </w:p>
    <w:p>
      <w:pPr>
        <w:pStyle w:val="Indenti"/>
        <w:spacing w:before="60"/>
        <w:rPr>
          <w:snapToGrid w:val="0"/>
        </w:rPr>
      </w:pPr>
      <w:r>
        <w:rPr>
          <w:snapToGrid w:val="0"/>
        </w:rPr>
        <w:tab/>
        <w:t>(i)</w:t>
      </w:r>
      <w:r>
        <w:rPr>
          <w:snapToGrid w:val="0"/>
        </w:rPr>
        <w:tab/>
        <w:t>in or about an open cut by a contractor who contracts with an employer for the excavation or the removal of overburden or the winning of coal from the open cut; or</w:t>
      </w:r>
    </w:p>
    <w:p>
      <w:pPr>
        <w:pStyle w:val="Indenti"/>
        <w:spacing w:before="60"/>
        <w:rPr>
          <w:snapToGrid w:val="0"/>
        </w:rPr>
      </w:pPr>
      <w:r>
        <w:rPr>
          <w:snapToGrid w:val="0"/>
        </w:rPr>
        <w:tab/>
        <w:t>(ii)</w:t>
      </w:r>
      <w:r>
        <w:rPr>
          <w:snapToGrid w:val="0"/>
        </w:rPr>
        <w:tab/>
        <w:t xml:space="preserve">in or about a coal mine by a contractor who contracts with an employer for the working of the coal mine or any part of the coal mine; </w:t>
      </w:r>
    </w:p>
    <w:p>
      <w:pPr>
        <w:pStyle w:val="Indenta"/>
        <w:spacing w:before="60"/>
        <w:rPr>
          <w:snapToGrid w:val="0"/>
        </w:rPr>
      </w:pPr>
      <w:r>
        <w:rPr>
          <w:snapToGrid w:val="0"/>
        </w:rPr>
        <w:tab/>
      </w:r>
      <w:r>
        <w:rPr>
          <w:snapToGrid w:val="0"/>
        </w:rPr>
        <w:tab/>
      </w:r>
      <w:r>
        <w:t>or</w:t>
      </w:r>
    </w:p>
    <w:p>
      <w:pPr>
        <w:pStyle w:val="Indenta"/>
        <w:keepNext/>
        <w:spacing w:before="60"/>
        <w:rPr>
          <w:snapToGrid w:val="0"/>
        </w:rPr>
      </w:pPr>
      <w:r>
        <w:rPr>
          <w:snapToGrid w:val="0"/>
        </w:rPr>
        <w:tab/>
        <w:t>(e)</w:t>
      </w:r>
      <w:r>
        <w:rPr>
          <w:snapToGrid w:val="0"/>
        </w:rPr>
        <w:tab/>
        <w:t>a contractor who — </w:t>
      </w:r>
    </w:p>
    <w:p>
      <w:pPr>
        <w:pStyle w:val="Indenti"/>
        <w:spacing w:before="60"/>
        <w:rPr>
          <w:snapToGrid w:val="0"/>
        </w:rPr>
      </w:pPr>
      <w:r>
        <w:rPr>
          <w:snapToGrid w:val="0"/>
        </w:rPr>
        <w:tab/>
        <w:t>(i)</w:t>
      </w:r>
      <w:r>
        <w:rPr>
          <w:snapToGrid w:val="0"/>
        </w:rPr>
        <w:tab/>
        <w:t>is principally engaged in the excavation or removal of overburden, or the winning of coal, from an open cut or the working of a coal mine, or any part of a coal mine, or transporting coal in or about a coal mine in accordance with a contract entered into with an employer;</w:t>
      </w:r>
    </w:p>
    <w:p>
      <w:pPr>
        <w:pStyle w:val="Indenti"/>
        <w:spacing w:before="60"/>
        <w:rPr>
          <w:snapToGrid w:val="0"/>
        </w:rPr>
      </w:pPr>
      <w:r>
        <w:rPr>
          <w:snapToGrid w:val="0"/>
        </w:rPr>
        <w:tab/>
        <w:t>(ii)</w:t>
      </w:r>
      <w:r>
        <w:rPr>
          <w:snapToGrid w:val="0"/>
        </w:rPr>
        <w:tab/>
        <w:t>uses not more than one vehicle at any one time for the purposes described in subparagraph (i); and</w:t>
      </w:r>
    </w:p>
    <w:p>
      <w:pPr>
        <w:pStyle w:val="Indenti"/>
        <w:rPr>
          <w:snapToGrid w:val="0"/>
        </w:rPr>
      </w:pPr>
      <w:r>
        <w:rPr>
          <w:snapToGrid w:val="0"/>
        </w:rPr>
        <w:tab/>
        <w:t>(iii)</w:t>
      </w:r>
      <w:r>
        <w:rPr>
          <w:snapToGrid w:val="0"/>
        </w:rPr>
        <w:tab/>
        <w:t>does not employ any person in carrying out the contract,</w:t>
      </w:r>
    </w:p>
    <w:p>
      <w:pPr>
        <w:pStyle w:val="Subsection"/>
        <w:rPr>
          <w:snapToGrid w:val="0"/>
        </w:rPr>
      </w:pPr>
      <w:r>
        <w:rPr>
          <w:snapToGrid w:val="0"/>
        </w:rPr>
        <w:tab/>
      </w:r>
      <w:r>
        <w:rPr>
          <w:snapToGrid w:val="0"/>
        </w:rPr>
        <w:tab/>
        <w:t>but, subject to subsection (2), does not include — </w:t>
      </w:r>
    </w:p>
    <w:p>
      <w:pPr>
        <w:pStyle w:val="Indenta"/>
        <w:rPr>
          <w:snapToGrid w:val="0"/>
        </w:rPr>
      </w:pPr>
      <w:r>
        <w:rPr>
          <w:snapToGrid w:val="0"/>
        </w:rPr>
        <w:tab/>
        <w:t>(f)</w:t>
      </w:r>
      <w:r>
        <w:rPr>
          <w:snapToGrid w:val="0"/>
        </w:rPr>
        <w:tab/>
        <w:t>a person who is a director of a company which is the owner of a coal mine; or</w:t>
      </w:r>
    </w:p>
    <w:p>
      <w:pPr>
        <w:pStyle w:val="Indenta"/>
        <w:rPr>
          <w:snapToGrid w:val="0"/>
        </w:rPr>
      </w:pPr>
      <w:r>
        <w:rPr>
          <w:snapToGrid w:val="0"/>
        </w:rPr>
        <w:tab/>
        <w:t>(g)</w:t>
      </w:r>
      <w:r>
        <w:rPr>
          <w:snapToGrid w:val="0"/>
        </w:rPr>
        <w:tab/>
        <w:t>a superintendent or an instructor of any mine rescue corps or body.</w:t>
      </w:r>
    </w:p>
    <w:p>
      <w:pPr>
        <w:pStyle w:val="Subsection"/>
        <w:rPr>
          <w:snapToGrid w:val="0"/>
        </w:rPr>
      </w:pPr>
      <w:r>
        <w:rPr>
          <w:snapToGrid w:val="0"/>
        </w:rPr>
        <w:tab/>
        <w:t>(2)</w:t>
      </w:r>
      <w:r>
        <w:rPr>
          <w:snapToGrid w:val="0"/>
        </w:rPr>
        <w:tab/>
        <w:t xml:space="preserve">The Governor may by </w:t>
      </w:r>
      <w:r>
        <w:t>regulations</w:t>
      </w:r>
      <w:r>
        <w:rPr>
          <w:snapToGrid w:val="0"/>
        </w:rPr>
        <w:t xml:space="preserve"> extend the definition of “mine worker”.</w:t>
      </w:r>
    </w:p>
    <w:p>
      <w:pPr>
        <w:pStyle w:val="Subsection"/>
      </w:pPr>
      <w:r>
        <w:tab/>
        <w:t>(3)</w:t>
      </w:r>
      <w:r>
        <w:tab/>
        <w:t xml:space="preserve">In this section — </w:t>
      </w:r>
    </w:p>
    <w:p>
      <w:pPr>
        <w:pStyle w:val="Defstart"/>
      </w:pPr>
      <w:r>
        <w:tab/>
      </w:r>
      <w:r>
        <w:rPr>
          <w:rStyle w:val="CharDefText"/>
        </w:rPr>
        <w:t>industrial instrument</w:t>
      </w:r>
      <w:r>
        <w:t xml:space="preserve"> means any of the following — </w:t>
      </w:r>
    </w:p>
    <w:p>
      <w:pPr>
        <w:pStyle w:val="Defpara"/>
      </w:pPr>
      <w:r>
        <w:tab/>
        <w:t>(a)</w:t>
      </w:r>
      <w:r>
        <w:tab/>
        <w:t xml:space="preserve">an award, industrial agreement or order made under the </w:t>
      </w:r>
      <w:r>
        <w:rPr>
          <w:i/>
        </w:rPr>
        <w:t>Industrial Relations Act 1979</w:t>
      </w:r>
      <w:r>
        <w:t>;</w:t>
      </w:r>
    </w:p>
    <w:p>
      <w:pPr>
        <w:pStyle w:val="Defpara"/>
      </w:pPr>
      <w:r>
        <w:tab/>
        <w:t>(b)</w:t>
      </w:r>
      <w:r>
        <w:tab/>
        <w:t xml:space="preserve">an award, determination, enterprise agreement or order made under the </w:t>
      </w:r>
      <w:r>
        <w:rPr>
          <w:i/>
        </w:rPr>
        <w:t>Fair Work Act 2009</w:t>
      </w:r>
      <w:r>
        <w:t xml:space="preserve"> (Commonwealth);</w:t>
      </w:r>
    </w:p>
    <w:p>
      <w:pPr>
        <w:pStyle w:val="Defpara"/>
      </w:pPr>
      <w:r>
        <w:tab/>
        <w:t>(c)</w:t>
      </w:r>
      <w:r>
        <w:tab/>
        <w:t xml:space="preserve">an award, determination or agreement given continuing effect under the </w:t>
      </w:r>
      <w:r>
        <w:rPr>
          <w:i/>
        </w:rPr>
        <w:t>Fair Work (Transitional Provisions and Consequential Amendments) Act 2009</w:t>
      </w:r>
      <w:r>
        <w:t xml:space="preserve"> (Commonwealth);</w:t>
      </w:r>
    </w:p>
    <w:p>
      <w:pPr>
        <w:pStyle w:val="Defpara"/>
      </w:pPr>
      <w:r>
        <w:tab/>
        <w:t>(d)</w:t>
      </w:r>
      <w:r>
        <w:tab/>
        <w:t>an award, agreement, determination, order or similar instrument which is made under a law of the State or the Commonwealth dealing with workplace relations and which is prescribed for the purposes of this definition;</w:t>
      </w:r>
    </w:p>
    <w:p>
      <w:pPr>
        <w:pStyle w:val="Defstart"/>
      </w:pPr>
      <w:r>
        <w:tab/>
      </w:r>
      <w:r>
        <w:rPr>
          <w:rStyle w:val="CharDefText"/>
        </w:rPr>
        <w:t>registered organisation</w:t>
      </w:r>
      <w:r>
        <w:t xml:space="preserve"> means any of the following —</w:t>
      </w:r>
    </w:p>
    <w:p>
      <w:pPr>
        <w:pStyle w:val="Defpara"/>
      </w:pPr>
      <w:r>
        <w:tab/>
        <w:t>(a)</w:t>
      </w:r>
      <w:r>
        <w:tab/>
        <w:t xml:space="preserve">an association of employees, or an enterprise association, registered as an organisation under the </w:t>
      </w:r>
      <w:r>
        <w:rPr>
          <w:i/>
        </w:rPr>
        <w:t>Fair Work (Registered Organisations) Act 2009</w:t>
      </w:r>
      <w:r>
        <w:t xml:space="preserve"> (Commonwealth);</w:t>
      </w:r>
    </w:p>
    <w:p>
      <w:pPr>
        <w:pStyle w:val="Defpara"/>
      </w:pPr>
      <w:r>
        <w:tab/>
        <w:t>(b)</w:t>
      </w:r>
      <w:r>
        <w:tab/>
        <w:t xml:space="preserve">an organisation of employees registered under the </w:t>
      </w:r>
      <w:r>
        <w:rPr>
          <w:i/>
        </w:rPr>
        <w:t>Industrial Relations Act 1979</w:t>
      </w:r>
      <w:r>
        <w:t>;</w:t>
      </w:r>
    </w:p>
    <w:p>
      <w:pPr>
        <w:pStyle w:val="Defpara"/>
      </w:pPr>
      <w:r>
        <w:tab/>
        <w:t>(c)</w:t>
      </w:r>
      <w:r>
        <w:tab/>
        <w:t>a like association or organisation which is registered under a law of the State or the Commonwealth dealing with workplace relations and which is prescribed for the purposes of this definition.</w:t>
      </w:r>
    </w:p>
    <w:p>
      <w:pPr>
        <w:pStyle w:val="Ednotesubsection"/>
      </w:pPr>
      <w:r>
        <w:tab/>
        <w:t>[(4)-(6)</w:t>
      </w:r>
      <w:r>
        <w:tab/>
        <w:t>deleted]</w:t>
      </w:r>
    </w:p>
    <w:p>
      <w:pPr>
        <w:pStyle w:val="Footnotesection"/>
      </w:pPr>
      <w:r>
        <w:tab/>
        <w:t xml:space="preserve">[Section 4 amended by No. 62 of 1994 s. 109; No. 19 of 2013 s. 5.] </w:t>
      </w:r>
    </w:p>
    <w:p>
      <w:pPr>
        <w:pStyle w:val="Ednotesection"/>
      </w:pPr>
      <w:r>
        <w:t>[</w:t>
      </w:r>
      <w:r>
        <w:rPr>
          <w:b/>
          <w:bCs/>
        </w:rPr>
        <w:t>5.</w:t>
      </w:r>
      <w:r>
        <w:tab/>
        <w:t>Deleted by No. 16 of 2006 s. 4.]</w:t>
      </w:r>
    </w:p>
    <w:p>
      <w:pPr>
        <w:pStyle w:val="Ednotesection"/>
      </w:pPr>
      <w:r>
        <w:t>[</w:t>
      </w:r>
      <w:r>
        <w:rPr>
          <w:b/>
        </w:rPr>
        <w:t>6.</w:t>
      </w:r>
      <w:r>
        <w:tab/>
        <w:t>Deleted by No. 46 of 1995 s. 6.]</w:t>
      </w:r>
    </w:p>
    <w:p>
      <w:pPr>
        <w:pStyle w:val="Heading2"/>
      </w:pPr>
      <w:bookmarkStart w:id="9" w:name="_Toc415657826"/>
      <w:bookmarkStart w:id="10" w:name="_Toc415657845"/>
      <w:r>
        <w:rPr>
          <w:rStyle w:val="CharPartNo"/>
        </w:rPr>
        <w:t>Part 2</w:t>
      </w:r>
      <w:r>
        <w:rPr>
          <w:rStyle w:val="CharDivNo"/>
        </w:rPr>
        <w:t> </w:t>
      </w:r>
      <w:r>
        <w:t>—</w:t>
      </w:r>
      <w:r>
        <w:rPr>
          <w:rStyle w:val="CharDivText"/>
        </w:rPr>
        <w:t> </w:t>
      </w:r>
      <w:r>
        <w:rPr>
          <w:rStyle w:val="CharPartText"/>
        </w:rPr>
        <w:t>Superannuation for mine workers</w:t>
      </w:r>
      <w:bookmarkEnd w:id="9"/>
      <w:bookmarkEnd w:id="10"/>
    </w:p>
    <w:p>
      <w:pPr>
        <w:pStyle w:val="Footnoteheading"/>
      </w:pPr>
      <w:r>
        <w:tab/>
        <w:t xml:space="preserve">[Heading inserted by No. 19 of 2013 s. 6.] </w:t>
      </w:r>
    </w:p>
    <w:p>
      <w:pPr>
        <w:pStyle w:val="Heading5"/>
      </w:pPr>
      <w:bookmarkStart w:id="11" w:name="_Toc415657846"/>
      <w:r>
        <w:rPr>
          <w:rStyle w:val="CharSectno"/>
        </w:rPr>
        <w:t>7A</w:t>
      </w:r>
      <w:r>
        <w:t>.</w:t>
      </w:r>
      <w:r>
        <w:tab/>
        <w:t>Superannuation rules</w:t>
      </w:r>
      <w:bookmarkEnd w:id="11"/>
    </w:p>
    <w:p>
      <w:pPr>
        <w:pStyle w:val="Subsection"/>
      </w:pPr>
      <w:r>
        <w:tab/>
        <w:t>(1)</w:t>
      </w:r>
      <w:r>
        <w:tab/>
        <w:t>The Governor may, by regulations, make rules to govern the scheme.</w:t>
      </w:r>
    </w:p>
    <w:p>
      <w:pPr>
        <w:pStyle w:val="Subsection"/>
      </w:pPr>
      <w:r>
        <w:tab/>
        <w:t>(2)</w:t>
      </w:r>
      <w:r>
        <w:tab/>
        <w:t xml:space="preserve">Rules made under subsection (1) are — </w:t>
      </w:r>
    </w:p>
    <w:p>
      <w:pPr>
        <w:pStyle w:val="Indenta"/>
      </w:pPr>
      <w:r>
        <w:tab/>
        <w:t>(a)</w:t>
      </w:r>
      <w:r>
        <w:tab/>
        <w:t>to provide for mine workers to become members of the scheme, for different categories of membership and for admission to, continuation of and cessation of membership; and</w:t>
      </w:r>
    </w:p>
    <w:p>
      <w:pPr>
        <w:pStyle w:val="Indenta"/>
      </w:pPr>
      <w:r>
        <w:tab/>
        <w:t>(b)</w:t>
      </w:r>
      <w:r>
        <w:tab/>
        <w:t>to require employers to participate in the scheme and to provide for admission to, continuation of and cessation of participation; and</w:t>
      </w:r>
    </w:p>
    <w:p>
      <w:pPr>
        <w:pStyle w:val="Indenta"/>
      </w:pPr>
      <w:r>
        <w:tab/>
        <w:t>(c)</w:t>
      </w:r>
      <w:r>
        <w:tab/>
        <w:t>to specify superannuation and related benefits to be paid to or in respect of members of the scheme; and</w:t>
      </w:r>
    </w:p>
    <w:p>
      <w:pPr>
        <w:pStyle w:val="Indenta"/>
      </w:pPr>
      <w:r>
        <w:tab/>
        <w:t>(d)</w:t>
      </w:r>
      <w:r>
        <w:tab/>
        <w:t>to provide for the protection, adjustment, reduction, forfeiture and application of the scheme benefits; and</w:t>
      </w:r>
    </w:p>
    <w:p>
      <w:pPr>
        <w:pStyle w:val="Indenta"/>
      </w:pPr>
      <w:r>
        <w:tab/>
        <w:t>(e)</w:t>
      </w:r>
      <w:r>
        <w:tab/>
        <w:t>to require members and employers to pay contributions towards the scheme benefits, and to specify the amount or rate of contributions to be paid by members and employers respectively, or procedures by which the amount or rate of such contributions is to be determined.</w:t>
      </w:r>
    </w:p>
    <w:p>
      <w:pPr>
        <w:pStyle w:val="Subsection"/>
      </w:pPr>
      <w:r>
        <w:tab/>
        <w:t>(3)</w:t>
      </w:r>
      <w:r>
        <w:tab/>
        <w:t>Rules made under subsection (1) may include any provision necessary or convenient for consistency with the SIS Act.</w:t>
      </w:r>
    </w:p>
    <w:p>
      <w:pPr>
        <w:pStyle w:val="Footnotesection"/>
      </w:pPr>
      <w:r>
        <w:tab/>
        <w:t xml:space="preserve">[Section 7A inserted by No. 19 of 2013 s. 6.] </w:t>
      </w:r>
    </w:p>
    <w:p>
      <w:pPr>
        <w:pStyle w:val="Heading5"/>
      </w:pPr>
      <w:bookmarkStart w:id="12" w:name="_Toc415657847"/>
      <w:r>
        <w:rPr>
          <w:rStyle w:val="CharSectno"/>
        </w:rPr>
        <w:t>7B</w:t>
      </w:r>
      <w:r>
        <w:t>.</w:t>
      </w:r>
      <w:r>
        <w:tab/>
        <w:t>Designated fund</w:t>
      </w:r>
      <w:bookmarkEnd w:id="12"/>
      <w:r>
        <w:t xml:space="preserve"> </w:t>
      </w:r>
    </w:p>
    <w:p>
      <w:pPr>
        <w:pStyle w:val="Subsection"/>
      </w:pPr>
      <w:r>
        <w:tab/>
        <w:t>(1)</w:t>
      </w:r>
      <w:r>
        <w:tab/>
        <w:t>The Governor may, by regulations —</w:t>
      </w:r>
    </w:p>
    <w:p>
      <w:pPr>
        <w:pStyle w:val="Indenta"/>
      </w:pPr>
      <w:r>
        <w:tab/>
        <w:t>(a)</w:t>
      </w:r>
      <w:r>
        <w:tab/>
        <w:t>designate a superannuation fund as the fund to which the scheme contributions are to be paid and through which the scheme benefits are to be provided; and</w:t>
      </w:r>
    </w:p>
    <w:p>
      <w:pPr>
        <w:pStyle w:val="Indenta"/>
      </w:pPr>
      <w:r>
        <w:tab/>
        <w:t>(b)</w:t>
      </w:r>
      <w:r>
        <w:tab/>
        <w:t>revoke a designation made under paragraph (a).</w:t>
      </w:r>
    </w:p>
    <w:p>
      <w:pPr>
        <w:pStyle w:val="Subsection"/>
      </w:pPr>
      <w:r>
        <w:tab/>
        <w:t>(2)</w:t>
      </w:r>
      <w:r>
        <w:tab/>
        <w:t xml:space="preserve">Regulations may not designate a superannuation fund under subsection (1)(a) unless the Minister is satisfied that — </w:t>
      </w:r>
    </w:p>
    <w:p>
      <w:pPr>
        <w:pStyle w:val="Indenta"/>
      </w:pPr>
      <w:r>
        <w:tab/>
        <w:t>(a)</w:t>
      </w:r>
      <w:r>
        <w:tab/>
        <w:t xml:space="preserve">the governing rules of the superannuation fund will, if the superannuation fund is designated, so far as the SIS Act permits — </w:t>
      </w:r>
    </w:p>
    <w:p>
      <w:pPr>
        <w:pStyle w:val="Indenti"/>
      </w:pPr>
      <w:r>
        <w:tab/>
        <w:t>(i)</w:t>
      </w:r>
      <w:r>
        <w:tab/>
        <w:t>entitle members and employers to participate in and pay scheme contributions to the superannuation fund; and</w:t>
      </w:r>
    </w:p>
    <w:p>
      <w:pPr>
        <w:pStyle w:val="Indenti"/>
      </w:pPr>
      <w:r>
        <w:tab/>
        <w:t>(ii)</w:t>
      </w:r>
      <w:r>
        <w:tab/>
        <w:t>require the trustee of the superannuation fund to provide the scheme benefits;</w:t>
      </w:r>
    </w:p>
    <w:p>
      <w:pPr>
        <w:pStyle w:val="Indenta"/>
      </w:pPr>
      <w:r>
        <w:tab/>
      </w:r>
      <w:r>
        <w:tab/>
        <w:t>and</w:t>
      </w:r>
    </w:p>
    <w:p>
      <w:pPr>
        <w:pStyle w:val="Indenta"/>
      </w:pPr>
      <w:r>
        <w:tab/>
        <w:t>(b)</w:t>
      </w:r>
      <w:r>
        <w:tab/>
        <w:t xml:space="preserve">the superannuation fund will, with respect to each member, be a successor fund in relation to a transfer of benefits from the superannuation fund through which, immediately before the designation, the scheme benefits are provided. </w:t>
      </w:r>
    </w:p>
    <w:p>
      <w:pPr>
        <w:pStyle w:val="Subsection"/>
      </w:pPr>
      <w:r>
        <w:tab/>
        <w:t>(3)</w:t>
      </w:r>
      <w:r>
        <w:tab/>
        <w:t>Regulations may not revoke the designation of a superannuation fund under subsection (1)(b) unless they also designate another superannuation fund under subsection (1)(a) with effect from the revocation.</w:t>
      </w:r>
    </w:p>
    <w:p>
      <w:pPr>
        <w:pStyle w:val="Subsection"/>
      </w:pPr>
      <w:r>
        <w:tab/>
        <w:t>(4)</w:t>
      </w:r>
      <w:r>
        <w:tab/>
        <w:t>Regulations made under subsection (1) may include any provision necessary or convenient for consistency with the SIS Act.</w:t>
      </w:r>
    </w:p>
    <w:p>
      <w:pPr>
        <w:pStyle w:val="Footnotesection"/>
      </w:pPr>
      <w:r>
        <w:tab/>
        <w:t xml:space="preserve">[Section 7B inserted by No. 19 of 2013 s. 6.] </w:t>
      </w:r>
    </w:p>
    <w:p>
      <w:pPr>
        <w:pStyle w:val="Ednotepart"/>
      </w:pPr>
      <w:r>
        <w:t>[Part 3 (s. 7</w:t>
      </w:r>
      <w:r>
        <w:noBreakHyphen/>
        <w:t>28A and 28B) deleted by No. 19 of 2013 s. 18.]</w:t>
      </w:r>
    </w:p>
    <w:p>
      <w:pPr>
        <w:pStyle w:val="Heading2"/>
      </w:pPr>
      <w:bookmarkStart w:id="13" w:name="_Toc415657829"/>
      <w:bookmarkStart w:id="14" w:name="_Toc415657848"/>
      <w:r>
        <w:rPr>
          <w:rStyle w:val="CharPartNo"/>
        </w:rPr>
        <w:t>Part 4</w:t>
      </w:r>
      <w:r>
        <w:rPr>
          <w:rStyle w:val="CharDivNo"/>
        </w:rPr>
        <w:t> </w:t>
      </w:r>
      <w:r>
        <w:t>—</w:t>
      </w:r>
      <w:r>
        <w:rPr>
          <w:rStyle w:val="CharDivText"/>
        </w:rPr>
        <w:t> </w:t>
      </w:r>
      <w:r>
        <w:rPr>
          <w:rStyle w:val="CharPartText"/>
        </w:rPr>
        <w:t>Miscellaneous</w:t>
      </w:r>
      <w:bookmarkEnd w:id="13"/>
      <w:bookmarkEnd w:id="14"/>
      <w:r>
        <w:rPr>
          <w:rStyle w:val="CharPartText"/>
        </w:rPr>
        <w:t xml:space="preserve"> </w:t>
      </w:r>
    </w:p>
    <w:p>
      <w:pPr>
        <w:pStyle w:val="Heading5"/>
        <w:rPr>
          <w:snapToGrid w:val="0"/>
        </w:rPr>
      </w:pPr>
      <w:bookmarkStart w:id="15" w:name="_Toc415657849"/>
      <w:r>
        <w:rPr>
          <w:rStyle w:val="CharSectno"/>
        </w:rPr>
        <w:t>28</w:t>
      </w:r>
      <w:r>
        <w:rPr>
          <w:snapToGrid w:val="0"/>
        </w:rPr>
        <w:t>.</w:t>
      </w:r>
      <w:r>
        <w:rPr>
          <w:snapToGrid w:val="0"/>
        </w:rPr>
        <w:tab/>
        <w:t>Employer’s powers and liabilities in respect of termination not affected</w:t>
      </w:r>
      <w:bookmarkEnd w:id="15"/>
      <w:r>
        <w:rPr>
          <w:snapToGrid w:val="0"/>
        </w:rPr>
        <w:t xml:space="preserve"> </w:t>
      </w:r>
    </w:p>
    <w:p>
      <w:pPr>
        <w:pStyle w:val="Subsection"/>
        <w:rPr>
          <w:snapToGrid w:val="0"/>
        </w:rPr>
      </w:pPr>
      <w:r>
        <w:rPr>
          <w:snapToGrid w:val="0"/>
        </w:rPr>
        <w:tab/>
        <w:t>(1)</w:t>
      </w:r>
      <w:r>
        <w:rPr>
          <w:snapToGrid w:val="0"/>
        </w:rPr>
        <w:tab/>
        <w:t xml:space="preserve">Nothing in this Act shall affect the rights of an employer in relation to the termination of employment of a member of the </w:t>
      </w:r>
      <w:r>
        <w:t>scheme</w:t>
      </w:r>
      <w:r>
        <w:rPr>
          <w:snapToGrid w:val="0"/>
        </w:rPr>
        <w:t xml:space="preserve"> and the fact of being a member of the </w:t>
      </w:r>
      <w:r>
        <w:t>scheme</w:t>
      </w:r>
      <w:r>
        <w:rPr>
          <w:snapToGrid w:val="0"/>
        </w:rPr>
        <w:t xml:space="preserve"> shall not be taken in any respect as implying a guarantee of continued employment by an employer.</w:t>
      </w:r>
    </w:p>
    <w:p>
      <w:pPr>
        <w:pStyle w:val="Subsection"/>
        <w:rPr>
          <w:snapToGrid w:val="0"/>
        </w:rPr>
      </w:pPr>
      <w:r>
        <w:rPr>
          <w:snapToGrid w:val="0"/>
        </w:rPr>
        <w:tab/>
        <w:t>(2)</w:t>
      </w:r>
      <w:r>
        <w:rPr>
          <w:snapToGrid w:val="0"/>
        </w:rPr>
        <w:tab/>
        <w:t xml:space="preserve">Nothing in this Act and no right or expectation with respect to the accrual in the future of a benefit under </w:t>
      </w:r>
      <w:r>
        <w:t>the scheme</w:t>
      </w:r>
      <w:r>
        <w:rPr>
          <w:snapToGrid w:val="0"/>
        </w:rPr>
        <w:t xml:space="preserve"> shall affect the quantum of damages in any action brought by a member of the </w:t>
      </w:r>
      <w:r>
        <w:t>scheme</w:t>
      </w:r>
      <w:r>
        <w:rPr>
          <w:snapToGrid w:val="0"/>
        </w:rPr>
        <w:t xml:space="preserve"> against an employer on account of the termination of his employment.</w:t>
      </w:r>
    </w:p>
    <w:p>
      <w:pPr>
        <w:pStyle w:val="Footnotesection"/>
        <w:spacing w:before="100"/>
        <w:ind w:left="890" w:hanging="890"/>
      </w:pPr>
      <w:r>
        <w:tab/>
        <w:t>[Section 28 amended by No. 19 of 2013 s. 11.]</w:t>
      </w:r>
    </w:p>
    <w:p>
      <w:pPr>
        <w:pStyle w:val="Heading5"/>
        <w:rPr>
          <w:snapToGrid w:val="0"/>
        </w:rPr>
      </w:pPr>
      <w:bookmarkStart w:id="16" w:name="_Toc415657850"/>
      <w:r>
        <w:rPr>
          <w:rStyle w:val="CharSectno"/>
        </w:rPr>
        <w:t>29</w:t>
      </w:r>
      <w:r>
        <w:rPr>
          <w:snapToGrid w:val="0"/>
        </w:rPr>
        <w:t>.</w:t>
      </w:r>
      <w:r>
        <w:rPr>
          <w:snapToGrid w:val="0"/>
        </w:rPr>
        <w:tab/>
        <w:t>Members’ rights to compensation not to be affected</w:t>
      </w:r>
      <w:bookmarkEnd w:id="16"/>
      <w:r>
        <w:rPr>
          <w:snapToGrid w:val="0"/>
        </w:rPr>
        <w:t xml:space="preserve"> </w:t>
      </w:r>
    </w:p>
    <w:p>
      <w:pPr>
        <w:pStyle w:val="Subsection"/>
        <w:rPr>
          <w:snapToGrid w:val="0"/>
        </w:rPr>
      </w:pPr>
      <w:r>
        <w:rPr>
          <w:snapToGrid w:val="0"/>
        </w:rPr>
        <w:tab/>
        <w:t>(1)</w:t>
      </w:r>
      <w:r>
        <w:rPr>
          <w:snapToGrid w:val="0"/>
        </w:rPr>
        <w:tab/>
        <w:t xml:space="preserve">Nothing in this Act shall affect the rights of a member of the </w:t>
      </w:r>
      <w:r>
        <w:t>scheme</w:t>
      </w:r>
      <w:r>
        <w:rPr>
          <w:snapToGrid w:val="0"/>
        </w:rPr>
        <w:t xml:space="preserve"> in relation to any claim for damages or compensation that the member may have arising out of or with respect to his employment by an employer.</w:t>
      </w:r>
    </w:p>
    <w:p>
      <w:pPr>
        <w:pStyle w:val="Subsection"/>
        <w:rPr>
          <w:snapToGrid w:val="0"/>
        </w:rPr>
      </w:pPr>
      <w:r>
        <w:rPr>
          <w:snapToGrid w:val="0"/>
        </w:rPr>
        <w:tab/>
        <w:t>(2)</w:t>
      </w:r>
      <w:r>
        <w:rPr>
          <w:snapToGrid w:val="0"/>
        </w:rPr>
        <w:tab/>
        <w:t xml:space="preserve">A benefit to which a member of the </w:t>
      </w:r>
      <w:r>
        <w:t>scheme</w:t>
      </w:r>
      <w:r>
        <w:rPr>
          <w:snapToGrid w:val="0"/>
        </w:rPr>
        <w:t xml:space="preserve"> or any other person is entitled under the </w:t>
      </w:r>
      <w:r>
        <w:t>scheme</w:t>
      </w:r>
      <w:r>
        <w:rPr>
          <w:snapToGrid w:val="0"/>
        </w:rPr>
        <w:t xml:space="preserve"> shall not be affected by any damages or compensation payable to or in respect of the member.</w:t>
      </w:r>
    </w:p>
    <w:p>
      <w:pPr>
        <w:pStyle w:val="Footnotesection"/>
        <w:spacing w:before="100"/>
        <w:ind w:left="890" w:hanging="890"/>
      </w:pPr>
      <w:r>
        <w:tab/>
        <w:t>[Section 29 amended by No. 19 of 2013 s. 12.]</w:t>
      </w:r>
    </w:p>
    <w:p>
      <w:pPr>
        <w:pStyle w:val="Ednotesection"/>
      </w:pPr>
      <w:r>
        <w:t>[</w:t>
      </w:r>
      <w:r>
        <w:rPr>
          <w:b/>
          <w:bCs/>
        </w:rPr>
        <w:t xml:space="preserve">29A, 30. </w:t>
      </w:r>
      <w:r>
        <w:t>Deleted by No. 19 of 2013 s. 19.]</w:t>
      </w:r>
    </w:p>
    <w:p>
      <w:pPr>
        <w:pStyle w:val="Heading5"/>
        <w:rPr>
          <w:snapToGrid w:val="0"/>
        </w:rPr>
      </w:pPr>
      <w:bookmarkStart w:id="17" w:name="_Toc415657851"/>
      <w:r>
        <w:rPr>
          <w:rStyle w:val="CharSectno"/>
        </w:rPr>
        <w:t>31</w:t>
      </w:r>
      <w:r>
        <w:rPr>
          <w:snapToGrid w:val="0"/>
        </w:rPr>
        <w:t>.</w:t>
      </w:r>
      <w:r>
        <w:rPr>
          <w:snapToGrid w:val="0"/>
        </w:rPr>
        <w:tab/>
        <w:t>Regulations</w:t>
      </w:r>
      <w:bookmarkEnd w:id="17"/>
      <w:r>
        <w:rPr>
          <w:snapToGrid w:val="0"/>
        </w:rPr>
        <w:t xml:space="preserve"> </w:t>
      </w:r>
    </w:p>
    <w:p>
      <w:pPr>
        <w:pStyle w:val="Subsection"/>
        <w:rPr>
          <w:snapToGrid w:val="0"/>
        </w:rPr>
      </w:pPr>
      <w:r>
        <w:rPr>
          <w:snapToGrid w:val="0"/>
        </w:rPr>
        <w:tab/>
      </w:r>
      <w:r>
        <w:rPr>
          <w:snapToGrid w:val="0"/>
        </w:rPr>
        <w:tab/>
        <w:t>The Governor may make regulations prescribing all matters that are required or permitted by this Act to be prescribed or are necessary or convenient to be prescribed for giving effect to the purposes of this Act, and in particular may make regulations —</w:t>
      </w:r>
    </w:p>
    <w:p>
      <w:pPr>
        <w:pStyle w:val="Ednotepara"/>
      </w:pPr>
      <w:r>
        <w:rPr>
          <w:snapToGrid w:val="0"/>
        </w:rPr>
        <w:tab/>
      </w:r>
      <w:r>
        <w:t>[(a)</w:t>
      </w:r>
      <w:r>
        <w:noBreakHyphen/>
        <w:t>(h)</w:t>
      </w:r>
      <w:r>
        <w:tab/>
        <w:t>deleted]</w:t>
      </w:r>
    </w:p>
    <w:p>
      <w:pPr>
        <w:pStyle w:val="Indenta"/>
        <w:rPr>
          <w:snapToGrid w:val="0"/>
        </w:rPr>
      </w:pPr>
      <w:r>
        <w:rPr>
          <w:snapToGrid w:val="0"/>
        </w:rPr>
        <w:tab/>
        <w:t>(i)</w:t>
      </w:r>
      <w:r>
        <w:rPr>
          <w:snapToGrid w:val="0"/>
        </w:rPr>
        <w:tab/>
        <w:t>prescribing the manner in which notices may be served under this Act;</w:t>
      </w:r>
    </w:p>
    <w:p>
      <w:pPr>
        <w:pStyle w:val="Indenta"/>
        <w:rPr>
          <w:snapToGrid w:val="0"/>
        </w:rPr>
      </w:pPr>
      <w:r>
        <w:rPr>
          <w:snapToGrid w:val="0"/>
        </w:rPr>
        <w:tab/>
        <w:t>(j)</w:t>
      </w:r>
      <w:r>
        <w:rPr>
          <w:snapToGrid w:val="0"/>
        </w:rPr>
        <w:tab/>
        <w:t>prescribing or providing for the approval of forms for the purposes of this Act;</w:t>
      </w:r>
    </w:p>
    <w:p>
      <w:pPr>
        <w:pStyle w:val="Indenta"/>
        <w:rPr>
          <w:snapToGrid w:val="0"/>
        </w:rPr>
      </w:pPr>
      <w:r>
        <w:rPr>
          <w:snapToGrid w:val="0"/>
        </w:rPr>
        <w:tab/>
        <w:t>(k)</w:t>
      </w:r>
      <w:r>
        <w:rPr>
          <w:snapToGrid w:val="0"/>
        </w:rPr>
        <w:tab/>
        <w:t>prescribing requirements as to information to be given in or in connection with applications, returns, claims, elections, and other documents delivered or made for the purposes of this Act, and the evidence to be supplied in support;</w:t>
      </w:r>
    </w:p>
    <w:p>
      <w:pPr>
        <w:pStyle w:val="Indenta"/>
        <w:rPr>
          <w:snapToGrid w:val="0"/>
        </w:rPr>
      </w:pPr>
      <w:r>
        <w:rPr>
          <w:snapToGrid w:val="0"/>
        </w:rPr>
        <w:tab/>
        <w:t>(l)</w:t>
      </w:r>
      <w:r>
        <w:rPr>
          <w:snapToGrid w:val="0"/>
        </w:rPr>
        <w:tab/>
        <w:t xml:space="preserve">providing for any other matter necessary </w:t>
      </w:r>
      <w:r>
        <w:t>or convenient for consistency</w:t>
      </w:r>
      <w:r>
        <w:rPr>
          <w:snapToGrid w:val="0"/>
        </w:rPr>
        <w:t xml:space="preserve"> with the SIS Act.</w:t>
      </w:r>
    </w:p>
    <w:p>
      <w:pPr>
        <w:pStyle w:val="Footnotesection"/>
      </w:pPr>
      <w:r>
        <w:tab/>
        <w:t xml:space="preserve">[Section 31 amended by No. 46 of 1995 s. 15; No. 16 of 2006 s. 11; No. 19 of 2013 s. 13 and 20.] </w:t>
      </w:r>
    </w:p>
    <w:p>
      <w:pPr>
        <w:pStyle w:val="Heading5"/>
        <w:rPr>
          <w:snapToGrid w:val="0"/>
        </w:rPr>
      </w:pPr>
      <w:bookmarkStart w:id="18" w:name="_Toc415657852"/>
      <w:r>
        <w:rPr>
          <w:rStyle w:val="CharSectno"/>
        </w:rPr>
        <w:t>32</w:t>
      </w:r>
      <w:r>
        <w:rPr>
          <w:snapToGrid w:val="0"/>
        </w:rPr>
        <w:t>.</w:t>
      </w:r>
      <w:r>
        <w:rPr>
          <w:snapToGrid w:val="0"/>
        </w:rPr>
        <w:tab/>
        <w:t>Review of Act</w:t>
      </w:r>
      <w:bookmarkEnd w:id="18"/>
      <w:r>
        <w:rPr>
          <w:snapToGrid w:val="0"/>
        </w:rPr>
        <w:t xml:space="preserve"> </w:t>
      </w:r>
    </w:p>
    <w:p>
      <w:pPr>
        <w:pStyle w:val="Subsection"/>
      </w:pPr>
      <w:r>
        <w:tab/>
        <w:t>(1)</w:t>
      </w:r>
      <w:r>
        <w:tab/>
        <w:t>As soon as is reasonably practicable after the 3</w:t>
      </w:r>
      <w:r>
        <w:rPr>
          <w:vertAlign w:val="superscript"/>
        </w:rPr>
        <w:t>rd</w:t>
      </w:r>
      <w:r>
        <w:t xml:space="preserve"> anniversary of the day on which the first regulations made under section 7B come into operation, the Treasurer is to carry out a review of the operation of this Act and, in the course of the review, is to consider and have regard to — </w:t>
      </w:r>
    </w:p>
    <w:p>
      <w:pPr>
        <w:pStyle w:val="Indenta"/>
      </w:pPr>
      <w:r>
        <w:tab/>
        <w:t>(a)</w:t>
      </w:r>
      <w:r>
        <w:tab/>
        <w:t>the requirement for employers to pay contributions towards the scheme benefits; and</w:t>
      </w:r>
    </w:p>
    <w:p>
      <w:pPr>
        <w:pStyle w:val="Indenta"/>
      </w:pPr>
      <w:r>
        <w:tab/>
        <w:t>(b)</w:t>
      </w:r>
      <w:r>
        <w:tab/>
        <w:t>such other matters as appear to the Treasurer to be relevant to the operation and effectiveness of this Act.</w:t>
      </w:r>
    </w:p>
    <w:p>
      <w:pPr>
        <w:pStyle w:val="Subsection"/>
        <w:rPr>
          <w:snapToGrid w:val="0"/>
        </w:rPr>
      </w:pPr>
      <w:r>
        <w:rPr>
          <w:snapToGrid w:val="0"/>
        </w:rPr>
        <w:tab/>
        <w:t>(2)</w:t>
      </w:r>
      <w:r>
        <w:rPr>
          <w:snapToGrid w:val="0"/>
        </w:rPr>
        <w:tab/>
        <w:t>The Treasurer shall prepare a report based on the review of this Act and shall, as soon as practicable after the preparation thereof, cause the report to be laid before each House of Parliament.</w:t>
      </w:r>
    </w:p>
    <w:p>
      <w:pPr>
        <w:pStyle w:val="Footnotesection"/>
      </w:pPr>
      <w:r>
        <w:tab/>
        <w:t>[Section 32 amended by No. 16 of 2006 s. 12; No. 19 of 2013 s. 16.]</w:t>
      </w:r>
    </w:p>
    <w:p>
      <w:pPr>
        <w:pStyle w:val="Ednotepart"/>
      </w:pPr>
      <w:r>
        <w:t>[Part 5 (s. 33-35) deleted by No. 19 of 2013 s. 8.]</w:t>
      </w:r>
    </w:p>
    <w:p>
      <w:pPr>
        <w:pStyle w:val="yEdnoteschedule"/>
      </w:pPr>
      <w:r>
        <w:t>[Schedule 1 deleted by No. 19 of 2013 s. 14.]</w:t>
      </w:r>
    </w:p>
    <w:p>
      <w:pPr>
        <w:pStyle w:val="yEdnoteschedule"/>
      </w:pPr>
      <w:r>
        <w:t>[Schedule 2 deleted by No. 19 of 2013 s. 21.]</w:t>
      </w:r>
    </w:p>
    <w:p>
      <w:pPr>
        <w:pStyle w:val="yEdnoteschedule"/>
      </w:pPr>
      <w:r>
        <w:t>[Schedule 3 deleted by No. 19 of 2013 s. 9.]</w:t>
      </w:r>
    </w:p>
    <w:p>
      <w:pPr>
        <w:rPr>
          <w:snapToGrid w:val="0"/>
        </w:rPr>
        <w:sectPr>
          <w:headerReference w:type="even" r:id="rId21"/>
          <w:headerReference w:type="default" r:id="rId22"/>
          <w:footerReference w:type="even" r:id="rId23"/>
          <w:footerReference w:type="default" r:id="rId24"/>
          <w:headerReference w:type="first" r:id="rId25"/>
          <w:pgSz w:w="11907" w:h="16840" w:code="9"/>
          <w:pgMar w:top="2381" w:right="2409" w:bottom="3543" w:left="2409" w:header="720" w:footer="3380" w:gutter="0"/>
          <w:pgNumType w:start="1"/>
          <w:cols w:space="720"/>
          <w:noEndnote/>
          <w:titlePg/>
          <w:docGrid w:linePitch="326"/>
        </w:sectPr>
      </w:pPr>
    </w:p>
    <w:p>
      <w:pPr>
        <w:pStyle w:val="nHeading2"/>
      </w:pPr>
      <w:bookmarkStart w:id="19" w:name="_Toc415657834"/>
      <w:bookmarkStart w:id="20" w:name="_Toc415657853"/>
      <w:r>
        <w:t>Notes</w:t>
      </w:r>
      <w:bookmarkEnd w:id="19"/>
      <w:bookmarkEnd w:id="20"/>
    </w:p>
    <w:p>
      <w:pPr>
        <w:pStyle w:val="nSubsection"/>
        <w:rPr>
          <w:snapToGrid w:val="0"/>
        </w:rPr>
      </w:pPr>
      <w:r>
        <w:rPr>
          <w:snapToGrid w:val="0"/>
          <w:vertAlign w:val="superscript"/>
        </w:rPr>
        <w:t>1</w:t>
      </w:r>
      <w:r>
        <w:rPr>
          <w:snapToGrid w:val="0"/>
        </w:rPr>
        <w:tab/>
        <w:t xml:space="preserve">This is a compilation of the </w:t>
      </w:r>
      <w:r>
        <w:rPr>
          <w:i/>
          <w:noProof/>
          <w:snapToGrid w:val="0"/>
        </w:rPr>
        <w:t>Coal Industry Superannuation Act 1989</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21" w:name="_Toc415657854"/>
      <w:r>
        <w:rPr>
          <w:snapToGrid w:val="0"/>
        </w:rPr>
        <w:t>Compilation table</w:t>
      </w:r>
      <w:bookmarkEnd w:id="21"/>
    </w:p>
    <w:tbl>
      <w:tblPr>
        <w:tblW w:w="0" w:type="auto"/>
        <w:tblInd w:w="28" w:type="dxa"/>
        <w:tblLayout w:type="fixed"/>
        <w:tblCellMar>
          <w:left w:w="56" w:type="dxa"/>
          <w:right w:w="56" w:type="dxa"/>
        </w:tblCellMar>
        <w:tblLook w:val="0000" w:firstRow="0" w:lastRow="0" w:firstColumn="0" w:lastColumn="0" w:noHBand="0" w:noVBand="0"/>
      </w:tblPr>
      <w:tblGrid>
        <w:gridCol w:w="2278"/>
        <w:gridCol w:w="1139"/>
        <w:gridCol w:w="1136"/>
        <w:gridCol w:w="2554"/>
        <w:gridCol w:w="16"/>
      </w:tblGrid>
      <w:tr>
        <w:trPr>
          <w:cantSplit/>
          <w:tblHeader/>
        </w:trPr>
        <w:tc>
          <w:tcPr>
            <w:tcW w:w="2278" w:type="dxa"/>
            <w:tcBorders>
              <w:top w:val="single" w:sz="8" w:space="0" w:color="auto"/>
              <w:bottom w:val="single" w:sz="8" w:space="0" w:color="auto"/>
            </w:tcBorders>
          </w:tcPr>
          <w:p>
            <w:pPr>
              <w:pStyle w:val="nTable"/>
              <w:spacing w:after="40"/>
              <w:ind w:right="113"/>
              <w:rPr>
                <w:b/>
              </w:rPr>
            </w:pPr>
            <w:r>
              <w:rPr>
                <w:b/>
              </w:rPr>
              <w:t>Short title</w:t>
            </w:r>
          </w:p>
        </w:tc>
        <w:tc>
          <w:tcPr>
            <w:tcW w:w="1139" w:type="dxa"/>
            <w:tcBorders>
              <w:top w:val="single" w:sz="8" w:space="0" w:color="auto"/>
              <w:bottom w:val="single" w:sz="8" w:space="0" w:color="auto"/>
            </w:tcBorders>
          </w:tcPr>
          <w:p>
            <w:pPr>
              <w:pStyle w:val="nTable"/>
              <w:spacing w:after="40"/>
              <w:rPr>
                <w:b/>
              </w:rPr>
            </w:pPr>
            <w:r>
              <w:rPr>
                <w:b/>
              </w:rPr>
              <w:t>Number and year</w:t>
            </w:r>
          </w:p>
        </w:tc>
        <w:tc>
          <w:tcPr>
            <w:tcW w:w="1136" w:type="dxa"/>
            <w:tcBorders>
              <w:top w:val="single" w:sz="8" w:space="0" w:color="auto"/>
              <w:bottom w:val="single" w:sz="8" w:space="0" w:color="auto"/>
            </w:tcBorders>
          </w:tcPr>
          <w:p>
            <w:pPr>
              <w:pStyle w:val="nTable"/>
              <w:spacing w:after="40"/>
              <w:rPr>
                <w:b/>
              </w:rPr>
            </w:pPr>
            <w:r>
              <w:rPr>
                <w:b/>
              </w:rPr>
              <w:t>Assent</w:t>
            </w:r>
          </w:p>
        </w:tc>
        <w:tc>
          <w:tcPr>
            <w:tcW w:w="2570" w:type="dxa"/>
            <w:gridSpan w:val="2"/>
            <w:tcBorders>
              <w:top w:val="single" w:sz="8" w:space="0" w:color="auto"/>
              <w:bottom w:val="single" w:sz="8" w:space="0" w:color="auto"/>
            </w:tcBorders>
          </w:tcPr>
          <w:p>
            <w:pPr>
              <w:pStyle w:val="nTable"/>
              <w:spacing w:after="40"/>
              <w:rPr>
                <w:b/>
              </w:rPr>
            </w:pPr>
            <w:r>
              <w:rPr>
                <w:b/>
              </w:rPr>
              <w:t>Commencement</w:t>
            </w:r>
          </w:p>
        </w:tc>
      </w:tr>
      <w:tr>
        <w:trPr>
          <w:cantSplit/>
        </w:trPr>
        <w:tc>
          <w:tcPr>
            <w:tcW w:w="2278" w:type="dxa"/>
          </w:tcPr>
          <w:p>
            <w:pPr>
              <w:pStyle w:val="nTable"/>
              <w:spacing w:after="40"/>
              <w:ind w:right="113"/>
            </w:pPr>
            <w:r>
              <w:rPr>
                <w:i/>
              </w:rPr>
              <w:t>Coal Industry Superannuation Act 1989</w:t>
            </w:r>
          </w:p>
        </w:tc>
        <w:tc>
          <w:tcPr>
            <w:tcW w:w="1139" w:type="dxa"/>
          </w:tcPr>
          <w:p>
            <w:pPr>
              <w:pStyle w:val="nTable"/>
              <w:spacing w:after="40"/>
            </w:pPr>
            <w:r>
              <w:t>28 of 1989</w:t>
            </w:r>
          </w:p>
        </w:tc>
        <w:tc>
          <w:tcPr>
            <w:tcW w:w="1136" w:type="dxa"/>
          </w:tcPr>
          <w:p>
            <w:pPr>
              <w:pStyle w:val="nTable"/>
              <w:spacing w:after="40"/>
            </w:pPr>
            <w:r>
              <w:t>12 Dec 1989</w:t>
            </w:r>
          </w:p>
        </w:tc>
        <w:tc>
          <w:tcPr>
            <w:tcW w:w="2570" w:type="dxa"/>
            <w:gridSpan w:val="2"/>
          </w:tcPr>
          <w:p>
            <w:pPr>
              <w:pStyle w:val="nTable"/>
              <w:spacing w:after="40"/>
            </w:pPr>
            <w:r>
              <w:t xml:space="preserve">1 Jul 1990 (see s. 2 and </w:t>
            </w:r>
            <w:r>
              <w:rPr>
                <w:i/>
              </w:rPr>
              <w:t>Gazette</w:t>
            </w:r>
            <w:r>
              <w:t xml:space="preserve"> 22 Jun 1990 p. 3027)</w:t>
            </w:r>
          </w:p>
        </w:tc>
      </w:tr>
      <w:tr>
        <w:trPr>
          <w:cantSplit/>
        </w:trPr>
        <w:tc>
          <w:tcPr>
            <w:tcW w:w="2278" w:type="dxa"/>
          </w:tcPr>
          <w:p>
            <w:pPr>
              <w:pStyle w:val="nTable"/>
              <w:spacing w:after="40"/>
              <w:ind w:right="113"/>
            </w:pPr>
            <w:r>
              <w:rPr>
                <w:i/>
              </w:rPr>
              <w:t>Acts Amendment (Public Sector Management) Act 1994</w:t>
            </w:r>
            <w:r>
              <w:t xml:space="preserve"> s. 19</w:t>
            </w:r>
          </w:p>
        </w:tc>
        <w:tc>
          <w:tcPr>
            <w:tcW w:w="1139" w:type="dxa"/>
          </w:tcPr>
          <w:p>
            <w:pPr>
              <w:pStyle w:val="nTable"/>
              <w:spacing w:after="40"/>
            </w:pPr>
            <w:r>
              <w:t>32 of 1994</w:t>
            </w:r>
          </w:p>
        </w:tc>
        <w:tc>
          <w:tcPr>
            <w:tcW w:w="1136" w:type="dxa"/>
          </w:tcPr>
          <w:p>
            <w:pPr>
              <w:pStyle w:val="nTable"/>
              <w:spacing w:after="40"/>
            </w:pPr>
            <w:r>
              <w:t>29 Jun 1994</w:t>
            </w:r>
          </w:p>
        </w:tc>
        <w:tc>
          <w:tcPr>
            <w:tcW w:w="2570" w:type="dxa"/>
            <w:gridSpan w:val="2"/>
          </w:tcPr>
          <w:p>
            <w:pPr>
              <w:pStyle w:val="nTable"/>
              <w:spacing w:after="40"/>
            </w:pPr>
            <w:r>
              <w:t xml:space="preserve">1 Oct 1994 (see s. 2 and </w:t>
            </w:r>
            <w:r>
              <w:rPr>
                <w:i/>
              </w:rPr>
              <w:t>Gazette</w:t>
            </w:r>
            <w:r>
              <w:t xml:space="preserve"> 30 Sep 1994 p. 4948)</w:t>
            </w:r>
          </w:p>
        </w:tc>
      </w:tr>
      <w:tr>
        <w:trPr>
          <w:cantSplit/>
        </w:trPr>
        <w:tc>
          <w:tcPr>
            <w:tcW w:w="2278" w:type="dxa"/>
          </w:tcPr>
          <w:p>
            <w:pPr>
              <w:pStyle w:val="nTable"/>
              <w:spacing w:after="40"/>
              <w:ind w:right="113"/>
              <w:rPr>
                <w:iCs/>
              </w:rPr>
            </w:pPr>
            <w:r>
              <w:rPr>
                <w:i/>
              </w:rPr>
              <w:t xml:space="preserve">Acts Amendment (Coal Mining Industry) Act 1994 </w:t>
            </w:r>
            <w:r>
              <w:rPr>
                <w:iCs/>
              </w:rPr>
              <w:t>Pt. 2 and s. 19</w:t>
            </w:r>
            <w:r>
              <w:rPr>
                <w:iCs/>
                <w:vertAlign w:val="superscript"/>
              </w:rPr>
              <w:t> 3</w:t>
            </w:r>
          </w:p>
        </w:tc>
        <w:tc>
          <w:tcPr>
            <w:tcW w:w="1139" w:type="dxa"/>
          </w:tcPr>
          <w:p>
            <w:pPr>
              <w:pStyle w:val="nTable"/>
              <w:spacing w:after="40"/>
            </w:pPr>
            <w:r>
              <w:t>45 of 1994</w:t>
            </w:r>
          </w:p>
        </w:tc>
        <w:tc>
          <w:tcPr>
            <w:tcW w:w="1136" w:type="dxa"/>
          </w:tcPr>
          <w:p>
            <w:pPr>
              <w:pStyle w:val="nTable"/>
              <w:spacing w:after="40"/>
            </w:pPr>
            <w:r>
              <w:t>22 Sep 1994</w:t>
            </w:r>
          </w:p>
        </w:tc>
        <w:tc>
          <w:tcPr>
            <w:tcW w:w="2570" w:type="dxa"/>
            <w:gridSpan w:val="2"/>
          </w:tcPr>
          <w:p>
            <w:pPr>
              <w:pStyle w:val="nTable"/>
              <w:spacing w:after="40"/>
            </w:pPr>
            <w:r>
              <w:t>Pt. 2: 22 Sep 1994 (see s. 2(1));</w:t>
            </w:r>
            <w:r>
              <w:br/>
              <w:t xml:space="preserve">s. 19: 16 Nov 1994 (see s. 2(2) and </w:t>
            </w:r>
            <w:r>
              <w:rPr>
                <w:i/>
              </w:rPr>
              <w:t>Gazette</w:t>
            </w:r>
            <w:r>
              <w:t xml:space="preserve"> 15 Nov 1994 p. 5801)</w:t>
            </w:r>
          </w:p>
        </w:tc>
      </w:tr>
      <w:tr>
        <w:trPr>
          <w:cantSplit/>
        </w:trPr>
        <w:tc>
          <w:tcPr>
            <w:tcW w:w="2278" w:type="dxa"/>
          </w:tcPr>
          <w:p>
            <w:pPr>
              <w:pStyle w:val="nTable"/>
              <w:spacing w:after="40"/>
              <w:ind w:right="113"/>
            </w:pPr>
            <w:r>
              <w:rPr>
                <w:i/>
              </w:rPr>
              <w:t>Mines Safety and Inspection Act 1994</w:t>
            </w:r>
            <w:r>
              <w:t xml:space="preserve"> s. 109</w:t>
            </w:r>
          </w:p>
        </w:tc>
        <w:tc>
          <w:tcPr>
            <w:tcW w:w="1139" w:type="dxa"/>
          </w:tcPr>
          <w:p>
            <w:pPr>
              <w:pStyle w:val="nTable"/>
              <w:spacing w:after="40"/>
            </w:pPr>
            <w:r>
              <w:t>62 of 1994</w:t>
            </w:r>
          </w:p>
        </w:tc>
        <w:tc>
          <w:tcPr>
            <w:tcW w:w="1136" w:type="dxa"/>
          </w:tcPr>
          <w:p>
            <w:pPr>
              <w:pStyle w:val="nTable"/>
              <w:spacing w:after="40"/>
            </w:pPr>
            <w:r>
              <w:t>7 Nov 1994</w:t>
            </w:r>
          </w:p>
        </w:tc>
        <w:tc>
          <w:tcPr>
            <w:tcW w:w="2570" w:type="dxa"/>
            <w:gridSpan w:val="2"/>
          </w:tcPr>
          <w:p>
            <w:pPr>
              <w:pStyle w:val="nTable"/>
              <w:spacing w:after="40"/>
            </w:pPr>
            <w:r>
              <w:t xml:space="preserve">9 Dec 1995 (see s. 2 and </w:t>
            </w:r>
            <w:r>
              <w:rPr>
                <w:i/>
              </w:rPr>
              <w:t>Gazette</w:t>
            </w:r>
            <w:r>
              <w:t xml:space="preserve"> 8 Dec 1995 p. 5935)</w:t>
            </w:r>
          </w:p>
        </w:tc>
      </w:tr>
      <w:tr>
        <w:trPr>
          <w:cantSplit/>
        </w:trPr>
        <w:tc>
          <w:tcPr>
            <w:tcW w:w="2278" w:type="dxa"/>
          </w:tcPr>
          <w:p>
            <w:pPr>
              <w:pStyle w:val="nTable"/>
              <w:spacing w:after="40"/>
              <w:ind w:right="113"/>
              <w:rPr>
                <w:iCs/>
              </w:rPr>
            </w:pPr>
            <w:r>
              <w:rPr>
                <w:i/>
              </w:rPr>
              <w:t>Coal Industry Superannuation Amendment Act 1995</w:t>
            </w:r>
            <w:r>
              <w:rPr>
                <w:iCs/>
                <w:vertAlign w:val="superscript"/>
              </w:rPr>
              <w:t> 4</w:t>
            </w:r>
          </w:p>
        </w:tc>
        <w:tc>
          <w:tcPr>
            <w:tcW w:w="1139" w:type="dxa"/>
          </w:tcPr>
          <w:p>
            <w:pPr>
              <w:pStyle w:val="nTable"/>
              <w:spacing w:after="40"/>
            </w:pPr>
            <w:r>
              <w:t>46 of 1995</w:t>
            </w:r>
          </w:p>
        </w:tc>
        <w:tc>
          <w:tcPr>
            <w:tcW w:w="1136" w:type="dxa"/>
          </w:tcPr>
          <w:p>
            <w:pPr>
              <w:pStyle w:val="nTable"/>
              <w:spacing w:after="40"/>
            </w:pPr>
            <w:r>
              <w:t>1 Nov 1995</w:t>
            </w:r>
          </w:p>
        </w:tc>
        <w:tc>
          <w:tcPr>
            <w:tcW w:w="2570" w:type="dxa"/>
            <w:gridSpan w:val="2"/>
          </w:tcPr>
          <w:p>
            <w:pPr>
              <w:pStyle w:val="nTable"/>
              <w:spacing w:after="40"/>
            </w:pPr>
            <w:r>
              <w:t xml:space="preserve">15 May 1996 (see s. 2 and </w:t>
            </w:r>
            <w:r>
              <w:rPr>
                <w:i/>
              </w:rPr>
              <w:t>Gazette</w:t>
            </w:r>
            <w:r>
              <w:t xml:space="preserve"> 14 May 1996 p. 2019)</w:t>
            </w:r>
          </w:p>
        </w:tc>
      </w:tr>
      <w:tr>
        <w:trPr>
          <w:cantSplit/>
        </w:trPr>
        <w:tc>
          <w:tcPr>
            <w:tcW w:w="2278" w:type="dxa"/>
          </w:tcPr>
          <w:p>
            <w:pPr>
              <w:pStyle w:val="nTable"/>
              <w:spacing w:after="40"/>
              <w:ind w:right="113"/>
            </w:pPr>
            <w:r>
              <w:rPr>
                <w:i/>
              </w:rPr>
              <w:t>Trustees Amendment Act 1997</w:t>
            </w:r>
            <w:r>
              <w:t xml:space="preserve"> s. 18</w:t>
            </w:r>
          </w:p>
        </w:tc>
        <w:tc>
          <w:tcPr>
            <w:tcW w:w="1139" w:type="dxa"/>
          </w:tcPr>
          <w:p>
            <w:pPr>
              <w:pStyle w:val="nTable"/>
              <w:spacing w:after="40"/>
            </w:pPr>
            <w:r>
              <w:t>1 of 1997</w:t>
            </w:r>
          </w:p>
        </w:tc>
        <w:tc>
          <w:tcPr>
            <w:tcW w:w="1136" w:type="dxa"/>
          </w:tcPr>
          <w:p>
            <w:pPr>
              <w:pStyle w:val="nTable"/>
              <w:spacing w:after="40"/>
            </w:pPr>
            <w:r>
              <w:t>6 May 1997</w:t>
            </w:r>
          </w:p>
        </w:tc>
        <w:tc>
          <w:tcPr>
            <w:tcW w:w="2570" w:type="dxa"/>
            <w:gridSpan w:val="2"/>
          </w:tcPr>
          <w:p>
            <w:pPr>
              <w:pStyle w:val="nTable"/>
              <w:spacing w:after="40"/>
            </w:pPr>
            <w:r>
              <w:t xml:space="preserve">16 Jun 1997 (see s. 2 and </w:t>
            </w:r>
            <w:r>
              <w:rPr>
                <w:i/>
              </w:rPr>
              <w:t>Gazette</w:t>
            </w:r>
            <w:r>
              <w:t xml:space="preserve"> 10 Jun 1997 p. 2661)</w:t>
            </w:r>
          </w:p>
        </w:tc>
      </w:tr>
      <w:tr>
        <w:trPr>
          <w:cantSplit/>
        </w:trPr>
        <w:tc>
          <w:tcPr>
            <w:tcW w:w="4553" w:type="dxa"/>
            <w:gridSpan w:val="3"/>
          </w:tcPr>
          <w:p>
            <w:pPr>
              <w:pStyle w:val="nTable"/>
              <w:spacing w:after="40"/>
              <w:rPr>
                <w:iCs/>
              </w:rPr>
            </w:pPr>
            <w:r>
              <w:rPr>
                <w:i/>
              </w:rPr>
              <w:t xml:space="preserve">Coal Industry Superannuation Act Amendment Order 2000 </w:t>
            </w:r>
            <w:r>
              <w:rPr>
                <w:iCs/>
              </w:rPr>
              <w:t xml:space="preserve">published in </w:t>
            </w:r>
            <w:r>
              <w:rPr>
                <w:i/>
              </w:rPr>
              <w:t>Gazette</w:t>
            </w:r>
            <w:r>
              <w:rPr>
                <w:iCs/>
              </w:rPr>
              <w:t xml:space="preserve"> </w:t>
            </w:r>
            <w:r>
              <w:t>29 Sep 2000 p. 5535</w:t>
            </w:r>
            <w:r>
              <w:noBreakHyphen/>
              <w:t>6</w:t>
            </w:r>
          </w:p>
        </w:tc>
        <w:tc>
          <w:tcPr>
            <w:tcW w:w="2570" w:type="dxa"/>
            <w:gridSpan w:val="2"/>
          </w:tcPr>
          <w:p>
            <w:pPr>
              <w:pStyle w:val="nTable"/>
              <w:spacing w:after="40"/>
            </w:pPr>
            <w:r>
              <w:t>29 Sep 2000</w:t>
            </w:r>
          </w:p>
        </w:tc>
      </w:tr>
      <w:tr>
        <w:trPr>
          <w:cantSplit/>
        </w:trPr>
        <w:tc>
          <w:tcPr>
            <w:tcW w:w="7123" w:type="dxa"/>
            <w:gridSpan w:val="5"/>
          </w:tcPr>
          <w:p>
            <w:pPr>
              <w:pStyle w:val="nTable"/>
              <w:spacing w:after="40"/>
            </w:pPr>
            <w:r>
              <w:rPr>
                <w:b/>
                <w:bCs/>
              </w:rPr>
              <w:t xml:space="preserve">Reprint of the </w:t>
            </w:r>
            <w:r>
              <w:rPr>
                <w:b/>
                <w:bCs/>
                <w:i/>
              </w:rPr>
              <w:t>Coal Industry Superannuation Act 1989</w:t>
            </w:r>
            <w:r>
              <w:rPr>
                <w:b/>
                <w:bCs/>
              </w:rPr>
              <w:t xml:space="preserve"> as at 8 Dec 2000</w:t>
            </w:r>
            <w:r>
              <w:t xml:space="preserve"> (includes amendments listed above)</w:t>
            </w:r>
          </w:p>
        </w:tc>
      </w:tr>
      <w:tr>
        <w:trPr>
          <w:cantSplit/>
        </w:trPr>
        <w:tc>
          <w:tcPr>
            <w:tcW w:w="2278" w:type="dxa"/>
          </w:tcPr>
          <w:p>
            <w:pPr>
              <w:pStyle w:val="nTable"/>
              <w:spacing w:after="40"/>
              <w:ind w:right="113"/>
            </w:pPr>
            <w:r>
              <w:rPr>
                <w:i/>
                <w:iCs/>
                <w:snapToGrid w:val="0"/>
              </w:rPr>
              <w:t>Coal Industry Superannuation Amendment Act 2006</w:t>
            </w:r>
          </w:p>
        </w:tc>
        <w:tc>
          <w:tcPr>
            <w:tcW w:w="1139" w:type="dxa"/>
          </w:tcPr>
          <w:p>
            <w:pPr>
              <w:pStyle w:val="nTable"/>
              <w:spacing w:after="40"/>
            </w:pPr>
            <w:r>
              <w:t>16 of 2006</w:t>
            </w:r>
          </w:p>
        </w:tc>
        <w:tc>
          <w:tcPr>
            <w:tcW w:w="1136" w:type="dxa"/>
          </w:tcPr>
          <w:p>
            <w:pPr>
              <w:pStyle w:val="nTable"/>
              <w:spacing w:after="40"/>
            </w:pPr>
            <w:r>
              <w:t>17 May 2006</w:t>
            </w:r>
          </w:p>
        </w:tc>
        <w:tc>
          <w:tcPr>
            <w:tcW w:w="2570" w:type="dxa"/>
            <w:gridSpan w:val="2"/>
          </w:tcPr>
          <w:p>
            <w:pPr>
              <w:pStyle w:val="nTable"/>
              <w:spacing w:after="40"/>
            </w:pPr>
            <w:r>
              <w:t>14 Jun 2006</w:t>
            </w:r>
          </w:p>
        </w:tc>
      </w:tr>
      <w:tr>
        <w:trPr>
          <w:cantSplit/>
        </w:trPr>
        <w:tc>
          <w:tcPr>
            <w:tcW w:w="7123" w:type="dxa"/>
            <w:gridSpan w:val="5"/>
          </w:tcPr>
          <w:p>
            <w:pPr>
              <w:pStyle w:val="nTable"/>
              <w:spacing w:after="40"/>
            </w:pPr>
            <w:r>
              <w:rPr>
                <w:b/>
                <w:bCs/>
              </w:rPr>
              <w:t xml:space="preserve">Reprint 2: The </w:t>
            </w:r>
            <w:r>
              <w:rPr>
                <w:b/>
                <w:bCs/>
                <w:i/>
              </w:rPr>
              <w:t>Coal Industry Superannuation Act 1989</w:t>
            </w:r>
            <w:r>
              <w:rPr>
                <w:b/>
                <w:bCs/>
              </w:rPr>
              <w:t xml:space="preserve"> as at 4 Aug 2006</w:t>
            </w:r>
            <w:r>
              <w:t xml:space="preserve"> (includes amendments listed above)</w:t>
            </w:r>
          </w:p>
        </w:tc>
      </w:tr>
      <w:tr>
        <w:trPr>
          <w:cantSplit/>
        </w:trPr>
        <w:tc>
          <w:tcPr>
            <w:tcW w:w="2278" w:type="dxa"/>
          </w:tcPr>
          <w:p>
            <w:pPr>
              <w:pStyle w:val="nTable"/>
              <w:spacing w:after="40"/>
              <w:ind w:right="113"/>
            </w:pPr>
            <w:r>
              <w:rPr>
                <w:i/>
                <w:snapToGrid w:val="0"/>
              </w:rPr>
              <w:t xml:space="preserve">Financial Legislation Amendment and Repeal Act 2006 </w:t>
            </w:r>
            <w:r>
              <w:rPr>
                <w:iCs/>
                <w:snapToGrid w:val="0"/>
              </w:rPr>
              <w:t>s. 17</w:t>
            </w:r>
          </w:p>
        </w:tc>
        <w:tc>
          <w:tcPr>
            <w:tcW w:w="1139" w:type="dxa"/>
          </w:tcPr>
          <w:p>
            <w:pPr>
              <w:pStyle w:val="nTable"/>
              <w:spacing w:after="40"/>
            </w:pPr>
            <w:r>
              <w:rPr>
                <w:snapToGrid w:val="0"/>
              </w:rPr>
              <w:t xml:space="preserve">77 of 2006 </w:t>
            </w:r>
          </w:p>
        </w:tc>
        <w:tc>
          <w:tcPr>
            <w:tcW w:w="1136" w:type="dxa"/>
          </w:tcPr>
          <w:p>
            <w:pPr>
              <w:pStyle w:val="nTable"/>
              <w:spacing w:after="40"/>
            </w:pPr>
            <w:r>
              <w:rPr>
                <w:snapToGrid w:val="0"/>
              </w:rPr>
              <w:t>21 Dec 2006</w:t>
            </w:r>
          </w:p>
        </w:tc>
        <w:tc>
          <w:tcPr>
            <w:tcW w:w="2570" w:type="dxa"/>
            <w:gridSpan w:val="2"/>
          </w:tcPr>
          <w:p>
            <w:pPr>
              <w:pStyle w:val="nTable"/>
              <w:spacing w:after="40"/>
            </w:pPr>
            <w:r>
              <w:rPr>
                <w:snapToGrid w:val="0"/>
              </w:rPr>
              <w:t xml:space="preserve">1 Feb 2007 (see s. 2 and </w:t>
            </w:r>
            <w:r>
              <w:rPr>
                <w:i/>
                <w:iCs/>
                <w:snapToGrid w:val="0"/>
              </w:rPr>
              <w:t>Gazette</w:t>
            </w:r>
            <w:r>
              <w:rPr>
                <w:snapToGrid w:val="0"/>
              </w:rPr>
              <w:t xml:space="preserve"> 19 Jan 2007 p. 137)</w:t>
            </w:r>
          </w:p>
        </w:tc>
      </w:tr>
      <w:tr>
        <w:trPr>
          <w:gridAfter w:val="1"/>
          <w:wAfter w:w="16" w:type="dxa"/>
          <w:cantSplit/>
        </w:trPr>
        <w:tc>
          <w:tcPr>
            <w:tcW w:w="2278" w:type="dxa"/>
          </w:tcPr>
          <w:p>
            <w:pPr>
              <w:pStyle w:val="nTable"/>
              <w:spacing w:after="40"/>
              <w:ind w:right="113"/>
              <w:rPr>
                <w:iCs/>
                <w:snapToGrid w:val="0"/>
              </w:rPr>
            </w:pPr>
            <w:r>
              <w:rPr>
                <w:i/>
                <w:snapToGrid w:val="0"/>
              </w:rPr>
              <w:t>Standardisation of Formatting Act 2010</w:t>
            </w:r>
            <w:r>
              <w:rPr>
                <w:iCs/>
                <w:snapToGrid w:val="0"/>
              </w:rPr>
              <w:t xml:space="preserve"> s. 4</w:t>
            </w:r>
          </w:p>
        </w:tc>
        <w:tc>
          <w:tcPr>
            <w:tcW w:w="1139" w:type="dxa"/>
          </w:tcPr>
          <w:p>
            <w:pPr>
              <w:pStyle w:val="nTable"/>
              <w:spacing w:after="40"/>
              <w:rPr>
                <w:snapToGrid w:val="0"/>
              </w:rPr>
            </w:pPr>
            <w:r>
              <w:rPr>
                <w:snapToGrid w:val="0"/>
              </w:rPr>
              <w:t>19 of 2010</w:t>
            </w:r>
          </w:p>
        </w:tc>
        <w:tc>
          <w:tcPr>
            <w:tcW w:w="1136" w:type="dxa"/>
          </w:tcPr>
          <w:p>
            <w:pPr>
              <w:pStyle w:val="nTable"/>
              <w:spacing w:after="40"/>
              <w:rPr>
                <w:snapToGrid w:val="0"/>
              </w:rPr>
            </w:pPr>
            <w:r>
              <w:rPr>
                <w:snapToGrid w:val="0"/>
              </w:rPr>
              <w:t>28 Jun 2010</w:t>
            </w:r>
          </w:p>
        </w:tc>
        <w:tc>
          <w:tcPr>
            <w:tcW w:w="2554" w:type="dxa"/>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rPr>
          <w:gridAfter w:val="1"/>
          <w:wAfter w:w="16" w:type="dxa"/>
          <w:cantSplit/>
        </w:trPr>
        <w:tc>
          <w:tcPr>
            <w:tcW w:w="2278" w:type="dxa"/>
            <w:tcBorders>
              <w:bottom w:val="single" w:sz="4" w:space="0" w:color="auto"/>
            </w:tcBorders>
          </w:tcPr>
          <w:p>
            <w:pPr>
              <w:pStyle w:val="nTable"/>
              <w:spacing w:after="40"/>
              <w:ind w:right="113"/>
              <w:rPr>
                <w:snapToGrid w:val="0"/>
              </w:rPr>
            </w:pPr>
            <w:r>
              <w:rPr>
                <w:i/>
                <w:snapToGrid w:val="0"/>
              </w:rPr>
              <w:t>Coal Industry Superannuation Amendment Act 2013</w:t>
            </w:r>
          </w:p>
        </w:tc>
        <w:tc>
          <w:tcPr>
            <w:tcW w:w="1139" w:type="dxa"/>
            <w:tcBorders>
              <w:bottom w:val="single" w:sz="4" w:space="0" w:color="auto"/>
            </w:tcBorders>
          </w:tcPr>
          <w:p>
            <w:pPr>
              <w:pStyle w:val="nTable"/>
              <w:spacing w:after="40"/>
              <w:rPr>
                <w:snapToGrid w:val="0"/>
              </w:rPr>
            </w:pPr>
            <w:r>
              <w:rPr>
                <w:snapToGrid w:val="0"/>
              </w:rPr>
              <w:t>19 of 2013</w:t>
            </w:r>
          </w:p>
        </w:tc>
        <w:tc>
          <w:tcPr>
            <w:tcW w:w="1136" w:type="dxa"/>
            <w:tcBorders>
              <w:bottom w:val="single" w:sz="4" w:space="0" w:color="auto"/>
            </w:tcBorders>
          </w:tcPr>
          <w:p>
            <w:pPr>
              <w:pStyle w:val="nTable"/>
              <w:spacing w:after="40"/>
              <w:rPr>
                <w:snapToGrid w:val="0"/>
              </w:rPr>
            </w:pPr>
            <w:r>
              <w:rPr>
                <w:snapToGrid w:val="0"/>
              </w:rPr>
              <w:t>4 Nov 2013</w:t>
            </w:r>
          </w:p>
        </w:tc>
        <w:tc>
          <w:tcPr>
            <w:tcW w:w="2554" w:type="dxa"/>
            <w:tcBorders>
              <w:bottom w:val="single" w:sz="4" w:space="0" w:color="auto"/>
            </w:tcBorders>
          </w:tcPr>
          <w:p>
            <w:pPr>
              <w:pStyle w:val="nTable"/>
              <w:spacing w:after="40"/>
              <w:rPr>
                <w:snapToGrid w:val="0"/>
              </w:rPr>
            </w:pPr>
            <w:r>
              <w:rPr>
                <w:snapToGrid w:val="0"/>
              </w:rPr>
              <w:t>Pt. 1: 4 Nov 2013 (see s. 2(a));</w:t>
            </w:r>
            <w:r>
              <w:rPr>
                <w:snapToGrid w:val="0"/>
              </w:rPr>
              <w:br/>
              <w:t>Pt. 2: 5 Nov 2013 (see s. 2(b));</w:t>
            </w:r>
            <w:r>
              <w:rPr>
                <w:snapToGrid w:val="0"/>
              </w:rPr>
              <w:br/>
              <w:t xml:space="preserve">Pt. 3 and 4: 30 Jun 2014 (see s. 2(c) and </w:t>
            </w:r>
            <w:r>
              <w:rPr>
                <w:i/>
                <w:snapToGrid w:val="0"/>
              </w:rPr>
              <w:t>Gazette</w:t>
            </w:r>
            <w:r>
              <w:rPr>
                <w:snapToGrid w:val="0"/>
              </w:rPr>
              <w:t xml:space="preserve"> 13 Jun 2014 p. 1859);</w:t>
            </w:r>
            <w:r>
              <w:rPr>
                <w:snapToGrid w:val="0"/>
              </w:rPr>
              <w:br/>
              <w:t xml:space="preserve">Pt. 5: 31 Oct 2014 (see s. 2(c) and </w:t>
            </w:r>
            <w:r>
              <w:rPr>
                <w:i/>
                <w:snapToGrid w:val="0"/>
              </w:rPr>
              <w:t>Gazette</w:t>
            </w:r>
            <w:r>
              <w:rPr>
                <w:snapToGrid w:val="0"/>
              </w:rPr>
              <w:t xml:space="preserve"> 24 Oct 2014 p. 4119)</w:t>
            </w:r>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22" w:name="_Toc377041440"/>
      <w:bookmarkStart w:id="23" w:name="_Toc415657855"/>
      <w:r>
        <w:t>Provisions that have not come into operation</w:t>
      </w:r>
      <w:bookmarkEnd w:id="22"/>
      <w:bookmarkEnd w:id="23"/>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18"/>
        <w:gridCol w:w="1134"/>
        <w:gridCol w:w="2552"/>
      </w:tblGrid>
      <w:tr>
        <w:tc>
          <w:tcPr>
            <w:tcW w:w="2268" w:type="dxa"/>
            <w:tcBorders>
              <w:bottom w:val="single" w:sz="4" w:space="0" w:color="auto"/>
            </w:tcBorders>
          </w:tcPr>
          <w:p>
            <w:pPr>
              <w:pStyle w:val="nTable"/>
              <w:spacing w:after="40"/>
              <w:rPr>
                <w:b/>
                <w:snapToGrid w:val="0"/>
              </w:rPr>
            </w:pPr>
            <w:r>
              <w:rPr>
                <w:b/>
                <w:snapToGrid w:val="0"/>
              </w:rPr>
              <w:t>Short title</w:t>
            </w:r>
          </w:p>
        </w:tc>
        <w:tc>
          <w:tcPr>
            <w:tcW w:w="1118" w:type="dxa"/>
            <w:tcBorders>
              <w:bottom w:val="single" w:sz="4" w:space="0" w:color="auto"/>
            </w:tcBorders>
          </w:tcPr>
          <w:p>
            <w:pPr>
              <w:pStyle w:val="nTable"/>
              <w:spacing w:after="40"/>
              <w:rPr>
                <w:b/>
                <w:snapToGrid w:val="0"/>
              </w:rPr>
            </w:pPr>
            <w:r>
              <w:rPr>
                <w:b/>
                <w:snapToGrid w:val="0"/>
              </w:rPr>
              <w:t>Number and year</w:t>
            </w:r>
          </w:p>
        </w:tc>
        <w:tc>
          <w:tcPr>
            <w:tcW w:w="1134" w:type="dxa"/>
            <w:tcBorders>
              <w:bottom w:val="single" w:sz="4" w:space="0" w:color="auto"/>
            </w:tcBorders>
          </w:tcPr>
          <w:p>
            <w:pPr>
              <w:pStyle w:val="nTable"/>
              <w:spacing w:after="40"/>
              <w:rPr>
                <w:b/>
                <w:snapToGrid w:val="0"/>
              </w:rPr>
            </w:pPr>
            <w:r>
              <w:rPr>
                <w:b/>
                <w:snapToGrid w:val="0"/>
              </w:rPr>
              <w:t>Assent</w:t>
            </w:r>
          </w:p>
        </w:tc>
        <w:tc>
          <w:tcPr>
            <w:tcW w:w="2552" w:type="dxa"/>
            <w:tcBorders>
              <w:bottom w:val="single" w:sz="4" w:space="0" w:color="auto"/>
            </w:tcBorders>
          </w:tcPr>
          <w:p>
            <w:pPr>
              <w:pStyle w:val="nTable"/>
              <w:spacing w:after="40"/>
              <w:rPr>
                <w:b/>
                <w:snapToGrid w:val="0"/>
              </w:rPr>
            </w:pPr>
            <w:r>
              <w:rPr>
                <w:b/>
                <w:snapToGrid w:val="0"/>
              </w:rPr>
              <w:t>Commencement</w:t>
            </w:r>
          </w:p>
        </w:tc>
      </w:tr>
      <w:tr>
        <w:tc>
          <w:tcPr>
            <w:tcW w:w="2268" w:type="dxa"/>
            <w:tcBorders>
              <w:top w:val="nil"/>
              <w:bottom w:val="single" w:sz="4" w:space="0" w:color="auto"/>
            </w:tcBorders>
          </w:tcPr>
          <w:p>
            <w:pPr>
              <w:pStyle w:val="nTable"/>
              <w:spacing w:after="40"/>
              <w:rPr>
                <w:snapToGrid w:val="0"/>
              </w:rPr>
            </w:pPr>
            <w:r>
              <w:rPr>
                <w:i/>
                <w:snapToGrid w:val="0"/>
              </w:rPr>
              <w:t>Mines Safety and Inspection Amendment Act 2014</w:t>
            </w:r>
            <w:r>
              <w:rPr>
                <w:snapToGrid w:val="0"/>
              </w:rPr>
              <w:t xml:space="preserve"> Pt. 3</w:t>
            </w:r>
            <w:r>
              <w:rPr>
                <w:snapToGrid w:val="0"/>
                <w:vertAlign w:val="superscript"/>
              </w:rPr>
              <w:t> 5</w:t>
            </w:r>
          </w:p>
        </w:tc>
        <w:tc>
          <w:tcPr>
            <w:tcW w:w="1118" w:type="dxa"/>
            <w:tcBorders>
              <w:top w:val="nil"/>
              <w:bottom w:val="single" w:sz="4" w:space="0" w:color="auto"/>
            </w:tcBorders>
          </w:tcPr>
          <w:p>
            <w:pPr>
              <w:pStyle w:val="nTable"/>
              <w:spacing w:after="40"/>
              <w:rPr>
                <w:snapToGrid w:val="0"/>
              </w:rPr>
            </w:pPr>
            <w:r>
              <w:rPr>
                <w:snapToGrid w:val="0"/>
              </w:rPr>
              <w:t>33 of 2014</w:t>
            </w:r>
          </w:p>
        </w:tc>
        <w:tc>
          <w:tcPr>
            <w:tcW w:w="1134" w:type="dxa"/>
            <w:tcBorders>
              <w:top w:val="nil"/>
              <w:bottom w:val="single" w:sz="4" w:space="0" w:color="auto"/>
            </w:tcBorders>
          </w:tcPr>
          <w:p>
            <w:pPr>
              <w:pStyle w:val="nTable"/>
              <w:spacing w:after="40"/>
            </w:pPr>
            <w:r>
              <w:t>3 Dec 2014</w:t>
            </w:r>
          </w:p>
        </w:tc>
        <w:tc>
          <w:tcPr>
            <w:tcW w:w="2552" w:type="dxa"/>
            <w:tcBorders>
              <w:top w:val="nil"/>
              <w:bottom w:val="single" w:sz="4" w:space="0" w:color="auto"/>
            </w:tcBorders>
          </w:tcPr>
          <w:p>
            <w:pPr>
              <w:pStyle w:val="nTable"/>
              <w:spacing w:after="40"/>
              <w:rPr>
                <w:snapToGrid w:val="0"/>
              </w:rPr>
            </w:pPr>
            <w:r>
              <w:rPr>
                <w:snapToGrid w:val="0"/>
              </w:rPr>
              <w:t>To be proclaimed (see s. 2(b))</w:t>
            </w:r>
          </w:p>
        </w:tc>
      </w:tr>
    </w:tbl>
    <w:p>
      <w:pPr>
        <w:pStyle w:val="nSubsection"/>
        <w:rPr>
          <w:snapToGrid w:val="0"/>
        </w:rPr>
      </w:pPr>
      <w:r>
        <w:rPr>
          <w:snapToGrid w:val="0"/>
          <w:vertAlign w:val="superscript"/>
        </w:rPr>
        <w:t>2</w:t>
      </w:r>
      <w:r>
        <w:rPr>
          <w:snapToGrid w:val="0"/>
        </w:rPr>
        <w:tab/>
        <w:t xml:space="preserve">Now see the </w:t>
      </w:r>
      <w:r>
        <w:rPr>
          <w:i/>
          <w:iCs/>
          <w:snapToGrid w:val="0"/>
        </w:rPr>
        <w:t xml:space="preserve">Workplace Relations Act 1996 </w:t>
      </w:r>
      <w:r>
        <w:rPr>
          <w:snapToGrid w:val="0"/>
        </w:rPr>
        <w:t>of the Commonwealth.</w:t>
      </w:r>
    </w:p>
    <w:p>
      <w:pPr>
        <w:pStyle w:val="nSubsection"/>
        <w:rPr>
          <w:snapToGrid w:val="0"/>
        </w:rPr>
      </w:pPr>
      <w:r>
        <w:rPr>
          <w:snapToGrid w:val="0"/>
          <w:vertAlign w:val="superscript"/>
        </w:rPr>
        <w:t>3</w:t>
      </w:r>
      <w:r>
        <w:rPr>
          <w:snapToGrid w:val="0"/>
        </w:rPr>
        <w:tab/>
        <w:t xml:space="preserve">The </w:t>
      </w:r>
      <w:r>
        <w:rPr>
          <w:i/>
          <w:snapToGrid w:val="0"/>
        </w:rPr>
        <w:t>Acts Amendment (Coal Mining Industry) Act 1994</w:t>
      </w:r>
      <w:r>
        <w:rPr>
          <w:snapToGrid w:val="0"/>
        </w:rPr>
        <w:t xml:space="preserve"> s. 8(2) is a transitional provision that is of no further effect.</w:t>
      </w:r>
    </w:p>
    <w:p>
      <w:pPr>
        <w:pStyle w:val="nSubsection"/>
        <w:rPr>
          <w:snapToGrid w:val="0"/>
        </w:rPr>
      </w:pPr>
      <w:r>
        <w:rPr>
          <w:snapToGrid w:val="0"/>
          <w:vertAlign w:val="superscript"/>
        </w:rPr>
        <w:t>4</w:t>
      </w:r>
      <w:r>
        <w:rPr>
          <w:snapToGrid w:val="0"/>
        </w:rPr>
        <w:tab/>
        <w:t xml:space="preserve">The </w:t>
      </w:r>
      <w:r>
        <w:rPr>
          <w:i/>
          <w:snapToGrid w:val="0"/>
        </w:rPr>
        <w:t>Coal Industry Superannuation Amendment Act 1995</w:t>
      </w:r>
      <w:r>
        <w:rPr>
          <w:snapToGrid w:val="0"/>
        </w:rPr>
        <w:t xml:space="preserve"> s. 8(2) is a transitional provision that is of no further effect.</w:t>
      </w:r>
    </w:p>
    <w:p>
      <w:pPr>
        <w:pStyle w:val="nSubsection"/>
        <w:spacing w:before="100"/>
        <w:rPr>
          <w:snapToGrid w:val="0"/>
        </w:rPr>
      </w:pPr>
      <w:r>
        <w:rPr>
          <w:snapToGrid w:val="0"/>
          <w:vertAlign w:val="superscript"/>
        </w:rPr>
        <w:t>5</w:t>
      </w:r>
      <w:r>
        <w:rPr>
          <w:snapToGrid w:val="0"/>
        </w:rPr>
        <w:tab/>
      </w:r>
      <w:r>
        <w:t xml:space="preserve">On the date as at which this compilation was prepared, </w:t>
      </w:r>
      <w:r>
        <w:rPr>
          <w:snapToGrid w:val="0"/>
        </w:rPr>
        <w:t xml:space="preserve">the </w:t>
      </w:r>
      <w:r>
        <w:rPr>
          <w:i/>
          <w:snapToGrid w:val="0"/>
        </w:rPr>
        <w:t xml:space="preserve">Mines Safety and Inspection Amendment Act 2014 </w:t>
      </w:r>
      <w:r>
        <w:rPr>
          <w:snapToGrid w:val="0"/>
        </w:rPr>
        <w:t>Pt. 3 had not come into operation.  It reads as follows:</w:t>
      </w:r>
    </w:p>
    <w:p>
      <w:pPr>
        <w:pStyle w:val="BlankOpen"/>
        <w:rPr>
          <w:snapToGrid w:val="0"/>
        </w:rPr>
      </w:pPr>
    </w:p>
    <w:p>
      <w:pPr>
        <w:pStyle w:val="nzHeading2"/>
        <w:rPr>
          <w:rStyle w:val="CharPartText"/>
        </w:rPr>
      </w:pPr>
      <w:bookmarkStart w:id="24" w:name="_Toc387155787"/>
      <w:bookmarkStart w:id="25" w:name="_Toc387155909"/>
      <w:bookmarkStart w:id="26" w:name="_Toc387156860"/>
      <w:bookmarkStart w:id="27" w:name="_Toc387158104"/>
      <w:bookmarkStart w:id="28" w:name="_Toc387158145"/>
      <w:bookmarkStart w:id="29" w:name="_Toc387158205"/>
      <w:bookmarkStart w:id="30" w:name="_Toc387818742"/>
      <w:bookmarkStart w:id="31" w:name="_Toc404770868"/>
      <w:bookmarkStart w:id="32" w:name="_Toc405377543"/>
      <w:r>
        <w:rPr>
          <w:rStyle w:val="CharPartNo"/>
        </w:rPr>
        <w:t>Part 3</w:t>
      </w:r>
      <w:r>
        <w:rPr>
          <w:rStyle w:val="CharDivNo"/>
        </w:rPr>
        <w:t> </w:t>
      </w:r>
      <w:r>
        <w:t>—</w:t>
      </w:r>
      <w:r>
        <w:rPr>
          <w:rStyle w:val="CharDivText"/>
        </w:rPr>
        <w:t> </w:t>
      </w:r>
      <w:r>
        <w:rPr>
          <w:rStyle w:val="CharPartText"/>
          <w:i/>
        </w:rPr>
        <w:t xml:space="preserve">Coal Industry Superannuation Act 1989 </w:t>
      </w:r>
      <w:r>
        <w:rPr>
          <w:rStyle w:val="CharPartText"/>
        </w:rPr>
        <w:t>amended</w:t>
      </w:r>
      <w:bookmarkEnd w:id="24"/>
      <w:bookmarkEnd w:id="25"/>
      <w:bookmarkEnd w:id="26"/>
      <w:bookmarkEnd w:id="27"/>
      <w:bookmarkEnd w:id="28"/>
      <w:bookmarkEnd w:id="29"/>
      <w:bookmarkEnd w:id="30"/>
      <w:bookmarkEnd w:id="31"/>
      <w:bookmarkEnd w:id="32"/>
    </w:p>
    <w:p>
      <w:pPr>
        <w:pStyle w:val="nzHeading5"/>
        <w:rPr>
          <w:snapToGrid w:val="0"/>
        </w:rPr>
      </w:pPr>
      <w:bookmarkStart w:id="33" w:name="_Toc404770869"/>
      <w:bookmarkStart w:id="34" w:name="_Toc405377544"/>
      <w:r>
        <w:rPr>
          <w:rStyle w:val="CharSectno"/>
        </w:rPr>
        <w:t>19</w:t>
      </w:r>
      <w:r>
        <w:rPr>
          <w:snapToGrid w:val="0"/>
        </w:rPr>
        <w:t>.</w:t>
      </w:r>
      <w:r>
        <w:rPr>
          <w:snapToGrid w:val="0"/>
        </w:rPr>
        <w:tab/>
        <w:t>Act amended</w:t>
      </w:r>
      <w:bookmarkEnd w:id="33"/>
      <w:bookmarkEnd w:id="34"/>
    </w:p>
    <w:p>
      <w:pPr>
        <w:pStyle w:val="nzSubsection"/>
      </w:pPr>
      <w:r>
        <w:tab/>
      </w:r>
      <w:r>
        <w:tab/>
        <w:t xml:space="preserve">This Part amends the </w:t>
      </w:r>
      <w:r>
        <w:rPr>
          <w:i/>
        </w:rPr>
        <w:t>Coal Industry Superannuation Act 1989</w:t>
      </w:r>
      <w:r>
        <w:t>.</w:t>
      </w:r>
    </w:p>
    <w:p>
      <w:pPr>
        <w:pStyle w:val="nzHeading5"/>
      </w:pPr>
      <w:bookmarkStart w:id="35" w:name="_Toc404770870"/>
      <w:bookmarkStart w:id="36" w:name="_Toc405377545"/>
      <w:r>
        <w:rPr>
          <w:rStyle w:val="CharSectno"/>
        </w:rPr>
        <w:t>20</w:t>
      </w:r>
      <w:r>
        <w:t>.</w:t>
      </w:r>
      <w:r>
        <w:tab/>
        <w:t>Section 4 amended</w:t>
      </w:r>
      <w:bookmarkEnd w:id="35"/>
      <w:bookmarkEnd w:id="36"/>
    </w:p>
    <w:p>
      <w:pPr>
        <w:pStyle w:val="nzSubsection"/>
      </w:pPr>
      <w:r>
        <w:tab/>
      </w:r>
      <w:r>
        <w:tab/>
        <w:t>Delete section 4(1)(b).</w:t>
      </w:r>
    </w:p>
    <w:p>
      <w:pPr>
        <w:pStyle w:val="BlankClose"/>
      </w:pPr>
    </w:p>
    <w:p/>
    <w:p>
      <w:pPr>
        <w:sectPr>
          <w:headerReference w:type="even" r:id="rId26"/>
          <w:headerReference w:type="default" r:id="rId27"/>
          <w:headerReference w:type="first" r:id="rId28"/>
          <w:pgSz w:w="11907" w:h="16840" w:code="9"/>
          <w:pgMar w:top="2376" w:right="2405" w:bottom="3542" w:left="2405" w:header="706" w:footer="3380" w:gutter="0"/>
          <w:cols w:space="720"/>
          <w:noEndnote/>
          <w:docGrid w:linePitch="326"/>
        </w:sectPr>
      </w:pPr>
    </w:p>
    <w:p>
      <w:pPr>
        <w:pStyle w:val="nHeading2"/>
        <w:rPr>
          <w:sz w:val="28"/>
        </w:rPr>
      </w:pPr>
      <w:bookmarkStart w:id="38" w:name="_Toc415657856"/>
      <w:r>
        <w:rPr>
          <w:sz w:val="28"/>
        </w:rPr>
        <w:t>Defined terms</w:t>
      </w:r>
      <w:bookmarkEnd w:id="38"/>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coal mine</w:t>
      </w:r>
      <w:r>
        <w:tab/>
        <w:t>3(1)</w:t>
      </w:r>
    </w:p>
    <w:p>
      <w:pPr>
        <w:pStyle w:val="DefinedTerms"/>
      </w:pPr>
      <w:r>
        <w:t>employer</w:t>
      </w:r>
      <w:r>
        <w:tab/>
        <w:t>3(1)</w:t>
      </w:r>
    </w:p>
    <w:p>
      <w:pPr>
        <w:pStyle w:val="DefinedTerms"/>
      </w:pPr>
      <w:r>
        <w:t>industrial instrument</w:t>
      </w:r>
      <w:r>
        <w:tab/>
        <w:t>4(3)</w:t>
      </w:r>
    </w:p>
    <w:p>
      <w:pPr>
        <w:pStyle w:val="DefinedTerms"/>
      </w:pPr>
      <w:r>
        <w:t>mine worker</w:t>
      </w:r>
      <w:r>
        <w:tab/>
        <w:t>3(1), 4(1)</w:t>
      </w:r>
    </w:p>
    <w:p>
      <w:pPr>
        <w:pStyle w:val="DefinedTerms"/>
      </w:pPr>
      <w:r>
        <w:t>open cut</w:t>
      </w:r>
      <w:r>
        <w:tab/>
        <w:t>3(1)</w:t>
      </w:r>
    </w:p>
    <w:p>
      <w:pPr>
        <w:pStyle w:val="DefinedTerms"/>
      </w:pPr>
      <w:r>
        <w:t>registered organisation</w:t>
      </w:r>
      <w:r>
        <w:tab/>
        <w:t>4(3)</w:t>
      </w:r>
    </w:p>
    <w:p>
      <w:pPr>
        <w:pStyle w:val="DefinedTerms"/>
      </w:pPr>
      <w:r>
        <w:t xml:space="preserve">scheme </w:t>
      </w:r>
      <w:r>
        <w:tab/>
        <w:t>3(1)</w:t>
      </w:r>
    </w:p>
    <w:p>
      <w:pPr>
        <w:pStyle w:val="DefinedTerms"/>
      </w:pPr>
      <w:r>
        <w:t>scheme benefits</w:t>
      </w:r>
      <w:r>
        <w:tab/>
        <w:t>3(1)</w:t>
      </w:r>
    </w:p>
    <w:p>
      <w:pPr>
        <w:pStyle w:val="DefinedTerms"/>
      </w:pPr>
      <w:r>
        <w:t>scheme contributions</w:t>
      </w:r>
      <w:r>
        <w:tab/>
        <w:t>3(1)</w:t>
      </w:r>
    </w:p>
    <w:p>
      <w:pPr>
        <w:pStyle w:val="DefinedTerms"/>
      </w:pPr>
      <w:r>
        <w:t>SIS Act</w:t>
      </w:r>
      <w:r>
        <w:tab/>
        <w:t>3(1)</w:t>
      </w:r>
    </w:p>
    <w:p>
      <w:pPr>
        <w:pStyle w:val="DefinedTerms"/>
      </w:pPr>
      <w:r>
        <w:t>successor fund</w:t>
      </w:r>
      <w:r>
        <w:tab/>
        <w:t>3(1)</w:t>
      </w:r>
    </w:p>
    <w:p>
      <w:pPr>
        <w:pStyle w:val="DefinedTerms"/>
      </w:pPr>
      <w:r>
        <w:t>superannuation fund</w:t>
      </w:r>
      <w:r>
        <w:tab/>
        <w:t>3(1)</w:t>
      </w:r>
    </w:p>
    <w:p>
      <w:pPr>
        <w:pStyle w:val="DefinedTerms"/>
      </w:pPr>
      <w:r>
        <w:t>superannuation rules</w:t>
      </w:r>
      <w:r>
        <w:tab/>
        <w:t>3(1)</w:t>
      </w:r>
    </w:p>
    <w:p/>
    <w:p>
      <w:pPr>
        <w:sectPr>
          <w:headerReference w:type="even" r:id="rId29"/>
          <w:headerReference w:type="default" r:id="rId30"/>
          <w:pgSz w:w="11907" w:h="16840" w:code="9"/>
          <w:pgMar w:top="2381" w:right="2409" w:bottom="3543" w:left="2409" w:header="720" w:footer="3380" w:gutter="0"/>
          <w:cols w:space="720"/>
          <w:noEndnote/>
          <w:docGrid w:linePitch="326"/>
        </w:sectPr>
      </w:pPr>
    </w:p>
    <w:p/>
    <w:sectPr>
      <w:headerReference w:type="even" r:id="rId31"/>
      <w:headerReference w:type="default" r:id="rId32"/>
      <w:footerReference w:type="even" r:id="rId33"/>
      <w:footerReference w:type="default" r:id="rId34"/>
      <w:headerReference w:type="first" r:id="rId35"/>
      <w:footerReference w:type="first" r:id="rId36"/>
      <w:type w:val="continuous"/>
      <w:pgSz w:w="11907" w:h="16840" w:code="9"/>
      <w:pgMar w:top="2381" w:right="2410" w:bottom="3544" w:left="2410"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02-h0-02</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03 Dec 2014</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03 Dec 2014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02-h0-02</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03 Dec 2014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02-h0-02</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sz w:val="20"/>
      </w:rPr>
      <w:t>i</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02-h0-02</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03 Dec 2014</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03 Dec 2014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02-h0-02</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03 Dec 2014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02-h0-02</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12</w:t>
    </w:r>
    <w:r>
      <w:rPr>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02-h0-02</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03 Dec 2014</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03 Dec 2014</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02-h0-02</w:t>
    </w:r>
    <w:r>
      <w:rPr>
        <w:rFonts w:ascii="Arial" w:hAnsi="Arial" w:cs="Arial"/>
        <w:sz w:val="20"/>
      </w:rPr>
      <w:fldChar w:fldCharType="end"/>
    </w:r>
    <w:r>
      <w:rPr>
        <w:rFonts w:ascii="Arial" w:hAnsi="Arial" w:cs="Arial"/>
        <w:sz w:val="20"/>
      </w:rPr>
      <w:tab/>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13</w:t>
    </w:r>
    <w:r>
      <w:rPr>
        <w:rFonts w:ascii="Arial" w:hAnsi="Arial"/>
      </w:rPr>
      <w:fldChar w:fldCharType="end"/>
    </w:r>
  </w:p>
  <w:p>
    <w:pPr>
      <w:rPr>
        <w:sz w:val="16"/>
      </w:rPr>
    </w:pPr>
    <w:r>
      <w:rPr>
        <w:rFonts w:cs="Arial"/>
        <w:sz w:val="16"/>
        <w:szCs w:val="16"/>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 xml:space="preserve"> Styleref "Name of Act/Reg" </w:instrText>
          </w:r>
          <w:r>
            <w:rPr>
              <w:b/>
              <w:i/>
            </w:rPr>
            <w:fldChar w:fldCharType="separate"/>
          </w:r>
          <w:r>
            <w:rPr>
              <w:b/>
              <w:i/>
            </w:rPr>
            <w:t>Coal Industry Superannuation Act 1989</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Coal Industry Superannuation Act 1989</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bookmarkStart w:id="37" w:name="Compilation"/>
    <w:bookmarkEnd w:id="37"/>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Coal Industry Superannuation Act 1989</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Coal Industry Superannuation Act 1989</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39" w:name="DefinedTerms"/>
    <w:bookmarkEnd w:id="39"/>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40" w:name="Coversheet"/>
    <w:bookmarkEnd w:id="4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Coal Industry Superannuation Act 1989</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Coal Industry Superannuation Act 1989</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Coal Industry Superannuation Act 1989</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Coal Industry Superannuation Act 1989</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EAADB5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07415A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02C499E"/>
    <w:lvl w:ilvl="0">
      <w:start w:val="1"/>
      <w:numFmt w:val="decimal"/>
      <w:pStyle w:val="ListNumber3"/>
      <w:lvlText w:val="%1."/>
      <w:lvlJc w:val="left"/>
      <w:pPr>
        <w:tabs>
          <w:tab w:val="num" w:pos="926"/>
        </w:tabs>
        <w:ind w:left="926" w:hanging="360"/>
      </w:pPr>
    </w:lvl>
  </w:abstractNum>
  <w:abstractNum w:abstractNumId="3">
    <w:nsid w:val="FFFFFF7F"/>
    <w:multiLevelType w:val="singleLevel"/>
    <w:tmpl w:val="04B84872"/>
    <w:lvl w:ilvl="0">
      <w:start w:val="1"/>
      <w:numFmt w:val="decimal"/>
      <w:pStyle w:val="ListNumber2"/>
      <w:lvlText w:val="%1."/>
      <w:lvlJc w:val="left"/>
      <w:pPr>
        <w:tabs>
          <w:tab w:val="num" w:pos="643"/>
        </w:tabs>
        <w:ind w:left="643" w:hanging="360"/>
      </w:pPr>
    </w:lvl>
  </w:abstractNum>
  <w:abstractNum w:abstractNumId="4">
    <w:nsid w:val="FFFFFF80"/>
    <w:multiLevelType w:val="singleLevel"/>
    <w:tmpl w:val="05CEE89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C44AD6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14A59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3F65D7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7A1954"/>
    <w:lvl w:ilvl="0">
      <w:start w:val="1"/>
      <w:numFmt w:val="decimal"/>
      <w:pStyle w:val="ListNumber"/>
      <w:lvlText w:val="%1."/>
      <w:lvlJc w:val="left"/>
      <w:pPr>
        <w:tabs>
          <w:tab w:val="num" w:pos="360"/>
        </w:tabs>
        <w:ind w:left="360" w:hanging="360"/>
      </w:pPr>
    </w:lvl>
  </w:abstractNum>
  <w:abstractNum w:abstractNumId="9">
    <w:nsid w:val="FFFFFF89"/>
    <w:multiLevelType w:val="singleLevel"/>
    <w:tmpl w:val="FDA6662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40D0DC9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5A2E02AE"/>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1"/>
  </w:num>
  <w:num w:numId="13">
    <w:abstractNumId w:val="17"/>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0401131946"/>
    <w:docVar w:name="WAFER_20140121140720" w:val="RemoveTocBookmarks,RemoveUnusedBookmarks,RemoveLanguageTags,UsedStyles,ResetPageSize,UpdateArrangement"/>
    <w:docVar w:name="WAFER_20140121140720_GUID" w:val="777f29da-1fc1-4d7d-ae6c-6599d5cf709e"/>
    <w:docVar w:name="WAFER_20140121141040" w:val="RemoveTocBookmarks,RunningHeaders"/>
    <w:docVar w:name="WAFER_20140121141040_GUID" w:val="ad455c41-3c7b-4c71-8c48-7a0a1af9340d"/>
    <w:docVar w:name="WAFER_20140612143638" w:val="RemoveTocBookmarks,RemoveUnusedBookmarks,RemoveLanguageTags,UsedStyles,ResetPageSize,UpdateArrangement"/>
    <w:docVar w:name="WAFER_20140612143638_GUID" w:val="02aece9b-2158-48b0-ac63-26a82c608ca0"/>
    <w:docVar w:name="WAFER_20140616112522" w:val="RemoveTocBookmarks,RemoveUnusedBookmarks,RemoveLanguageTags,UsedStyles,ResetPageSize"/>
    <w:docVar w:name="WAFER_20140616112522_GUID" w:val="3b06b736-fe86-4747-a580-fea548d4d244"/>
    <w:docVar w:name="WAFER_20140627143456" w:val="RemoveTocBookmarks,RunningHeaders"/>
    <w:docVar w:name="WAFER_20140627143456_GUID" w:val="8795f595-8531-4767-aeea-6274d64b02ca"/>
    <w:docVar w:name="WAFER_20141023140047" w:val="RemoveTocBookmarks,RunningHeaders"/>
    <w:docVar w:name="WAFER_20141023140047_GUID" w:val="0c6860bd-a816-4fea-b189-5138a35d1960"/>
    <w:docVar w:name="WAFER_20141028170552" w:val="RemoveTocBookmarks,RunningHeaders"/>
    <w:docVar w:name="WAFER_20141028170552_GUID" w:val="1e3a2572-f4f9-4bc2-bfb5-b795573c6399"/>
    <w:docVar w:name="WAFER_20150401131946" w:val="ResetPageSize,UpdateArrangement,UpdateNTable"/>
    <w:docVar w:name="WAFER_20150401131946_GUID" w:val="27fd5511-fff1-40db-8ee0-fee5b2ed6ef8"/>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rPr>
      <w:rFonts w:ascii="Arial" w:hAnsi="Arial"/>
      <w:noProof/>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5"/>
      </w:numPr>
    </w:pPr>
  </w:style>
  <w:style w:type="paragraph" w:styleId="ListBullet2">
    <w:name w:val="List Bullet 2"/>
    <w:basedOn w:val="Normal"/>
    <w:autoRedefine/>
    <w:pPr>
      <w:numPr>
        <w:numId w:val="16"/>
      </w:numPr>
      <w:tabs>
        <w:tab w:val="clear" w:pos="643"/>
        <w:tab w:val="num" w:pos="720"/>
      </w:tabs>
      <w:ind w:left="720"/>
    </w:pPr>
  </w:style>
  <w:style w:type="paragraph" w:styleId="ListBullet3">
    <w:name w:val="List Bullet 3"/>
    <w:basedOn w:val="Normal"/>
    <w:autoRedefine/>
    <w:pPr>
      <w:numPr>
        <w:numId w:val="17"/>
      </w:numPr>
      <w:tabs>
        <w:tab w:val="clear" w:pos="926"/>
        <w:tab w:val="num" w:pos="1080"/>
      </w:tabs>
      <w:ind w:left="1080"/>
    </w:pPr>
  </w:style>
  <w:style w:type="paragraph" w:styleId="ListBullet4">
    <w:name w:val="List Bullet 4"/>
    <w:basedOn w:val="Normal"/>
    <w:autoRedefine/>
    <w:pPr>
      <w:numPr>
        <w:numId w:val="18"/>
      </w:numPr>
      <w:tabs>
        <w:tab w:val="clear" w:pos="1209"/>
        <w:tab w:val="num" w:pos="1440"/>
      </w:tabs>
      <w:ind w:left="1440"/>
    </w:pPr>
  </w:style>
  <w:style w:type="paragraph" w:styleId="ListBullet5">
    <w:name w:val="List Bullet 5"/>
    <w:basedOn w:val="Normal"/>
    <w:autoRedefine/>
    <w:pPr>
      <w:numPr>
        <w:numId w:val="19"/>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Normal"/>
    <w:pPr>
      <w:numPr>
        <w:numId w:val="21"/>
      </w:numPr>
      <w:tabs>
        <w:tab w:val="clear" w:pos="643"/>
        <w:tab w:val="num" w:pos="720"/>
      </w:tabs>
      <w:ind w:left="720"/>
    </w:pPr>
  </w:style>
  <w:style w:type="paragraph" w:styleId="ListNumber3">
    <w:name w:val="List Number 3"/>
    <w:basedOn w:val="Normal"/>
    <w:pPr>
      <w:numPr>
        <w:numId w:val="22"/>
      </w:numPr>
      <w:tabs>
        <w:tab w:val="clear" w:pos="926"/>
        <w:tab w:val="num" w:pos="1080"/>
      </w:tabs>
      <w:ind w:left="1080"/>
    </w:pPr>
  </w:style>
  <w:style w:type="paragraph" w:styleId="ListNumber4">
    <w:name w:val="List Number 4"/>
    <w:basedOn w:val="Normal"/>
    <w:pPr>
      <w:numPr>
        <w:numId w:val="23"/>
      </w:numPr>
      <w:tabs>
        <w:tab w:val="clear" w:pos="1209"/>
        <w:tab w:val="num" w:pos="1440"/>
      </w:tabs>
      <w:ind w:left="1440"/>
    </w:pPr>
  </w:style>
  <w:style w:type="paragraph" w:styleId="ListNumber5">
    <w:name w:val="List Number 5"/>
    <w:basedOn w:val="Normal"/>
    <w:pPr>
      <w:numPr>
        <w:numId w:val="24"/>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yEdnotepart">
    <w:name w:val="yEdnote(part)"/>
    <w:basedOn w:val="Ednotepart"/>
  </w:style>
  <w:style w:type="paragraph" w:customStyle="1" w:styleId="PrincipalActRegPage1">
    <w:name w:val="PrincipalAct_Reg(Page 1)"/>
    <w:pPr>
      <w:spacing w:before="2600"/>
      <w:jc w:val="center"/>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rPr>
      <w:rFonts w:ascii="Arial" w:hAnsi="Arial"/>
      <w:noProof/>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5"/>
      </w:numPr>
    </w:pPr>
  </w:style>
  <w:style w:type="paragraph" w:styleId="ListBullet2">
    <w:name w:val="List Bullet 2"/>
    <w:basedOn w:val="Normal"/>
    <w:autoRedefine/>
    <w:pPr>
      <w:numPr>
        <w:numId w:val="16"/>
      </w:numPr>
      <w:tabs>
        <w:tab w:val="clear" w:pos="643"/>
        <w:tab w:val="num" w:pos="720"/>
      </w:tabs>
      <w:ind w:left="720"/>
    </w:pPr>
  </w:style>
  <w:style w:type="paragraph" w:styleId="ListBullet3">
    <w:name w:val="List Bullet 3"/>
    <w:basedOn w:val="Normal"/>
    <w:autoRedefine/>
    <w:pPr>
      <w:numPr>
        <w:numId w:val="17"/>
      </w:numPr>
      <w:tabs>
        <w:tab w:val="clear" w:pos="926"/>
        <w:tab w:val="num" w:pos="1080"/>
      </w:tabs>
      <w:ind w:left="1080"/>
    </w:pPr>
  </w:style>
  <w:style w:type="paragraph" w:styleId="ListBullet4">
    <w:name w:val="List Bullet 4"/>
    <w:basedOn w:val="Normal"/>
    <w:autoRedefine/>
    <w:pPr>
      <w:numPr>
        <w:numId w:val="18"/>
      </w:numPr>
      <w:tabs>
        <w:tab w:val="clear" w:pos="1209"/>
        <w:tab w:val="num" w:pos="1440"/>
      </w:tabs>
      <w:ind w:left="1440"/>
    </w:pPr>
  </w:style>
  <w:style w:type="paragraph" w:styleId="ListBullet5">
    <w:name w:val="List Bullet 5"/>
    <w:basedOn w:val="Normal"/>
    <w:autoRedefine/>
    <w:pPr>
      <w:numPr>
        <w:numId w:val="19"/>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Normal"/>
    <w:pPr>
      <w:numPr>
        <w:numId w:val="21"/>
      </w:numPr>
      <w:tabs>
        <w:tab w:val="clear" w:pos="643"/>
        <w:tab w:val="num" w:pos="720"/>
      </w:tabs>
      <w:ind w:left="720"/>
    </w:pPr>
  </w:style>
  <w:style w:type="paragraph" w:styleId="ListNumber3">
    <w:name w:val="List Number 3"/>
    <w:basedOn w:val="Normal"/>
    <w:pPr>
      <w:numPr>
        <w:numId w:val="22"/>
      </w:numPr>
      <w:tabs>
        <w:tab w:val="clear" w:pos="926"/>
        <w:tab w:val="num" w:pos="1080"/>
      </w:tabs>
      <w:ind w:left="1080"/>
    </w:pPr>
  </w:style>
  <w:style w:type="paragraph" w:styleId="ListNumber4">
    <w:name w:val="List Number 4"/>
    <w:basedOn w:val="Normal"/>
    <w:pPr>
      <w:numPr>
        <w:numId w:val="23"/>
      </w:numPr>
      <w:tabs>
        <w:tab w:val="clear" w:pos="1209"/>
        <w:tab w:val="num" w:pos="1440"/>
      </w:tabs>
      <w:ind w:left="1440"/>
    </w:pPr>
  </w:style>
  <w:style w:type="paragraph" w:styleId="ListNumber5">
    <w:name w:val="List Number 5"/>
    <w:basedOn w:val="Normal"/>
    <w:pPr>
      <w:numPr>
        <w:numId w:val="24"/>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yEdnotepart">
    <w:name w:val="yEdnote(part)"/>
    <w:basedOn w:val="Ednotepart"/>
  </w:style>
  <w:style w:type="paragraph" w:customStyle="1" w:styleId="PrincipalActRegPage1">
    <w:name w:val="PrincipalAct_Reg(Page 1)"/>
    <w:pPr>
      <w:spacing w:before="2600"/>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9.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6.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footer" Target="foot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2765</Words>
  <Characters>13026</Characters>
  <Application>Microsoft Office Word</Application>
  <DocSecurity>0</DocSecurity>
  <Lines>449</Lines>
  <Paragraphs>281</Paragraphs>
  <ScaleCrop>false</ScaleCrop>
  <HeadingPairs>
    <vt:vector size="2" baseType="variant">
      <vt:variant>
        <vt:lpstr>Title</vt:lpstr>
      </vt:variant>
      <vt:variant>
        <vt:i4>1</vt:i4>
      </vt:variant>
    </vt:vector>
  </HeadingPairs>
  <TitlesOfParts>
    <vt:vector size="1" baseType="lpstr">
      <vt:lpstr>Coal Industry Superannuation Act 1989</vt:lpstr>
    </vt:vector>
  </TitlesOfParts>
  <Company>Ministry of Justice</Company>
  <LinksUpToDate>false</LinksUpToDate>
  <CharactersWithSpaces>15510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Coal Industry Superannuation Act 1989 - 02-h0-02</dc:title>
  <dc:subject>ActIF_C</dc:subject>
  <dc:creator>Matthew Pether</dc:creator>
  <cp:lastModifiedBy>svcMRProcess</cp:lastModifiedBy>
  <cp:revision>4</cp:revision>
  <cp:lastPrinted>2006-07-26T06:43:00Z</cp:lastPrinted>
  <dcterms:created xsi:type="dcterms:W3CDTF">2015-04-01T08:17:00Z</dcterms:created>
  <dcterms:modified xsi:type="dcterms:W3CDTF">2015-04-01T08:17:00Z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28 of 1989</vt:lpwstr>
  </property>
  <property fmtid="{D5CDD505-2E9C-101B-9397-08002B2CF9AE}" pid="3" name="CommencementDate">
    <vt:lpwstr>20141203</vt:lpwstr>
  </property>
  <property fmtid="{D5CDD505-2E9C-101B-9397-08002B2CF9AE}" pid="4" name="DocumentType">
    <vt:lpwstr>Act</vt:lpwstr>
  </property>
  <property fmtid="{D5CDD505-2E9C-101B-9397-08002B2CF9AE}" pid="5" name="OwlsUID">
    <vt:i4>138</vt:i4>
  </property>
  <property fmtid="{D5CDD505-2E9C-101B-9397-08002B2CF9AE}" pid="6" name="AsAtDate">
    <vt:lpwstr>03 Dec 2014</vt:lpwstr>
  </property>
  <property fmtid="{D5CDD505-2E9C-101B-9397-08002B2CF9AE}" pid="7" name="Suffix">
    <vt:lpwstr>02-h0-02</vt:lpwstr>
  </property>
</Properties>
</file>