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2" name="Picture 1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1500" w:after="2200"/>
        <w:outlineLvl w:val="0"/>
      </w:pPr>
      <w:r>
        <w:fldChar w:fldCharType="begin"/>
      </w:r>
      <w:r>
        <w:instrText xml:space="preserve"> STYLEREF "Name Of Act/Reg"</w:instrText>
      </w:r>
      <w:r>
        <w:fldChar w:fldCharType="separate"/>
      </w:r>
      <w:r>
        <w:rPr>
          <w:noProof/>
        </w:rPr>
        <w:t>Northam Cemeteries Act 1944</w:t>
      </w:r>
      <w:r>
        <w:fldChar w:fldCharType="end"/>
      </w:r>
    </w:p>
    <w:p>
      <w:pPr>
        <w:pStyle w:val="Subsection"/>
        <w:rPr>
          <w:color w:val="000000"/>
          <w:sz w:val="22"/>
          <w:szCs w:val="22"/>
        </w:rPr>
      </w:pPr>
      <w:r>
        <w:rPr>
          <w:color w:val="000000"/>
          <w:sz w:val="22"/>
          <w:szCs w:val="22"/>
        </w:rPr>
        <w:tab/>
      </w:r>
      <w:r>
        <w:rPr>
          <w:color w:val="000000"/>
          <w:sz w:val="22"/>
          <w:szCs w:val="22"/>
        </w:rPr>
        <w:tab/>
        <w:t xml:space="preserve">This Act was repealed by the </w:t>
      </w:r>
      <w:r>
        <w:rPr>
          <w:i/>
          <w:iCs/>
          <w:color w:val="000000"/>
          <w:sz w:val="22"/>
          <w:szCs w:val="22"/>
        </w:rPr>
        <w:t>Statutes (Repeals) Act 2014</w:t>
      </w:r>
      <w:r>
        <w:rPr>
          <w:color w:val="000000"/>
          <w:sz w:val="22"/>
          <w:szCs w:val="22"/>
        </w:rPr>
        <w:t xml:space="preserve"> s. 3 (No. 32 of 2014) as at 4 Dec 2014 (see s. 2(b)).</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Northam Cemeteries Act 1944</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_Toc425855850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Lands revested in His Majesty</w:t>
      </w:r>
      <w:r>
        <w:tab/>
      </w:r>
      <w:r>
        <w:fldChar w:fldCharType="begin"/>
      </w:r>
      <w:r>
        <w:instrText xml:space="preserve"> PAGEREF _Toc425855851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Lands revested to be added to reserve to be appointed a public cemetery and placed under the control of the Northam Road Board</w:t>
      </w:r>
      <w:r>
        <w:tab/>
      </w:r>
      <w:r>
        <w:fldChar w:fldCharType="begin"/>
      </w:r>
      <w:r>
        <w:instrText xml:space="preserve"> PAGEREF _Toc425855852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Schedule — Cemetery land</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_Toc425855855 \h </w:instrText>
      </w:r>
      <w:r>
        <w:fldChar w:fldCharType="separate"/>
      </w:r>
      <w:r>
        <w:t>5</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lastRenderedPageBreak/>
        <w:t>Western Australia</w:t>
      </w:r>
    </w:p>
    <w:p>
      <w:pPr>
        <w:pStyle w:val="NameofActReg"/>
      </w:pPr>
      <w:r>
        <w:t xml:space="preserve">Northam Cemeteries Act 1944 </w:t>
      </w:r>
    </w:p>
    <w:p>
      <w:pPr>
        <w:pStyle w:val="LongTitle"/>
        <w:rPr>
          <w:snapToGrid w:val="0"/>
        </w:rPr>
      </w:pPr>
      <w:r>
        <w:rPr>
          <w:snapToGrid w:val="0"/>
        </w:rPr>
        <w:t xml:space="preserve">An Act to revest certain lands in His Majesty and for other purposes relative thereto. </w:t>
      </w:r>
    </w:p>
    <w:p>
      <w:pPr>
        <w:pStyle w:val="Preamble1"/>
        <w:rPr>
          <w:snapToGrid w:val="0"/>
        </w:rPr>
      </w:pPr>
      <w:r>
        <w:t>Preamble</w:t>
      </w:r>
    </w:p>
    <w:p>
      <w:pPr>
        <w:pStyle w:val="Preamble2"/>
        <w:rPr>
          <w:snapToGrid w:val="0"/>
        </w:rPr>
      </w:pPr>
      <w:r>
        <w:rPr>
          <w:snapToGrid w:val="0"/>
        </w:rPr>
        <w:t>Whereas the lands described in the first and second columns of the Schedule hereto are vested in various religious bodies or trustees as set out in the third column of the said Schedule for the purposes set out in the fourth column of the said Schedule; And whereas it is desirable to revest such lands in His Majesty with intent that the same may be added to and form part of reserve and together therewith be appointed a public cemetery:</w:t>
      </w:r>
    </w:p>
    <w:p>
      <w:pPr>
        <w:pStyle w:val="Footnotepreamble"/>
      </w:pPr>
      <w:r>
        <w:tab/>
        <w:t>[Preamble amended by No. 19 of 2010 s. 50.]</w:t>
      </w:r>
    </w:p>
    <w:p>
      <w:pPr>
        <w:pStyle w:val="Enactment"/>
        <w:rPr>
          <w:snapToGrid w:val="0"/>
        </w:rPr>
      </w:pPr>
      <w:r>
        <w:rPr>
          <w:snapToGrid w:val="0"/>
        </w:rPr>
        <w:t xml:space="preserve">Be it therefore enacted by the King’s Most Excellent Majesty, by and with the advice and consent of the Legislative Council and the Legislative Assembly of Western Australia, in this present Parliament assembled and by the authority of the same as follows: —  </w:t>
      </w:r>
    </w:p>
    <w:p>
      <w:pPr>
        <w:pStyle w:val="Heading5"/>
        <w:rPr>
          <w:snapToGrid w:val="0"/>
        </w:rPr>
      </w:pPr>
      <w:bookmarkStart w:id="3" w:name="_Toc377389168"/>
      <w:bookmarkStart w:id="4" w:name="_Toc425855850"/>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Northam Cemeteries Act 1944</w:t>
      </w:r>
      <w:r>
        <w:rPr>
          <w:snapToGrid w:val="0"/>
        </w:rPr>
        <w:t>.</w:t>
      </w:r>
    </w:p>
    <w:p>
      <w:pPr>
        <w:pStyle w:val="Heading5"/>
        <w:rPr>
          <w:snapToGrid w:val="0"/>
        </w:rPr>
      </w:pPr>
      <w:bookmarkStart w:id="5" w:name="_Toc377389169"/>
      <w:bookmarkStart w:id="6" w:name="_Toc425855851"/>
      <w:r>
        <w:rPr>
          <w:rStyle w:val="CharSectno"/>
        </w:rPr>
        <w:t>2</w:t>
      </w:r>
      <w:r>
        <w:rPr>
          <w:snapToGrid w:val="0"/>
        </w:rPr>
        <w:t>.</w:t>
      </w:r>
      <w:r>
        <w:rPr>
          <w:snapToGrid w:val="0"/>
        </w:rPr>
        <w:tab/>
        <w:t>Lands revested in His Majesty</w:t>
      </w:r>
      <w:bookmarkEnd w:id="5"/>
      <w:bookmarkEnd w:id="6"/>
      <w:r>
        <w:rPr>
          <w:snapToGrid w:val="0"/>
        </w:rPr>
        <w:t xml:space="preserve"> </w:t>
      </w:r>
    </w:p>
    <w:p>
      <w:pPr>
        <w:pStyle w:val="Subsection"/>
        <w:rPr>
          <w:snapToGrid w:val="0"/>
        </w:rPr>
      </w:pPr>
      <w:r>
        <w:rPr>
          <w:snapToGrid w:val="0"/>
        </w:rPr>
        <w:tab/>
      </w:r>
      <w:r>
        <w:rPr>
          <w:snapToGrid w:val="0"/>
        </w:rPr>
        <w:tab/>
        <w:t>From and after the commencement of this Act all rights of property which may have at any time been vested by statute or otherwise in the persons or corporations mentioned in the third column of the Schedule to this Act or in any other person or persons or corporation whatsoever in any part of the lands described in the first and second columns of the said Schedule shall absolutely cease and determine and the whole of the said lands and all the right and title in law or in equity thereto shall be and the same are hereby vested in His Majesty freed and released from all and every trusts or trust affecting the same.</w:t>
      </w:r>
    </w:p>
    <w:p>
      <w:pPr>
        <w:pStyle w:val="Heading5"/>
        <w:rPr>
          <w:snapToGrid w:val="0"/>
        </w:rPr>
      </w:pPr>
      <w:bookmarkStart w:id="7" w:name="_Toc377389170"/>
      <w:bookmarkStart w:id="8" w:name="_Toc425855852"/>
      <w:r>
        <w:rPr>
          <w:rStyle w:val="CharSectno"/>
        </w:rPr>
        <w:t>3</w:t>
      </w:r>
      <w:r>
        <w:rPr>
          <w:snapToGrid w:val="0"/>
        </w:rPr>
        <w:t>.</w:t>
      </w:r>
      <w:r>
        <w:rPr>
          <w:snapToGrid w:val="0"/>
        </w:rPr>
        <w:tab/>
        <w:t>Lands revested to be added to reserve to be appointed a public cemetery and placed under the control of the Northam Road Board</w:t>
      </w:r>
      <w:bookmarkEnd w:id="7"/>
      <w:bookmarkEnd w:id="8"/>
      <w:r>
        <w:rPr>
          <w:snapToGrid w:val="0"/>
        </w:rPr>
        <w:t xml:space="preserve"> </w:t>
      </w:r>
    </w:p>
    <w:p>
      <w:pPr>
        <w:pStyle w:val="Subsection"/>
        <w:rPr>
          <w:snapToGrid w:val="0"/>
        </w:rPr>
      </w:pPr>
      <w:r>
        <w:rPr>
          <w:snapToGrid w:val="0"/>
        </w:rPr>
        <w:tab/>
      </w:r>
      <w:r>
        <w:rPr>
          <w:snapToGrid w:val="0"/>
        </w:rPr>
        <w:tab/>
        <w:t xml:space="preserve">The said lands when vested in His Majesty as aforesaid shall forthwith be added to and become part of reserve and thereafter the said reserve shall be appointed a public cemetery under and for the purposes of the </w:t>
      </w:r>
      <w:r>
        <w:rPr>
          <w:i/>
          <w:snapToGrid w:val="0"/>
        </w:rPr>
        <w:t>Cemeteries Act 1897</w:t>
      </w:r>
      <w:r>
        <w:rPr>
          <w:snapToGrid w:val="0"/>
        </w:rPr>
        <w:t>, and shall be placed under the control of the Shire of Northam as the Trustee thereof.</w:t>
      </w:r>
    </w:p>
    <w:p>
      <w:pPr>
        <w:pStyle w:val="Footnotesection"/>
      </w:pPr>
      <w:r>
        <w:tab/>
        <w:t xml:space="preserve">[Section 3 amended by No. 14 of 1996 s.4.] </w:t>
      </w:r>
    </w:p>
    <w:p>
      <w:pPr>
        <w:rPr>
          <w:rStyle w:val="CharDivText"/>
        </w:rPr>
        <w:sectPr>
          <w:headerReference w:type="even" r:id="rId21"/>
          <w:headerReference w:type="default" r:id="rId22"/>
          <w:footerReference w:type="default" r:id="rId23"/>
          <w:headerReference w:type="first" r:id="rId24"/>
          <w:pgSz w:w="11907" w:h="16840" w:code="9"/>
          <w:pgMar w:top="2376" w:right="2405" w:bottom="3542" w:left="2405" w:header="706" w:footer="3380" w:gutter="0"/>
          <w:pgNumType w:start="1"/>
          <w:cols w:space="720"/>
          <w:noEndnote/>
          <w:titlePg/>
          <w:docGrid w:linePitch="326"/>
        </w:sectPr>
      </w:pPr>
    </w:p>
    <w:p>
      <w:pPr>
        <w:pStyle w:val="yScheduleHeading"/>
      </w:pPr>
      <w:bookmarkStart w:id="9" w:name="_Toc377389171"/>
      <w:bookmarkStart w:id="10" w:name="_Toc425855853"/>
      <w:r>
        <w:rPr>
          <w:rStyle w:val="CharSchNo"/>
        </w:rPr>
        <w:t>Schedule</w:t>
      </w:r>
      <w:r>
        <w:t xml:space="preserve"> — </w:t>
      </w:r>
      <w:r>
        <w:rPr>
          <w:rStyle w:val="CharSchText"/>
        </w:rPr>
        <w:t>Cemetery land</w:t>
      </w:r>
      <w:bookmarkEnd w:id="9"/>
      <w:bookmarkEnd w:id="10"/>
    </w:p>
    <w:p>
      <w:pPr>
        <w:pStyle w:val="yShoulderClause"/>
        <w:rPr>
          <w:snapToGrid w:val="0"/>
        </w:rPr>
      </w:pPr>
      <w:r>
        <w:rPr>
          <w:snapToGrid w:val="0"/>
        </w:rPr>
        <w:t>[s. 2]</w:t>
      </w:r>
    </w:p>
    <w:p>
      <w:pPr>
        <w:pStyle w:val="yFootnotesection"/>
        <w:spacing w:after="80"/>
      </w:pPr>
      <w:r>
        <w:tab/>
        <w:t>[Heading amended by No. 19 of 2010 s. 4.]</w:t>
      </w:r>
    </w:p>
    <w:tbl>
      <w:tblPr>
        <w:tblW w:w="0" w:type="auto"/>
        <w:tblInd w:w="70" w:type="dxa"/>
        <w:tblLayout w:type="fixed"/>
        <w:tblCellMar>
          <w:left w:w="70" w:type="dxa"/>
          <w:right w:w="70" w:type="dxa"/>
        </w:tblCellMar>
        <w:tblLook w:val="0000" w:firstRow="0" w:lastRow="0" w:firstColumn="0" w:lastColumn="0" w:noHBand="0" w:noVBand="0"/>
      </w:tblPr>
      <w:tblGrid>
        <w:gridCol w:w="1134"/>
        <w:gridCol w:w="1276"/>
        <w:gridCol w:w="3260"/>
        <w:gridCol w:w="1418"/>
      </w:tblGrid>
      <w:tr>
        <w:trPr>
          <w:tblHeader/>
        </w:trPr>
        <w:tc>
          <w:tcPr>
            <w:tcW w:w="1134" w:type="dxa"/>
            <w:tcBorders>
              <w:top w:val="single" w:sz="4" w:space="0" w:color="auto"/>
              <w:bottom w:val="single" w:sz="4" w:space="0" w:color="auto"/>
            </w:tcBorders>
          </w:tcPr>
          <w:p>
            <w:pPr>
              <w:pStyle w:val="yTable"/>
              <w:jc w:val="center"/>
            </w:pPr>
            <w:r>
              <w:t>Land</w:t>
            </w:r>
          </w:p>
        </w:tc>
        <w:tc>
          <w:tcPr>
            <w:tcW w:w="1276" w:type="dxa"/>
            <w:tcBorders>
              <w:top w:val="single" w:sz="4" w:space="0" w:color="auto"/>
              <w:bottom w:val="single" w:sz="4" w:space="0" w:color="auto"/>
            </w:tcBorders>
          </w:tcPr>
          <w:p>
            <w:pPr>
              <w:pStyle w:val="yTable"/>
              <w:jc w:val="center"/>
            </w:pPr>
            <w:r>
              <w:t>Reference</w:t>
            </w:r>
          </w:p>
        </w:tc>
        <w:tc>
          <w:tcPr>
            <w:tcW w:w="3260" w:type="dxa"/>
            <w:tcBorders>
              <w:top w:val="single" w:sz="4" w:space="0" w:color="auto"/>
              <w:bottom w:val="single" w:sz="4" w:space="0" w:color="auto"/>
            </w:tcBorders>
          </w:tcPr>
          <w:p>
            <w:pPr>
              <w:pStyle w:val="yTable"/>
              <w:jc w:val="center"/>
            </w:pPr>
            <w:r>
              <w:t>Proprietors</w:t>
            </w:r>
          </w:p>
        </w:tc>
        <w:tc>
          <w:tcPr>
            <w:tcW w:w="1418" w:type="dxa"/>
            <w:tcBorders>
              <w:top w:val="single" w:sz="4" w:space="0" w:color="auto"/>
              <w:bottom w:val="single" w:sz="4" w:space="0" w:color="auto"/>
            </w:tcBorders>
          </w:tcPr>
          <w:p>
            <w:pPr>
              <w:pStyle w:val="yTable"/>
              <w:jc w:val="center"/>
            </w:pPr>
            <w:r>
              <w:t>Purpose of Grant</w:t>
            </w:r>
          </w:p>
        </w:tc>
      </w:tr>
      <w:tr>
        <w:tc>
          <w:tcPr>
            <w:tcW w:w="1134" w:type="dxa"/>
          </w:tcPr>
          <w:p>
            <w:pPr>
              <w:pStyle w:val="yTable"/>
            </w:pPr>
            <w:r>
              <w:t>Northam</w:t>
            </w:r>
          </w:p>
          <w:p>
            <w:pPr>
              <w:pStyle w:val="yTable"/>
              <w:spacing w:before="0"/>
            </w:pPr>
            <w:r>
              <w:t>Sub</w:t>
            </w:r>
            <w:r>
              <w:noBreakHyphen/>
              <w:t xml:space="preserve">lot </w:t>
            </w:r>
          </w:p>
          <w:p>
            <w:pPr>
              <w:pStyle w:val="yTable"/>
              <w:spacing w:before="0"/>
            </w:pPr>
            <w:r>
              <w:t>N 48</w:t>
            </w:r>
          </w:p>
        </w:tc>
        <w:tc>
          <w:tcPr>
            <w:tcW w:w="1276" w:type="dxa"/>
          </w:tcPr>
          <w:p>
            <w:pPr>
              <w:pStyle w:val="yTable"/>
            </w:pPr>
            <w:r>
              <w:t>Enrolment 1551</w:t>
            </w:r>
          </w:p>
        </w:tc>
        <w:tc>
          <w:tcPr>
            <w:tcW w:w="3260" w:type="dxa"/>
          </w:tcPr>
          <w:p>
            <w:pPr>
              <w:pStyle w:val="yTable"/>
            </w:pPr>
            <w:r>
              <w:t>Reverend Joseph Johnston of Fremantle, Clerk; Henry Trigg of Perth, Gentleman; Lewis Birch, the elder, of Perth, Yeoman, and James Dyer of the same place, general Dealer, as trustees for the general body of Christians known by the denomination of Congregationalists or Independents</w:t>
            </w:r>
          </w:p>
        </w:tc>
        <w:tc>
          <w:tcPr>
            <w:tcW w:w="1418" w:type="dxa"/>
          </w:tcPr>
          <w:p>
            <w:pPr>
              <w:pStyle w:val="yTable"/>
            </w:pPr>
            <w:r>
              <w:t>Cemetery.</w:t>
            </w:r>
          </w:p>
        </w:tc>
      </w:tr>
      <w:tr>
        <w:tc>
          <w:tcPr>
            <w:tcW w:w="1134" w:type="dxa"/>
          </w:tcPr>
          <w:p>
            <w:pPr>
              <w:pStyle w:val="yTable"/>
            </w:pPr>
            <w:r>
              <w:t>Northam</w:t>
            </w:r>
          </w:p>
          <w:p>
            <w:pPr>
              <w:pStyle w:val="yTable"/>
              <w:spacing w:before="0"/>
            </w:pPr>
            <w:r>
              <w:t>Sub</w:t>
            </w:r>
            <w:r>
              <w:noBreakHyphen/>
              <w:t xml:space="preserve">lot </w:t>
            </w:r>
          </w:p>
          <w:p>
            <w:pPr>
              <w:pStyle w:val="yTable"/>
              <w:spacing w:before="0"/>
            </w:pPr>
            <w:r>
              <w:t>N 49</w:t>
            </w:r>
          </w:p>
        </w:tc>
        <w:tc>
          <w:tcPr>
            <w:tcW w:w="1276" w:type="dxa"/>
          </w:tcPr>
          <w:p>
            <w:pPr>
              <w:pStyle w:val="yTable"/>
            </w:pPr>
            <w:r>
              <w:t>Enrolment 1547</w:t>
            </w:r>
          </w:p>
        </w:tc>
        <w:tc>
          <w:tcPr>
            <w:tcW w:w="3260" w:type="dxa"/>
          </w:tcPr>
          <w:p>
            <w:pPr>
              <w:pStyle w:val="yTable"/>
            </w:pPr>
            <w:r>
              <w:t>Reverend Samuel Hardy of Perth, Clerk; William Lowe of York, Clerk; John Wall Hardey of Grove Cottage near Perth aforesaid, Esquire; Joseph Hardey of the Peninsula near Perth, Gentleman, and George Shenton and Anthony Helmich of Perth, Esquires, as Trustees for the general body of Christians known by the denomination of Wesleyans</w:t>
            </w:r>
          </w:p>
        </w:tc>
        <w:tc>
          <w:tcPr>
            <w:tcW w:w="1418" w:type="dxa"/>
          </w:tcPr>
          <w:p>
            <w:pPr>
              <w:pStyle w:val="yTable"/>
            </w:pPr>
            <w:r>
              <w:t>Cemetery.</w:t>
            </w:r>
          </w:p>
        </w:tc>
      </w:tr>
      <w:tr>
        <w:tc>
          <w:tcPr>
            <w:tcW w:w="1134" w:type="dxa"/>
          </w:tcPr>
          <w:p>
            <w:pPr>
              <w:pStyle w:val="yTable"/>
            </w:pPr>
            <w:r>
              <w:t>Northam</w:t>
            </w:r>
          </w:p>
          <w:p>
            <w:pPr>
              <w:pStyle w:val="yTable"/>
              <w:spacing w:before="0"/>
            </w:pPr>
            <w:r>
              <w:t>Sub</w:t>
            </w:r>
            <w:r>
              <w:noBreakHyphen/>
              <w:t>lot</w:t>
            </w:r>
          </w:p>
          <w:p>
            <w:pPr>
              <w:pStyle w:val="yTable"/>
              <w:spacing w:before="0"/>
            </w:pPr>
            <w:r>
              <w:t>N 50</w:t>
            </w:r>
          </w:p>
        </w:tc>
        <w:tc>
          <w:tcPr>
            <w:tcW w:w="1276" w:type="dxa"/>
          </w:tcPr>
          <w:p>
            <w:pPr>
              <w:pStyle w:val="yTable"/>
            </w:pPr>
            <w:r>
              <w:t>Enrolment 1545</w:t>
            </w:r>
          </w:p>
        </w:tc>
        <w:tc>
          <w:tcPr>
            <w:tcW w:w="3260" w:type="dxa"/>
          </w:tcPr>
          <w:p>
            <w:pPr>
              <w:pStyle w:val="yTable"/>
            </w:pPr>
            <w:r>
              <w:t>Reverend George Purves Pownall of Perth, Clerk, Colonial Chaplain; Frederick Palgrave Barlee, John Septimus Roe, Anthony O’Grady Lefroy, George Frederick Stone, William Wright, Francis Lockee of the same place, Esquires, and John Bruce of the same place, Esquire, a Staff Officer of Pensioners, as Trustees of church property</w:t>
            </w:r>
          </w:p>
        </w:tc>
        <w:tc>
          <w:tcPr>
            <w:tcW w:w="1418" w:type="dxa"/>
          </w:tcPr>
          <w:p>
            <w:pPr>
              <w:pStyle w:val="yTable"/>
            </w:pPr>
            <w:r>
              <w:t>Cemetery.</w:t>
            </w:r>
          </w:p>
        </w:tc>
      </w:tr>
      <w:tr>
        <w:tc>
          <w:tcPr>
            <w:tcW w:w="1134" w:type="dxa"/>
          </w:tcPr>
          <w:p>
            <w:pPr>
              <w:pStyle w:val="yTable"/>
              <w:keepNext/>
              <w:keepLines/>
            </w:pPr>
            <w:r>
              <w:t>Northam</w:t>
            </w:r>
          </w:p>
          <w:p>
            <w:pPr>
              <w:pStyle w:val="yTable"/>
              <w:keepNext/>
              <w:keepLines/>
              <w:spacing w:before="0"/>
            </w:pPr>
            <w:r>
              <w:t>sub</w:t>
            </w:r>
            <w:r>
              <w:noBreakHyphen/>
              <w:t>lot 97</w:t>
            </w:r>
          </w:p>
        </w:tc>
        <w:tc>
          <w:tcPr>
            <w:tcW w:w="1276" w:type="dxa"/>
          </w:tcPr>
          <w:p>
            <w:pPr>
              <w:pStyle w:val="yTable"/>
              <w:keepNext/>
              <w:keepLines/>
            </w:pPr>
            <w:r>
              <w:t>Volume 120, Folio 4</w:t>
            </w:r>
          </w:p>
        </w:tc>
        <w:tc>
          <w:tcPr>
            <w:tcW w:w="3260" w:type="dxa"/>
          </w:tcPr>
          <w:p>
            <w:pPr>
              <w:pStyle w:val="yTable"/>
              <w:keepNext/>
              <w:keepLines/>
            </w:pPr>
            <w:r>
              <w:t>The Diocesan Trustees of the Church of England in Western Australia</w:t>
            </w:r>
          </w:p>
        </w:tc>
        <w:tc>
          <w:tcPr>
            <w:tcW w:w="1418" w:type="dxa"/>
          </w:tcPr>
          <w:p>
            <w:pPr>
              <w:pStyle w:val="yTable"/>
              <w:keepNext/>
              <w:keepLines/>
            </w:pPr>
            <w:r>
              <w:t>Ecclesiastical purposes in connection with the Church of England in Western Australia.</w:t>
            </w:r>
          </w:p>
        </w:tc>
      </w:tr>
      <w:tr>
        <w:tc>
          <w:tcPr>
            <w:tcW w:w="1134" w:type="dxa"/>
            <w:tcBorders>
              <w:bottom w:val="single" w:sz="4" w:space="0" w:color="auto"/>
            </w:tcBorders>
          </w:tcPr>
          <w:p>
            <w:pPr>
              <w:pStyle w:val="yTable"/>
            </w:pPr>
            <w:r>
              <w:t>Avon</w:t>
            </w:r>
          </w:p>
          <w:p>
            <w:pPr>
              <w:pStyle w:val="yTable"/>
              <w:spacing w:before="0"/>
            </w:pPr>
            <w:r>
              <w:t>location</w:t>
            </w:r>
          </w:p>
          <w:p>
            <w:pPr>
              <w:pStyle w:val="yTable"/>
              <w:spacing w:before="0"/>
            </w:pPr>
            <w:r>
              <w:t>20511</w:t>
            </w:r>
          </w:p>
        </w:tc>
        <w:tc>
          <w:tcPr>
            <w:tcW w:w="1276" w:type="dxa"/>
            <w:tcBorders>
              <w:bottom w:val="single" w:sz="4" w:space="0" w:color="auto"/>
            </w:tcBorders>
          </w:tcPr>
          <w:p>
            <w:pPr>
              <w:pStyle w:val="yTable"/>
            </w:pPr>
            <w:r>
              <w:t>Volume 503, Folio 2</w:t>
            </w:r>
          </w:p>
        </w:tc>
        <w:tc>
          <w:tcPr>
            <w:tcW w:w="3260" w:type="dxa"/>
            <w:tcBorders>
              <w:bottom w:val="single" w:sz="4" w:space="0" w:color="auto"/>
            </w:tcBorders>
          </w:tcPr>
          <w:p>
            <w:pPr>
              <w:pStyle w:val="yTable"/>
            </w:pPr>
            <w:r>
              <w:t>The Roman Catholic Bishop of Perth</w:t>
            </w:r>
          </w:p>
        </w:tc>
        <w:tc>
          <w:tcPr>
            <w:tcW w:w="1418" w:type="dxa"/>
            <w:tcBorders>
              <w:bottom w:val="single" w:sz="4" w:space="0" w:color="auto"/>
            </w:tcBorders>
          </w:tcPr>
          <w:p>
            <w:pPr>
              <w:pStyle w:val="yTable"/>
            </w:pPr>
            <w:r>
              <w:t>No purpose disclosed.</w:t>
            </w:r>
          </w:p>
        </w:tc>
      </w:tr>
    </w:tbl>
    <w:p>
      <w:pP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pPr>
        <w:pStyle w:val="nHeading2"/>
      </w:pPr>
      <w:bookmarkStart w:id="12" w:name="_Toc377389172"/>
      <w:bookmarkStart w:id="13" w:name="_Toc425855854"/>
      <w:r>
        <w:t>Notes</w:t>
      </w:r>
      <w:bookmarkEnd w:id="12"/>
      <w:bookmarkEnd w:id="13"/>
    </w:p>
    <w:p>
      <w:pPr>
        <w:pStyle w:val="nSubsection"/>
        <w:rPr>
          <w:snapToGrid w:val="0"/>
        </w:rPr>
      </w:pPr>
      <w:r>
        <w:rPr>
          <w:snapToGrid w:val="0"/>
          <w:vertAlign w:val="superscript"/>
        </w:rPr>
        <w:t>1</w:t>
      </w:r>
      <w:r>
        <w:rPr>
          <w:snapToGrid w:val="0"/>
        </w:rPr>
        <w:tab/>
        <w:t xml:space="preserve">This is a compilation of the </w:t>
      </w:r>
      <w:r>
        <w:rPr>
          <w:i/>
          <w:snapToGrid w:val="0"/>
        </w:rPr>
        <w:t>Northam Cemeteries Act 1944</w:t>
      </w:r>
      <w:r>
        <w:rPr>
          <w:snapToGrid w:val="0"/>
        </w:rPr>
        <w:t xml:space="preserve"> and includes the amendments made by the other written laws referred to in the following table.</w:t>
      </w:r>
    </w:p>
    <w:p>
      <w:pPr>
        <w:pStyle w:val="nHeading3"/>
        <w:rPr>
          <w:snapToGrid w:val="0"/>
        </w:rPr>
      </w:pPr>
      <w:bookmarkStart w:id="14" w:name="_Toc377389173"/>
      <w:bookmarkStart w:id="15" w:name="_Toc425855855"/>
      <w:r>
        <w:rPr>
          <w:snapToGrid w:val="0"/>
        </w:rPr>
        <w:t>Compilation table</w:t>
      </w:r>
      <w:bookmarkEnd w:id="14"/>
      <w:bookmarkEnd w:id="15"/>
    </w:p>
    <w:tbl>
      <w:tblPr>
        <w:tblW w:w="0" w:type="auto"/>
        <w:tblInd w:w="28" w:type="dxa"/>
        <w:tblLayout w:type="fixed"/>
        <w:tblCellMar>
          <w:left w:w="56" w:type="dxa"/>
          <w:right w:w="56" w:type="dxa"/>
        </w:tblCellMar>
        <w:tblLook w:val="0000" w:firstRow="0" w:lastRow="0" w:firstColumn="0" w:lastColumn="0" w:noHBand="0" w:noVBand="0"/>
      </w:tblPr>
      <w:tblGrid>
        <w:gridCol w:w="2273"/>
        <w:gridCol w:w="1138"/>
        <w:gridCol w:w="1135"/>
        <w:gridCol w:w="2553"/>
        <w:gridCol w:w="16"/>
      </w:tblGrid>
      <w:tr>
        <w:trPr>
          <w:tblHeader/>
        </w:trPr>
        <w:tc>
          <w:tcPr>
            <w:tcW w:w="2273" w:type="dxa"/>
            <w:tcBorders>
              <w:top w:val="single" w:sz="8" w:space="0" w:color="auto"/>
              <w:bottom w:val="single" w:sz="8" w:space="0" w:color="auto"/>
            </w:tcBorders>
          </w:tcPr>
          <w:p>
            <w:pPr>
              <w:pStyle w:val="nTable"/>
              <w:spacing w:after="40"/>
              <w:rPr>
                <w:b/>
              </w:rPr>
            </w:pPr>
            <w:r>
              <w:rPr>
                <w:b/>
              </w:rPr>
              <w:t>Short title</w:t>
            </w:r>
          </w:p>
        </w:tc>
        <w:tc>
          <w:tcPr>
            <w:tcW w:w="1138" w:type="dxa"/>
            <w:tcBorders>
              <w:top w:val="single" w:sz="8" w:space="0" w:color="auto"/>
              <w:bottom w:val="single" w:sz="8" w:space="0" w:color="auto"/>
            </w:tcBorders>
          </w:tcPr>
          <w:p>
            <w:pPr>
              <w:pStyle w:val="nTable"/>
              <w:spacing w:after="40"/>
              <w:rPr>
                <w:b/>
              </w:rPr>
            </w:pPr>
            <w:r>
              <w:rPr>
                <w:b/>
              </w:rPr>
              <w:t>Number and year</w:t>
            </w:r>
          </w:p>
        </w:tc>
        <w:tc>
          <w:tcPr>
            <w:tcW w:w="1135" w:type="dxa"/>
            <w:tcBorders>
              <w:top w:val="single" w:sz="8" w:space="0" w:color="auto"/>
              <w:bottom w:val="single" w:sz="8" w:space="0" w:color="auto"/>
            </w:tcBorders>
          </w:tcPr>
          <w:p>
            <w:pPr>
              <w:pStyle w:val="nTable"/>
              <w:spacing w:after="40"/>
              <w:rPr>
                <w:b/>
              </w:rPr>
            </w:pPr>
            <w:r>
              <w:rPr>
                <w:b/>
              </w:rPr>
              <w:t>Assent</w:t>
            </w:r>
          </w:p>
        </w:tc>
        <w:tc>
          <w:tcPr>
            <w:tcW w:w="2569" w:type="dxa"/>
            <w:gridSpan w:val="2"/>
            <w:tcBorders>
              <w:top w:val="single" w:sz="8" w:space="0" w:color="auto"/>
              <w:bottom w:val="single" w:sz="8" w:space="0" w:color="auto"/>
            </w:tcBorders>
          </w:tcPr>
          <w:p>
            <w:pPr>
              <w:pStyle w:val="nTable"/>
              <w:spacing w:after="40"/>
              <w:rPr>
                <w:b/>
              </w:rPr>
            </w:pPr>
            <w:r>
              <w:rPr>
                <w:b/>
              </w:rPr>
              <w:t>Commencement</w:t>
            </w:r>
          </w:p>
        </w:tc>
      </w:tr>
      <w:tr>
        <w:tc>
          <w:tcPr>
            <w:tcW w:w="2273" w:type="dxa"/>
          </w:tcPr>
          <w:p>
            <w:pPr>
              <w:pStyle w:val="nTable"/>
              <w:spacing w:after="40"/>
            </w:pPr>
            <w:r>
              <w:rPr>
                <w:i/>
              </w:rPr>
              <w:t>Northam Cemeteries Act 1944</w:t>
            </w:r>
          </w:p>
        </w:tc>
        <w:tc>
          <w:tcPr>
            <w:tcW w:w="1138" w:type="dxa"/>
          </w:tcPr>
          <w:p>
            <w:pPr>
              <w:pStyle w:val="nTable"/>
              <w:spacing w:after="40"/>
            </w:pPr>
            <w:r>
              <w:t>4 of 1944</w:t>
            </w:r>
          </w:p>
        </w:tc>
        <w:tc>
          <w:tcPr>
            <w:tcW w:w="1135" w:type="dxa"/>
          </w:tcPr>
          <w:p>
            <w:pPr>
              <w:pStyle w:val="nTable"/>
              <w:spacing w:after="40"/>
            </w:pPr>
            <w:r>
              <w:t>12 Oct 1944</w:t>
            </w:r>
          </w:p>
        </w:tc>
        <w:tc>
          <w:tcPr>
            <w:tcW w:w="2569" w:type="dxa"/>
            <w:gridSpan w:val="2"/>
          </w:tcPr>
          <w:p>
            <w:pPr>
              <w:pStyle w:val="nTable"/>
              <w:spacing w:after="40"/>
            </w:pPr>
            <w:r>
              <w:t>12 Oct 1944</w:t>
            </w:r>
          </w:p>
        </w:tc>
      </w:tr>
      <w:tr>
        <w:tc>
          <w:tcPr>
            <w:tcW w:w="2273" w:type="dxa"/>
          </w:tcPr>
          <w:p>
            <w:pPr>
              <w:pStyle w:val="nTable"/>
              <w:spacing w:after="40"/>
            </w:pPr>
            <w:r>
              <w:rPr>
                <w:i/>
              </w:rPr>
              <w:t>Local Government (Consequential Amendments) Act 1996</w:t>
            </w:r>
            <w:r>
              <w:t xml:space="preserve"> s. 4</w:t>
            </w:r>
          </w:p>
        </w:tc>
        <w:tc>
          <w:tcPr>
            <w:tcW w:w="1138" w:type="dxa"/>
          </w:tcPr>
          <w:p>
            <w:pPr>
              <w:pStyle w:val="nTable"/>
              <w:spacing w:after="40"/>
            </w:pPr>
            <w:r>
              <w:t>14 of 1996</w:t>
            </w:r>
          </w:p>
        </w:tc>
        <w:tc>
          <w:tcPr>
            <w:tcW w:w="1135" w:type="dxa"/>
          </w:tcPr>
          <w:p>
            <w:pPr>
              <w:pStyle w:val="nTable"/>
              <w:spacing w:after="40"/>
            </w:pPr>
            <w:r>
              <w:t>28 Jun 1996</w:t>
            </w:r>
          </w:p>
        </w:tc>
        <w:tc>
          <w:tcPr>
            <w:tcW w:w="2569" w:type="dxa"/>
            <w:gridSpan w:val="2"/>
          </w:tcPr>
          <w:p>
            <w:pPr>
              <w:pStyle w:val="nTable"/>
              <w:spacing w:after="40"/>
            </w:pPr>
            <w:r>
              <w:t>1 Jul 1996 (see s. 2)</w:t>
            </w:r>
          </w:p>
        </w:tc>
      </w:tr>
      <w:tr>
        <w:trPr>
          <w:gridAfter w:val="1"/>
          <w:wAfter w:w="16" w:type="dxa"/>
          <w:cantSplit/>
        </w:trPr>
        <w:tc>
          <w:tcPr>
            <w:tcW w:w="2273" w:type="dxa"/>
          </w:tcPr>
          <w:p>
            <w:pPr>
              <w:pStyle w:val="nTable"/>
              <w:spacing w:after="40"/>
              <w:ind w:right="113"/>
              <w:rPr>
                <w:iCs/>
                <w:snapToGrid w:val="0"/>
              </w:rPr>
            </w:pPr>
            <w:r>
              <w:rPr>
                <w:i/>
                <w:snapToGrid w:val="0"/>
              </w:rPr>
              <w:t>Standardisation of Formatting Act 2010</w:t>
            </w:r>
            <w:r>
              <w:rPr>
                <w:iCs/>
                <w:snapToGrid w:val="0"/>
              </w:rPr>
              <w:t xml:space="preserve"> s. 4 and 50</w:t>
            </w:r>
          </w:p>
        </w:tc>
        <w:tc>
          <w:tcPr>
            <w:tcW w:w="1138" w:type="dxa"/>
          </w:tcPr>
          <w:p>
            <w:pPr>
              <w:pStyle w:val="nTable"/>
              <w:spacing w:after="40"/>
              <w:rPr>
                <w:snapToGrid w:val="0"/>
              </w:rPr>
            </w:pPr>
            <w:r>
              <w:rPr>
                <w:snapToGrid w:val="0"/>
              </w:rPr>
              <w:t>19 of 2010</w:t>
            </w:r>
          </w:p>
        </w:tc>
        <w:tc>
          <w:tcPr>
            <w:tcW w:w="1135" w:type="dxa"/>
          </w:tcPr>
          <w:p>
            <w:pPr>
              <w:pStyle w:val="nTable"/>
              <w:spacing w:after="40"/>
              <w:rPr>
                <w:snapToGrid w:val="0"/>
              </w:rPr>
            </w:pPr>
            <w:r>
              <w:rPr>
                <w:snapToGrid w:val="0"/>
              </w:rPr>
              <w:t>28 Jun 2010</w:t>
            </w:r>
          </w:p>
        </w:tc>
        <w:tc>
          <w:tcPr>
            <w:tcW w:w="2553"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gridAfter w:val="1"/>
          <w:wAfter w:w="16" w:type="dxa"/>
          <w:cantSplit/>
        </w:trPr>
        <w:tc>
          <w:tcPr>
            <w:tcW w:w="7099" w:type="dxa"/>
            <w:gridSpan w:val="4"/>
            <w:tcBorders>
              <w:bottom w:val="single" w:sz="4" w:space="0" w:color="auto"/>
            </w:tcBorders>
          </w:tcPr>
          <w:p>
            <w:pPr>
              <w:pStyle w:val="nTable"/>
              <w:spacing w:after="40"/>
              <w:rPr>
                <w:snapToGrid w:val="0"/>
              </w:rPr>
            </w:pPr>
            <w:r>
              <w:rPr>
                <w:b/>
                <w:snapToGrid w:val="0"/>
                <w:color w:val="FF0000"/>
              </w:rPr>
              <w:t xml:space="preserve">This Act was repealed by the </w:t>
            </w:r>
            <w:r>
              <w:rPr>
                <w:b/>
                <w:i/>
                <w:snapToGrid w:val="0"/>
                <w:color w:val="FF0000"/>
              </w:rPr>
              <w:t>Statutes (Repeals) Act 2014</w:t>
            </w:r>
            <w:r>
              <w:rPr>
                <w:b/>
                <w:snapToGrid w:val="0"/>
                <w:color w:val="FF0000"/>
              </w:rPr>
              <w:t xml:space="preserve"> s. 3 (No. 32 of 2014) as at 4 Dec 2014 (see s. 2(b))</w:t>
            </w:r>
          </w:p>
        </w:tc>
      </w:tr>
    </w:tbl>
    <w:p/>
    <w:p>
      <w:pPr>
        <w:sectPr>
          <w:headerReference w:type="even" r:id="rId28"/>
          <w:headerReference w:type="default" r:id="rId29"/>
          <w:headerReference w:type="first" r:id="rId30"/>
          <w:pgSz w:w="11907" w:h="16840" w:code="9"/>
          <w:pgMar w:top="2376" w:right="2404" w:bottom="3544" w:left="2404" w:header="720" w:footer="3380" w:gutter="0"/>
          <w:cols w:space="720"/>
          <w:noEndnote/>
          <w:docGrid w:linePitch="326"/>
        </w:sectPr>
      </w:pPr>
    </w:p>
    <w:p/>
    <w:sectPr>
      <w:headerReference w:type="even" r:id="rId31"/>
      <w:headerReference w:type="default" r:id="rId32"/>
      <w:footerReference w:type="even" r:id="rId33"/>
      <w:footerReference w:type="default" r:id="rId34"/>
      <w:headerReference w:type="first" r:id="rId35"/>
      <w:footerReference w:type="first" r:id="rId36"/>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00-d0-03</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04 Dec 2014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04 Dec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00-d0-03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04 Dec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00-d0-03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00-d0-03</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04 Dec 2014</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04 Dec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00-d0-03</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04 Dec 2014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00-d0-03</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Ceased on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Dec 2014</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00-d0-03</w:t>
    </w:r>
    <w:r>
      <w:rPr>
        <w:rFonts w:ascii="Arial" w:hAnsi="Arial" w:cs="Arial"/>
        <w:sz w:val="20"/>
        <w:lang w:val="en-US"/>
      </w:rPr>
      <w:fldChar w:fldCharType="end"/>
    </w:r>
    <w:r>
      <w:rPr>
        <w:rFonts w:ascii="Arial" w:hAnsi="Arial" w:cs="Arial"/>
        <w:sz w:val="20"/>
        <w:lang w:val="en-US"/>
      </w:rPr>
      <w:tab/>
      <w:t xml:space="preserve">page </w:t>
    </w:r>
    <w:r>
      <w:fldChar w:fldCharType="begin"/>
    </w:r>
    <w:r>
      <w:instrText xml:space="preserve"> PAGE </w:instrText>
    </w:r>
    <w:r>
      <w:fldChar w:fldCharType="separate"/>
    </w:r>
    <w:r>
      <w:rPr>
        <w:noProof/>
      </w:rPr>
      <w:t>5</w:t>
    </w:r>
    <w:r>
      <w:fldChar w:fldCharType="end"/>
    </w:r>
  </w:p>
  <w:p>
    <w:pPr>
      <w:rPr>
        <w:sz w:val="16"/>
      </w:rPr>
    </w:pPr>
    <w:r>
      <w:rPr>
        <w:rFonts w:cs="Arial"/>
        <w:sz w:val="16"/>
        <w:szCs w:val="16"/>
        <w:lang w:val="en-US"/>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Northam Cemeteries Act 1944</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Northam Cemeteries Act 1944</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1" w:name="Schedule"/>
    <w:bookmarkEnd w:id="11"/>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Northam Cemeteries Act 1944</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Northam Cemeteries Act 1944</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6" w:name="Compilation"/>
    <w:bookmarkEnd w:id="16"/>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7" w:name="Coversheet"/>
    <w:bookmarkEnd w:id="1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Northam Cemeteries Act 1944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Northam Cemeteries Act 1944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Northam Cemeteries Act 1944</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Northam Cemeteries Act 1944</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E808B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730BF9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6F6C5B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FD8C77F6"/>
    <w:lvl w:ilvl="0">
      <w:start w:val="1"/>
      <w:numFmt w:val="decimal"/>
      <w:pStyle w:val="ListNumber2"/>
      <w:lvlText w:val="%1."/>
      <w:lvlJc w:val="left"/>
      <w:pPr>
        <w:tabs>
          <w:tab w:val="num" w:pos="720"/>
        </w:tabs>
        <w:ind w:left="720" w:hanging="360"/>
      </w:pPr>
    </w:lvl>
  </w:abstractNum>
  <w:abstractNum w:abstractNumId="4">
    <w:nsid w:val="FFFFFF80"/>
    <w:multiLevelType w:val="singleLevel"/>
    <w:tmpl w:val="4A5C33D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67C000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BDACEFC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9F8732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5E8A380"/>
    <w:lvl w:ilvl="0">
      <w:start w:val="1"/>
      <w:numFmt w:val="decimal"/>
      <w:pStyle w:val="ListNumber"/>
      <w:lvlText w:val="%1."/>
      <w:lvlJc w:val="left"/>
      <w:pPr>
        <w:tabs>
          <w:tab w:val="num" w:pos="360"/>
        </w:tabs>
        <w:ind w:left="360" w:hanging="360"/>
      </w:pPr>
    </w:lvl>
  </w:abstractNum>
  <w:abstractNum w:abstractNumId="9">
    <w:nsid w:val="FFFFFF89"/>
    <w:multiLevelType w:val="singleLevel"/>
    <w:tmpl w:val="BD18B25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046CFA1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8"/>
  </w:num>
  <w:num w:numId="13">
    <w:abstractNumId w:val="1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revisionView w:formatting="0"/>
  <w:defaultTabStop w:val="720"/>
  <w:doNotHyphenateCaps/>
  <w:evenAndOddHeaders/>
  <w:drawingGridHorizontalSpacing w:val="110"/>
  <w:drawingGridVerticalSpacing w:val="299"/>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30172705"/>
    <w:docVar w:name="WAFER_20140113145828" w:val="RemoveTocBookmarks,RemoveUnusedBookmarks,RemoveLanguageTags,UsedStyles,ResetPageSize,UpdateArrangement"/>
    <w:docVar w:name="WAFER_20140113145828_GUID" w:val="91bc569b-ce0a-4f2d-b3ec-0839e25e6f03"/>
    <w:docVar w:name="WAFER_20140113145833" w:val="RemoveTocBookmarks,RunningHeaders"/>
    <w:docVar w:name="WAFER_20140113145833_GUID" w:val="d59ee868-ede8-4c7a-b6ab-84cae828b306"/>
    <w:docVar w:name="WAFER_20150728134500" w:val="ResetPageSize,UpdateArrangement,UpdateNTable"/>
    <w:docVar w:name="WAFER_20150728134500_GUID" w:val="67eaec37-7837-4e04-9b23-23ace0f95034"/>
    <w:docVar w:name="WAFER_20151116125445" w:val="UpdateStyles,UsedStyles"/>
    <w:docVar w:name="WAFER_20151116125445_GUID" w:val="98730265-f69a-4ce6-b392-66b806dc6fe5"/>
    <w:docVar w:name="WAFER_20151130172705" w:val="RemoveTrackChanges"/>
    <w:docVar w:name="WAFER_20151130172705_GUID" w:val="99d377ef-66d2-49ad-9839-4a1070c67f86"/>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BillFor">
    <w:name w:val="ABillFor"/>
    <w:basedOn w:val="Normal"/>
    <w:pPr>
      <w:spacing w:before="240" w:after="600"/>
      <w:jc w:val="center"/>
    </w:pPr>
    <w:rPr>
      <w:b/>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5"/>
      </w:numPr>
    </w:pPr>
  </w:style>
  <w:style w:type="paragraph" w:styleId="ListBullet2">
    <w:name w:val="List Bullet 2"/>
    <w:basedOn w:val="Normal"/>
    <w:autoRedefine/>
    <w:semiHidden/>
    <w:pPr>
      <w:numPr>
        <w:numId w:val="26"/>
      </w:numPr>
    </w:pPr>
  </w:style>
  <w:style w:type="paragraph" w:styleId="ListBullet3">
    <w:name w:val="List Bullet 3"/>
    <w:basedOn w:val="Normal"/>
    <w:autoRedefine/>
    <w:semiHidden/>
    <w:pPr>
      <w:numPr>
        <w:numId w:val="27"/>
      </w:numPr>
    </w:pPr>
  </w:style>
  <w:style w:type="paragraph" w:styleId="ListBullet4">
    <w:name w:val="List Bullet 4"/>
    <w:basedOn w:val="Normal"/>
    <w:autoRedefine/>
    <w:semiHidden/>
    <w:pPr>
      <w:numPr>
        <w:numId w:val="28"/>
      </w:numPr>
    </w:pPr>
  </w:style>
  <w:style w:type="paragraph" w:styleId="ListBullet5">
    <w:name w:val="List Bullet 5"/>
    <w:basedOn w:val="Normal"/>
    <w:autoRedefine/>
    <w:semiHidden/>
    <w:pPr>
      <w:numPr>
        <w:numId w:val="2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0"/>
      </w:numPr>
    </w:pPr>
  </w:style>
  <w:style w:type="paragraph" w:styleId="ListNumber2">
    <w:name w:val="List Number 2"/>
    <w:basedOn w:val="Normal"/>
    <w:semiHidden/>
    <w:pPr>
      <w:numPr>
        <w:numId w:val="31"/>
      </w:numPr>
    </w:pPr>
  </w:style>
  <w:style w:type="paragraph" w:styleId="ListNumber3">
    <w:name w:val="List Number 3"/>
    <w:basedOn w:val="Normal"/>
    <w:semiHidden/>
    <w:pPr>
      <w:numPr>
        <w:numId w:val="32"/>
      </w:numPr>
    </w:pPr>
  </w:style>
  <w:style w:type="paragraph" w:styleId="ListNumber4">
    <w:name w:val="List Number 4"/>
    <w:basedOn w:val="Normal"/>
    <w:semiHidden/>
    <w:pPr>
      <w:numPr>
        <w:numId w:val="33"/>
      </w:numPr>
    </w:pPr>
  </w:style>
  <w:style w:type="paragraph" w:styleId="ListNumber5">
    <w:name w:val="List Number 5"/>
    <w:basedOn w:val="Normal"/>
    <w:semiHidden/>
    <w:pPr>
      <w:numPr>
        <w:numId w:val="3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t">
    <w:name w:val="zTable t"/>
    <w:basedOn w:val="Table"/>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ABillFor">
    <w:name w:val="ABillFor"/>
    <w:basedOn w:val="Normal"/>
    <w:pPr>
      <w:spacing w:before="240" w:after="600"/>
      <w:jc w:val="center"/>
    </w:pPr>
    <w:rPr>
      <w:b/>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5"/>
      </w:numPr>
    </w:pPr>
  </w:style>
  <w:style w:type="paragraph" w:styleId="ListBullet2">
    <w:name w:val="List Bullet 2"/>
    <w:basedOn w:val="Normal"/>
    <w:autoRedefine/>
    <w:semiHidden/>
    <w:pPr>
      <w:numPr>
        <w:numId w:val="26"/>
      </w:numPr>
    </w:pPr>
  </w:style>
  <w:style w:type="paragraph" w:styleId="ListBullet3">
    <w:name w:val="List Bullet 3"/>
    <w:basedOn w:val="Normal"/>
    <w:autoRedefine/>
    <w:semiHidden/>
    <w:pPr>
      <w:numPr>
        <w:numId w:val="27"/>
      </w:numPr>
    </w:pPr>
  </w:style>
  <w:style w:type="paragraph" w:styleId="ListBullet4">
    <w:name w:val="List Bullet 4"/>
    <w:basedOn w:val="Normal"/>
    <w:autoRedefine/>
    <w:semiHidden/>
    <w:pPr>
      <w:numPr>
        <w:numId w:val="28"/>
      </w:numPr>
    </w:pPr>
  </w:style>
  <w:style w:type="paragraph" w:styleId="ListBullet5">
    <w:name w:val="List Bullet 5"/>
    <w:basedOn w:val="Normal"/>
    <w:autoRedefine/>
    <w:semiHidden/>
    <w:pPr>
      <w:numPr>
        <w:numId w:val="2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30"/>
      </w:numPr>
    </w:pPr>
  </w:style>
  <w:style w:type="paragraph" w:styleId="ListNumber2">
    <w:name w:val="List Number 2"/>
    <w:basedOn w:val="Normal"/>
    <w:semiHidden/>
    <w:pPr>
      <w:numPr>
        <w:numId w:val="31"/>
      </w:numPr>
    </w:pPr>
  </w:style>
  <w:style w:type="paragraph" w:styleId="ListNumber3">
    <w:name w:val="List Number 3"/>
    <w:basedOn w:val="Normal"/>
    <w:semiHidden/>
    <w:pPr>
      <w:numPr>
        <w:numId w:val="32"/>
      </w:numPr>
    </w:pPr>
  </w:style>
  <w:style w:type="paragraph" w:styleId="ListNumber4">
    <w:name w:val="List Number 4"/>
    <w:basedOn w:val="Normal"/>
    <w:semiHidden/>
    <w:pPr>
      <w:numPr>
        <w:numId w:val="33"/>
      </w:numPr>
    </w:pPr>
  </w:style>
  <w:style w:type="paragraph" w:styleId="ListNumber5">
    <w:name w:val="List Number 5"/>
    <w:basedOn w:val="Normal"/>
    <w:semiHidden/>
    <w:pPr>
      <w:numPr>
        <w:numId w:val="3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Equation">
    <w:name w:val="Equation"/>
    <w:rPr>
      <w:noProof/>
      <w:sz w:val="24"/>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rPr>
  </w:style>
  <w:style w:type="paragraph" w:customStyle="1" w:styleId="ReprintNo">
    <w:name w:val="ReprintNo"/>
    <w:rPr>
      <w:b/>
      <w:noProof/>
      <w:sz w:val="28"/>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t">
    <w:name w:val="zTable t"/>
    <w:basedOn w:val="Table"/>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8.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7.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3.xml"/><Relationship Id="rId36"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906</Words>
  <Characters>4315</Characters>
  <Application>Microsoft Office Word</Application>
  <DocSecurity>0</DocSecurity>
  <Lines>196</Lines>
  <Paragraphs>108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Northam Cemeteries Act 1944 - 00-d0-03</dc:title>
  <dc:subject/>
  <dc:creator/>
  <cp:keywords/>
  <dc:description/>
  <cp:lastModifiedBy>svcMRProcess</cp:lastModifiedBy>
  <cp:revision>4</cp:revision>
  <cp:lastPrinted>1998-01-06T02:46:00Z</cp:lastPrinted>
  <dcterms:created xsi:type="dcterms:W3CDTF">2015-12-01T02:10:00Z</dcterms:created>
  <dcterms:modified xsi:type="dcterms:W3CDTF">2015-12-01T02:10:00Z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 of 1944</vt:lpwstr>
  </property>
  <property fmtid="{D5CDD505-2E9C-101B-9397-08002B2CF9AE}" pid="3" name="CommencementDate">
    <vt:lpwstr>20141204</vt:lpwstr>
  </property>
  <property fmtid="{D5CDD505-2E9C-101B-9397-08002B2CF9AE}" pid="4" name="DocumentType">
    <vt:lpwstr>Act</vt:lpwstr>
  </property>
  <property fmtid="{D5CDD505-2E9C-101B-9397-08002B2CF9AE}" pid="5" name="AsAtDate">
    <vt:lpwstr>04 Dec 2014</vt:lpwstr>
  </property>
  <property fmtid="{D5CDD505-2E9C-101B-9397-08002B2CF9AE}" pid="6" name="Suffix">
    <vt:lpwstr>00-d0-03</vt:lpwstr>
  </property>
  <property fmtid="{D5CDD505-2E9C-101B-9397-08002B2CF9AE}" pid="7" name="Status">
    <vt:lpwstr>NIF</vt:lpwstr>
  </property>
</Properties>
</file>