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Rules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Rules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_Toc525016596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_Toc525016597 \h </w:instrText>
      </w:r>
      <w:r>
        <w:fldChar w:fldCharType="separate"/>
      </w:r>
      <w:r>
        <w:t>1</w:t>
      </w:r>
      <w:r>
        <w:fldChar w:fldCharType="end"/>
      </w:r>
    </w:p>
    <w:p>
      <w:pPr>
        <w:pStyle w:val="TOC8"/>
        <w:rPr>
          <w:rFonts w:asciiTheme="minorHAnsi" w:eastAsiaTheme="minorEastAsia" w:hAnsiTheme="minorHAnsi" w:cstheme="minorBidi"/>
          <w:szCs w:val="22"/>
        </w:rPr>
      </w:pPr>
      <w:r>
        <w:t>3A.</w:t>
      </w:r>
      <w:r>
        <w:tab/>
        <w:t>Supervised legal practice</w:t>
      </w:r>
      <w:r>
        <w:tab/>
      </w:r>
      <w:r>
        <w:fldChar w:fldCharType="begin"/>
      </w:r>
      <w:r>
        <w:instrText xml:space="preserve"> PAGEREF _Toc525016598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Australian legal practitioners</w:t>
      </w:r>
    </w:p>
    <w:p>
      <w:pPr>
        <w:pStyle w:val="TOC4"/>
        <w:tabs>
          <w:tab w:val="right" w:leader="dot" w:pos="7086"/>
        </w:tabs>
        <w:rPr>
          <w:rFonts w:asciiTheme="minorHAnsi" w:eastAsiaTheme="minorEastAsia" w:hAnsiTheme="minorHAnsi" w:cstheme="minorBidi"/>
          <w:b w:val="0"/>
          <w:szCs w:val="22"/>
        </w:rPr>
      </w:pPr>
      <w:r>
        <w:t>Division 1 — Grant or renewal of local practising certificates</w:t>
      </w:r>
    </w:p>
    <w:p>
      <w:pPr>
        <w:pStyle w:val="TOC8"/>
        <w:rPr>
          <w:rFonts w:asciiTheme="minorHAnsi" w:eastAsiaTheme="minorEastAsia" w:hAnsiTheme="minorHAnsi" w:cstheme="minorBidi"/>
          <w:szCs w:val="22"/>
        </w:rPr>
      </w:pPr>
      <w:r>
        <w:t>3.</w:t>
      </w:r>
      <w:r>
        <w:tab/>
        <w:t>Application for grant or renewal of local practising certificate (s. 43(1))</w:t>
      </w:r>
      <w:r>
        <w:tab/>
      </w:r>
      <w:r>
        <w:fldChar w:fldCharType="begin"/>
      </w:r>
      <w:r>
        <w:instrText xml:space="preserve"> PAGEREF _Toc525016601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application for grant of local practising certificate (s. 43(1)(b))</w:t>
      </w:r>
      <w:r>
        <w:tab/>
      </w:r>
      <w:r>
        <w:fldChar w:fldCharType="begin"/>
      </w:r>
      <w:r>
        <w:instrText xml:space="preserve"> PAGEREF _Toc525016602 \h </w:instrText>
      </w:r>
      <w:r>
        <w:fldChar w:fldCharType="separate"/>
      </w:r>
      <w:r>
        <w:t>2</w:t>
      </w:r>
      <w:r>
        <w:fldChar w:fldCharType="end"/>
      </w:r>
    </w:p>
    <w:p>
      <w:pPr>
        <w:pStyle w:val="TOC8"/>
        <w:rPr>
          <w:rFonts w:asciiTheme="minorHAnsi" w:eastAsiaTheme="minorEastAsia" w:hAnsiTheme="minorHAnsi" w:cstheme="minorBidi"/>
          <w:szCs w:val="22"/>
        </w:rPr>
      </w:pPr>
      <w:r>
        <w:t>5.</w:t>
      </w:r>
      <w:r>
        <w:tab/>
        <w:t>Timing of application for renewal of local practising certificate (s. 44)</w:t>
      </w:r>
      <w:r>
        <w:tab/>
      </w:r>
      <w:r>
        <w:fldChar w:fldCharType="begin"/>
      </w:r>
      <w:r>
        <w:instrText xml:space="preserve"> PAGEREF _Toc525016603 \h </w:instrText>
      </w:r>
      <w:r>
        <w:fldChar w:fldCharType="separate"/>
      </w:r>
      <w:r>
        <w:t>3</w:t>
      </w:r>
      <w:r>
        <w:fldChar w:fldCharType="end"/>
      </w:r>
    </w:p>
    <w:p>
      <w:pPr>
        <w:pStyle w:val="TOC8"/>
        <w:rPr>
          <w:rFonts w:asciiTheme="minorHAnsi" w:eastAsiaTheme="minorEastAsia" w:hAnsiTheme="minorHAnsi" w:cstheme="minorBidi"/>
          <w:szCs w:val="22"/>
        </w:rPr>
      </w:pPr>
      <w:r>
        <w:t>6.</w:t>
      </w:r>
      <w:r>
        <w:tab/>
        <w:t>Notification of change of details</w:t>
      </w:r>
      <w:r>
        <w:tab/>
      </w:r>
      <w:r>
        <w:fldChar w:fldCharType="begin"/>
      </w:r>
      <w:r>
        <w:instrText xml:space="preserve"> PAGEREF _Toc525016604 \h </w:instrText>
      </w:r>
      <w:r>
        <w:fldChar w:fldCharType="separate"/>
      </w:r>
      <w:r>
        <w:t>3</w:t>
      </w:r>
      <w:r>
        <w:fldChar w:fldCharType="end"/>
      </w:r>
    </w:p>
    <w:p>
      <w:pPr>
        <w:pStyle w:val="TOC8"/>
        <w:rPr>
          <w:rFonts w:asciiTheme="minorHAnsi" w:eastAsiaTheme="minorEastAsia" w:hAnsiTheme="minorHAnsi" w:cstheme="minorBidi"/>
          <w:szCs w:val="22"/>
        </w:rPr>
      </w:pPr>
      <w:r>
        <w:t>7A.</w:t>
      </w:r>
      <w:r>
        <w:tab/>
        <w:t>Contributions to Guarantee Fund (s. 337)</w:t>
      </w:r>
      <w:r>
        <w:tab/>
      </w:r>
      <w:r>
        <w:fldChar w:fldCharType="begin"/>
      </w:r>
      <w:r>
        <w:instrText xml:space="preserve"> PAGEREF _Toc525016605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Condition on local practising certificates: continuing professional development</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_Toc525016607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 on practising certificates: practitioner must complete professional development</w:t>
      </w:r>
      <w:r>
        <w:tab/>
      </w:r>
      <w:r>
        <w:fldChar w:fldCharType="begin"/>
      </w:r>
      <w:r>
        <w:instrText xml:space="preserve"> PAGEREF _Toc525016608 \h </w:instrText>
      </w:r>
      <w:r>
        <w:fldChar w:fldCharType="separate"/>
      </w:r>
      <w:r>
        <w:t>5</w:t>
      </w:r>
      <w:r>
        <w:fldChar w:fldCharType="end"/>
      </w:r>
    </w:p>
    <w:p>
      <w:pPr>
        <w:pStyle w:val="TOC8"/>
        <w:rPr>
          <w:rFonts w:asciiTheme="minorHAnsi" w:eastAsiaTheme="minorEastAsia" w:hAnsiTheme="minorHAnsi" w:cstheme="minorBidi"/>
          <w:szCs w:val="22"/>
        </w:rPr>
      </w:pPr>
      <w:r>
        <w:t>9.</w:t>
      </w:r>
      <w:r>
        <w:tab/>
        <w:t>Earning CPD points</w:t>
      </w:r>
      <w:r>
        <w:tab/>
      </w:r>
      <w:r>
        <w:fldChar w:fldCharType="begin"/>
      </w:r>
      <w:r>
        <w:instrText xml:space="preserve"> PAGEREF _Toc525016609 \h </w:instrText>
      </w:r>
      <w:r>
        <w:fldChar w:fldCharType="separate"/>
      </w:r>
      <w:r>
        <w:t>5</w:t>
      </w:r>
      <w:r>
        <w:fldChar w:fldCharType="end"/>
      </w:r>
    </w:p>
    <w:p>
      <w:pPr>
        <w:pStyle w:val="TOC8"/>
        <w:rPr>
          <w:rFonts w:asciiTheme="minorHAnsi" w:eastAsiaTheme="minorEastAsia" w:hAnsiTheme="minorHAnsi" w:cstheme="minorBidi"/>
          <w:szCs w:val="22"/>
        </w:rPr>
      </w:pPr>
      <w:r>
        <w:t>10.</w:t>
      </w:r>
      <w:r>
        <w:tab/>
        <w:t>Competency area requirements</w:t>
      </w:r>
      <w:r>
        <w:tab/>
      </w:r>
      <w:r>
        <w:fldChar w:fldCharType="begin"/>
      </w:r>
      <w:r>
        <w:instrText xml:space="preserve"> PAGEREF _Toc525016610 \h </w:instrText>
      </w:r>
      <w:r>
        <w:fldChar w:fldCharType="separate"/>
      </w:r>
      <w:r>
        <w:t>6</w:t>
      </w:r>
      <w:r>
        <w:fldChar w:fldCharType="end"/>
      </w:r>
    </w:p>
    <w:p>
      <w:pPr>
        <w:pStyle w:val="TOC8"/>
        <w:rPr>
          <w:rFonts w:asciiTheme="minorHAnsi" w:eastAsiaTheme="minorEastAsia" w:hAnsiTheme="minorHAnsi" w:cstheme="minorBidi"/>
          <w:szCs w:val="22"/>
        </w:rPr>
      </w:pPr>
      <w:r>
        <w:t>11.</w:t>
      </w:r>
      <w:r>
        <w:tab/>
        <w:t>Interactive and publishing point requirements</w:t>
      </w:r>
      <w:r>
        <w:tab/>
      </w:r>
      <w:r>
        <w:fldChar w:fldCharType="begin"/>
      </w:r>
      <w:r>
        <w:instrText xml:space="preserve"> PAGEREF _Toc525016611 \h </w:instrText>
      </w:r>
      <w:r>
        <w:fldChar w:fldCharType="separate"/>
      </w:r>
      <w:r>
        <w:t>7</w:t>
      </w:r>
      <w:r>
        <w:fldChar w:fldCharType="end"/>
      </w:r>
    </w:p>
    <w:p>
      <w:pPr>
        <w:pStyle w:val="TOC8"/>
        <w:rPr>
          <w:rFonts w:asciiTheme="minorHAnsi" w:eastAsiaTheme="minorEastAsia" w:hAnsiTheme="minorHAnsi" w:cstheme="minorBidi"/>
          <w:szCs w:val="22"/>
        </w:rPr>
      </w:pPr>
      <w:r>
        <w:t>12.</w:t>
      </w:r>
      <w:r>
        <w:tab/>
        <w:t>CPD points for an activity</w:t>
      </w:r>
      <w:r>
        <w:tab/>
      </w:r>
      <w:r>
        <w:fldChar w:fldCharType="begin"/>
      </w:r>
      <w:r>
        <w:instrText xml:space="preserve"> PAGEREF _Toc525016612 \h </w:instrText>
      </w:r>
      <w:r>
        <w:fldChar w:fldCharType="separate"/>
      </w:r>
      <w:r>
        <w:t>7</w:t>
      </w:r>
      <w:r>
        <w:fldChar w:fldCharType="end"/>
      </w:r>
    </w:p>
    <w:p>
      <w:pPr>
        <w:pStyle w:val="TOC8"/>
        <w:rPr>
          <w:rFonts w:asciiTheme="minorHAnsi" w:eastAsiaTheme="minorEastAsia" w:hAnsiTheme="minorHAnsi" w:cstheme="minorBidi"/>
          <w:szCs w:val="22"/>
        </w:rPr>
      </w:pPr>
      <w:r>
        <w:t>13.</w:t>
      </w:r>
      <w:r>
        <w:tab/>
        <w:t>Points for repeated activities</w:t>
      </w:r>
      <w:r>
        <w:tab/>
      </w:r>
      <w:r>
        <w:fldChar w:fldCharType="begin"/>
      </w:r>
      <w:r>
        <w:instrText xml:space="preserve"> PAGEREF _Toc525016613 \h </w:instrText>
      </w:r>
      <w:r>
        <w:fldChar w:fldCharType="separate"/>
      </w:r>
      <w:r>
        <w:t>8</w:t>
      </w:r>
      <w:r>
        <w:fldChar w:fldCharType="end"/>
      </w:r>
    </w:p>
    <w:p>
      <w:pPr>
        <w:pStyle w:val="TOC8"/>
        <w:rPr>
          <w:rFonts w:asciiTheme="minorHAnsi" w:eastAsiaTheme="minorEastAsia" w:hAnsiTheme="minorHAnsi" w:cstheme="minorBidi"/>
          <w:szCs w:val="22"/>
        </w:rPr>
      </w:pPr>
      <w:r>
        <w:t>14.</w:t>
      </w:r>
      <w:r>
        <w:tab/>
        <w:t>Approval of QA providers</w:t>
      </w:r>
      <w:r>
        <w:tab/>
      </w:r>
      <w:r>
        <w:fldChar w:fldCharType="begin"/>
      </w:r>
      <w:r>
        <w:instrText xml:space="preserve"> PAGEREF _Toc525016614 \h </w:instrText>
      </w:r>
      <w:r>
        <w:fldChar w:fldCharType="separate"/>
      </w:r>
      <w:r>
        <w:t>9</w:t>
      </w:r>
      <w:r>
        <w:fldChar w:fldCharType="end"/>
      </w:r>
    </w:p>
    <w:p>
      <w:pPr>
        <w:pStyle w:val="TOC8"/>
        <w:rPr>
          <w:rFonts w:asciiTheme="minorHAnsi" w:eastAsiaTheme="minorEastAsia" w:hAnsiTheme="minorHAnsi" w:cstheme="minorBidi"/>
          <w:szCs w:val="22"/>
        </w:rPr>
      </w:pPr>
      <w:r>
        <w:t>15.</w:t>
      </w:r>
      <w:r>
        <w:tab/>
        <w:t>Approval of professional development activities</w:t>
      </w:r>
      <w:r>
        <w:tab/>
      </w:r>
      <w:r>
        <w:fldChar w:fldCharType="begin"/>
      </w:r>
      <w:r>
        <w:instrText xml:space="preserve"> PAGEREF _Toc525016615 \h </w:instrText>
      </w:r>
      <w:r>
        <w:fldChar w:fldCharType="separate"/>
      </w:r>
      <w:r>
        <w:t>9</w:t>
      </w:r>
      <w:r>
        <w:fldChar w:fldCharType="end"/>
      </w:r>
    </w:p>
    <w:p>
      <w:pPr>
        <w:pStyle w:val="TOC8"/>
        <w:rPr>
          <w:rFonts w:asciiTheme="minorHAnsi" w:eastAsiaTheme="minorEastAsia" w:hAnsiTheme="minorHAnsi" w:cstheme="minorBidi"/>
          <w:szCs w:val="22"/>
        </w:rPr>
      </w:pPr>
      <w:r>
        <w:t>16.</w:t>
      </w:r>
      <w:r>
        <w:tab/>
        <w:t>Approvals generally</w:t>
      </w:r>
      <w:r>
        <w:tab/>
      </w:r>
      <w:r>
        <w:fldChar w:fldCharType="begin"/>
      </w:r>
      <w:r>
        <w:instrText xml:space="preserve"> PAGEREF _Toc525016616 \h </w:instrText>
      </w:r>
      <w:r>
        <w:fldChar w:fldCharType="separate"/>
      </w:r>
      <w:r>
        <w:t>9</w:t>
      </w:r>
      <w:r>
        <w:fldChar w:fldCharType="end"/>
      </w:r>
    </w:p>
    <w:p>
      <w:pPr>
        <w:pStyle w:val="TOC8"/>
        <w:rPr>
          <w:rFonts w:asciiTheme="minorHAnsi" w:eastAsiaTheme="minorEastAsia" w:hAnsiTheme="minorHAnsi" w:cstheme="minorBidi"/>
          <w:szCs w:val="22"/>
        </w:rPr>
      </w:pPr>
      <w:r>
        <w:t>17.</w:t>
      </w:r>
      <w:r>
        <w:tab/>
        <w:t>Variations</w:t>
      </w:r>
      <w:r>
        <w:tab/>
      </w:r>
      <w:r>
        <w:fldChar w:fldCharType="begin"/>
      </w:r>
      <w:r>
        <w:instrText xml:space="preserve"> PAGEREF _Toc525016617 \h </w:instrText>
      </w:r>
      <w:r>
        <w:fldChar w:fldCharType="separate"/>
      </w:r>
      <w:r>
        <w:t>10</w:t>
      </w:r>
      <w:r>
        <w:fldChar w:fldCharType="end"/>
      </w:r>
    </w:p>
    <w:p>
      <w:pPr>
        <w:pStyle w:val="TOC8"/>
        <w:rPr>
          <w:rFonts w:asciiTheme="minorHAnsi" w:eastAsiaTheme="minorEastAsia" w:hAnsiTheme="minorHAnsi" w:cstheme="minorBidi"/>
          <w:szCs w:val="22"/>
        </w:rPr>
      </w:pPr>
      <w:r>
        <w:t>18.</w:t>
      </w:r>
      <w:r>
        <w:tab/>
        <w:t>Transitional arrangements</w:t>
      </w:r>
      <w:r>
        <w:tab/>
      </w:r>
      <w:r>
        <w:fldChar w:fldCharType="begin"/>
      </w:r>
      <w:r>
        <w:instrText xml:space="preserve"> PAGEREF _Toc525016618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Other conditions on local practising certificates</w:t>
      </w:r>
    </w:p>
    <w:p>
      <w:pPr>
        <w:pStyle w:val="TOC8"/>
        <w:rPr>
          <w:rFonts w:asciiTheme="minorHAnsi" w:eastAsiaTheme="minorEastAsia" w:hAnsiTheme="minorHAnsi" w:cstheme="minorBidi"/>
          <w:szCs w:val="22"/>
        </w:rPr>
      </w:pPr>
      <w:r>
        <w:t>19.</w:t>
      </w:r>
      <w:r>
        <w:tab/>
        <w:t>Restricted legal practice (s. 50)</w:t>
      </w:r>
      <w:r>
        <w:tab/>
      </w:r>
      <w:r>
        <w:fldChar w:fldCharType="begin"/>
      </w:r>
      <w:r>
        <w:instrText xml:space="preserve"> PAGEREF _Toc525016620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4 — Local legal practitioner with articled clerk</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_Toc525016622 \h </w:instrText>
      </w:r>
      <w:r>
        <w:fldChar w:fldCharType="separate"/>
      </w:r>
      <w:r>
        <w:t>12</w:t>
      </w:r>
      <w:r>
        <w:fldChar w:fldCharType="end"/>
      </w:r>
    </w:p>
    <w:p>
      <w:pPr>
        <w:pStyle w:val="TOC8"/>
        <w:rPr>
          <w:rFonts w:asciiTheme="minorHAnsi" w:eastAsiaTheme="minorEastAsia" w:hAnsiTheme="minorHAnsi" w:cstheme="minorBidi"/>
          <w:szCs w:val="22"/>
        </w:rPr>
      </w:pPr>
      <w:r>
        <w:t>21.</w:t>
      </w:r>
      <w:r>
        <w:tab/>
        <w:t>Supervision of articled clerks</w:t>
      </w:r>
      <w:r>
        <w:tab/>
      </w:r>
      <w:r>
        <w:fldChar w:fldCharType="begin"/>
      </w:r>
      <w:r>
        <w:instrText xml:space="preserve"> PAGEREF _Toc525016623 \h </w:instrText>
      </w:r>
      <w:r>
        <w:fldChar w:fldCharType="separate"/>
      </w:r>
      <w:r>
        <w:t>12</w:t>
      </w:r>
      <w:r>
        <w:fldChar w:fldCharType="end"/>
      </w:r>
    </w:p>
    <w:p>
      <w:pPr>
        <w:pStyle w:val="TOC8"/>
        <w:rPr>
          <w:rFonts w:asciiTheme="minorHAnsi" w:eastAsiaTheme="minorEastAsia" w:hAnsiTheme="minorHAnsi" w:cstheme="minorBidi"/>
          <w:szCs w:val="22"/>
        </w:rPr>
      </w:pPr>
      <w:r>
        <w:t>22.</w:t>
      </w:r>
      <w:r>
        <w:tab/>
        <w:t>Conduct of principal for articled clerk</w:t>
      </w:r>
      <w:r>
        <w:tab/>
      </w:r>
      <w:r>
        <w:fldChar w:fldCharType="begin"/>
      </w:r>
      <w:r>
        <w:instrText xml:space="preserve"> PAGEREF _Toc525016624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5 — Interstate legal practitioners</w:t>
      </w:r>
    </w:p>
    <w:p>
      <w:pPr>
        <w:pStyle w:val="TOC8"/>
        <w:rPr>
          <w:rFonts w:asciiTheme="minorHAnsi" w:eastAsiaTheme="minorEastAsia" w:hAnsiTheme="minorHAnsi" w:cstheme="minorBidi"/>
          <w:szCs w:val="22"/>
        </w:rPr>
      </w:pPr>
      <w:r>
        <w:t>23.</w:t>
      </w:r>
      <w:r>
        <w:tab/>
        <w:t>Notification requirements for interstate legal practitioners (s. 71)</w:t>
      </w:r>
      <w:r>
        <w:tab/>
      </w:r>
      <w:r>
        <w:fldChar w:fldCharType="begin"/>
      </w:r>
      <w:r>
        <w:instrText xml:space="preserve"> PAGEREF _Toc525016626 \h </w:instrText>
      </w:r>
      <w:r>
        <w:fldChar w:fldCharType="separate"/>
      </w:r>
      <w:r>
        <w:t>13</w:t>
      </w:r>
      <w:r>
        <w:fldChar w:fldCharType="end"/>
      </w:r>
    </w:p>
    <w:p>
      <w:pPr>
        <w:pStyle w:val="TOC8"/>
        <w:rPr>
          <w:rFonts w:asciiTheme="minorHAnsi" w:eastAsiaTheme="minorEastAsia" w:hAnsiTheme="minorHAnsi" w:cstheme="minorBidi"/>
          <w:szCs w:val="22"/>
        </w:rPr>
      </w:pPr>
      <w:r>
        <w:t>24.</w:t>
      </w:r>
      <w:r>
        <w:tab/>
        <w:t>Restricted legal practice by interstate legal practitioner (s. 72)</w:t>
      </w:r>
      <w:r>
        <w:tab/>
      </w:r>
      <w:r>
        <w:fldChar w:fldCharType="begin"/>
      </w:r>
      <w:r>
        <w:instrText xml:space="preserve"> PAGEREF _Toc525016627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Foreign lawyers</w:t>
      </w:r>
    </w:p>
    <w:p>
      <w:pPr>
        <w:pStyle w:val="TOC8"/>
        <w:rPr>
          <w:rFonts w:asciiTheme="minorHAnsi" w:eastAsiaTheme="minorEastAsia" w:hAnsiTheme="minorHAnsi" w:cstheme="minorBidi"/>
          <w:szCs w:val="22"/>
        </w:rPr>
      </w:pPr>
      <w:r>
        <w:t>25.</w:t>
      </w:r>
      <w:r>
        <w:tab/>
        <w:t>Fee for application for grant or renewal of registration (s. 168)</w:t>
      </w:r>
      <w:r>
        <w:tab/>
      </w:r>
      <w:r>
        <w:fldChar w:fldCharType="begin"/>
      </w:r>
      <w:r>
        <w:instrText xml:space="preserve"> PAGEREF _Toc525016629 \h </w:instrText>
      </w:r>
      <w:r>
        <w:fldChar w:fldCharType="separate"/>
      </w:r>
      <w:r>
        <w:t>15</w:t>
      </w:r>
      <w:r>
        <w:fldChar w:fldCharType="end"/>
      </w:r>
    </w:p>
    <w:p>
      <w:pPr>
        <w:pStyle w:val="TOC8"/>
        <w:rPr>
          <w:rFonts w:asciiTheme="minorHAnsi" w:eastAsiaTheme="minorEastAsia" w:hAnsiTheme="minorHAnsi" w:cstheme="minorBidi"/>
          <w:szCs w:val="22"/>
        </w:rPr>
      </w:pPr>
      <w:r>
        <w:t>26.</w:t>
      </w:r>
      <w:r>
        <w:tab/>
        <w:t>Conditions regarding notification of offence (s. 191)</w:t>
      </w:r>
      <w:r>
        <w:tab/>
      </w:r>
      <w:r>
        <w:fldChar w:fldCharType="begin"/>
      </w:r>
      <w:r>
        <w:instrText xml:space="preserve"> PAGEREF _Toc525016630 \h </w:instrText>
      </w:r>
      <w:r>
        <w:fldChar w:fldCharType="separate"/>
      </w:r>
      <w:r>
        <w:t>15</w:t>
      </w:r>
      <w:r>
        <w:fldChar w:fldCharType="end"/>
      </w:r>
    </w:p>
    <w:p>
      <w:pPr>
        <w:pStyle w:val="TOC8"/>
        <w:rPr>
          <w:rFonts w:asciiTheme="minorHAnsi" w:eastAsiaTheme="minorEastAsia" w:hAnsiTheme="minorHAnsi" w:cstheme="minorBidi"/>
          <w:szCs w:val="22"/>
        </w:rPr>
      </w:pPr>
      <w:r>
        <w:t>27.</w:t>
      </w:r>
      <w:r>
        <w:tab/>
        <w:t>Notification requirements for interstate</w:t>
      </w:r>
      <w:r>
        <w:noBreakHyphen/>
        <w:t>registered foreign lawyers (s. 196)</w:t>
      </w:r>
      <w:r>
        <w:tab/>
      </w:r>
      <w:r>
        <w:fldChar w:fldCharType="begin"/>
      </w:r>
      <w:r>
        <w:instrText xml:space="preserve"> PAGEREF _Toc525016631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4 — Legal Practice Board</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28.</w:t>
      </w:r>
      <w:r>
        <w:tab/>
        <w:t>Term used: secretary</w:t>
      </w:r>
      <w:r>
        <w:tab/>
      </w:r>
      <w:r>
        <w:fldChar w:fldCharType="begin"/>
      </w:r>
      <w:r>
        <w:instrText xml:space="preserve"> PAGEREF _Toc525016634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Election of members of the Board</w:t>
      </w:r>
    </w:p>
    <w:p>
      <w:pPr>
        <w:pStyle w:val="TOC8"/>
        <w:rPr>
          <w:rFonts w:asciiTheme="minorHAnsi" w:eastAsiaTheme="minorEastAsia" w:hAnsiTheme="minorHAnsi" w:cstheme="minorBidi"/>
          <w:szCs w:val="22"/>
        </w:rPr>
      </w:pPr>
      <w:r>
        <w:t>29.</w:t>
      </w:r>
      <w:r>
        <w:tab/>
        <w:t>Annual election date</w:t>
      </w:r>
      <w:r>
        <w:tab/>
      </w:r>
      <w:r>
        <w:fldChar w:fldCharType="begin"/>
      </w:r>
      <w:r>
        <w:instrText xml:space="preserve"> PAGEREF _Toc525016636 \h </w:instrText>
      </w:r>
      <w:r>
        <w:fldChar w:fldCharType="separate"/>
      </w:r>
      <w:r>
        <w:t>16</w:t>
      </w:r>
      <w:r>
        <w:fldChar w:fldCharType="end"/>
      </w:r>
    </w:p>
    <w:p>
      <w:pPr>
        <w:pStyle w:val="TOC8"/>
        <w:rPr>
          <w:rFonts w:asciiTheme="minorHAnsi" w:eastAsiaTheme="minorEastAsia" w:hAnsiTheme="minorHAnsi" w:cstheme="minorBidi"/>
          <w:szCs w:val="22"/>
        </w:rPr>
      </w:pPr>
      <w:r>
        <w:t>30.</w:t>
      </w:r>
      <w:r>
        <w:tab/>
        <w:t>Returning officers</w:t>
      </w:r>
      <w:r>
        <w:tab/>
      </w:r>
      <w:r>
        <w:fldChar w:fldCharType="begin"/>
      </w:r>
      <w:r>
        <w:instrText xml:space="preserve"> PAGEREF _Toc525016637 \h </w:instrText>
      </w:r>
      <w:r>
        <w:fldChar w:fldCharType="separate"/>
      </w:r>
      <w:r>
        <w:t>16</w:t>
      </w:r>
      <w:r>
        <w:fldChar w:fldCharType="end"/>
      </w:r>
    </w:p>
    <w:p>
      <w:pPr>
        <w:pStyle w:val="TOC8"/>
        <w:rPr>
          <w:rFonts w:asciiTheme="minorHAnsi" w:eastAsiaTheme="minorEastAsia" w:hAnsiTheme="minorHAnsi" w:cstheme="minorBidi"/>
          <w:szCs w:val="22"/>
        </w:rPr>
      </w:pPr>
      <w:r>
        <w:t>31.</w:t>
      </w:r>
      <w:r>
        <w:tab/>
        <w:t>Nomination of candidates</w:t>
      </w:r>
      <w:r>
        <w:tab/>
      </w:r>
      <w:r>
        <w:fldChar w:fldCharType="begin"/>
      </w:r>
      <w:r>
        <w:instrText xml:space="preserve"> PAGEREF _Toc525016638 \h </w:instrText>
      </w:r>
      <w:r>
        <w:fldChar w:fldCharType="separate"/>
      </w:r>
      <w:r>
        <w:t>16</w:t>
      </w:r>
      <w:r>
        <w:fldChar w:fldCharType="end"/>
      </w:r>
    </w:p>
    <w:p>
      <w:pPr>
        <w:pStyle w:val="TOC8"/>
        <w:rPr>
          <w:rFonts w:asciiTheme="minorHAnsi" w:eastAsiaTheme="minorEastAsia" w:hAnsiTheme="minorHAnsi" w:cstheme="minorBidi"/>
          <w:szCs w:val="22"/>
        </w:rPr>
      </w:pPr>
      <w:r>
        <w:t>32.</w:t>
      </w:r>
      <w:r>
        <w:tab/>
        <w:t>Candidates elected when nominations equal vacancies</w:t>
      </w:r>
      <w:r>
        <w:tab/>
      </w:r>
      <w:r>
        <w:fldChar w:fldCharType="begin"/>
      </w:r>
      <w:r>
        <w:instrText xml:space="preserve"> PAGEREF _Toc525016639 \h </w:instrText>
      </w:r>
      <w:r>
        <w:fldChar w:fldCharType="separate"/>
      </w:r>
      <w:r>
        <w:t>17</w:t>
      </w:r>
      <w:r>
        <w:fldChar w:fldCharType="end"/>
      </w:r>
    </w:p>
    <w:p>
      <w:pPr>
        <w:pStyle w:val="TOC8"/>
        <w:rPr>
          <w:rFonts w:asciiTheme="minorHAnsi" w:eastAsiaTheme="minorEastAsia" w:hAnsiTheme="minorHAnsi" w:cstheme="minorBidi"/>
          <w:szCs w:val="22"/>
        </w:rPr>
      </w:pPr>
      <w:r>
        <w:t>33.</w:t>
      </w:r>
      <w:r>
        <w:tab/>
        <w:t>Ballot papers</w:t>
      </w:r>
      <w:r>
        <w:tab/>
      </w:r>
      <w:r>
        <w:fldChar w:fldCharType="begin"/>
      </w:r>
      <w:r>
        <w:instrText xml:space="preserve"> PAGEREF _Toc525016640 \h </w:instrText>
      </w:r>
      <w:r>
        <w:fldChar w:fldCharType="separate"/>
      </w:r>
      <w:r>
        <w:t>17</w:t>
      </w:r>
      <w:r>
        <w:fldChar w:fldCharType="end"/>
      </w:r>
    </w:p>
    <w:p>
      <w:pPr>
        <w:pStyle w:val="TOC8"/>
        <w:rPr>
          <w:rFonts w:asciiTheme="minorHAnsi" w:eastAsiaTheme="minorEastAsia" w:hAnsiTheme="minorHAnsi" w:cstheme="minorBidi"/>
          <w:szCs w:val="22"/>
        </w:rPr>
      </w:pPr>
      <w:r>
        <w:t>34.</w:t>
      </w:r>
      <w:r>
        <w:tab/>
        <w:t>Voting</w:t>
      </w:r>
      <w:r>
        <w:tab/>
      </w:r>
      <w:r>
        <w:fldChar w:fldCharType="begin"/>
      </w:r>
      <w:r>
        <w:instrText xml:space="preserve"> PAGEREF _Toc525016641 \h </w:instrText>
      </w:r>
      <w:r>
        <w:fldChar w:fldCharType="separate"/>
      </w:r>
      <w:r>
        <w:t>17</w:t>
      </w:r>
      <w:r>
        <w:fldChar w:fldCharType="end"/>
      </w:r>
    </w:p>
    <w:p>
      <w:pPr>
        <w:pStyle w:val="TOC8"/>
        <w:rPr>
          <w:rFonts w:asciiTheme="minorHAnsi" w:eastAsiaTheme="minorEastAsia" w:hAnsiTheme="minorHAnsi" w:cstheme="minorBidi"/>
          <w:szCs w:val="22"/>
        </w:rPr>
      </w:pPr>
      <w:r>
        <w:t>35.</w:t>
      </w:r>
      <w:r>
        <w:tab/>
        <w:t>Commencement of term of office</w:t>
      </w:r>
      <w:r>
        <w:tab/>
      </w:r>
      <w:r>
        <w:fldChar w:fldCharType="begin"/>
      </w:r>
      <w:r>
        <w:instrText xml:space="preserve"> PAGEREF _Toc525016642 \h </w:instrText>
      </w:r>
      <w:r>
        <w:fldChar w:fldCharType="separate"/>
      </w:r>
      <w:r>
        <w:t>19</w:t>
      </w:r>
      <w:r>
        <w:fldChar w:fldCharType="end"/>
      </w:r>
    </w:p>
    <w:p>
      <w:pPr>
        <w:pStyle w:val="TOC8"/>
        <w:rPr>
          <w:rFonts w:asciiTheme="minorHAnsi" w:eastAsiaTheme="minorEastAsia" w:hAnsiTheme="minorHAnsi" w:cstheme="minorBidi"/>
          <w:szCs w:val="22"/>
        </w:rPr>
      </w:pPr>
      <w:r>
        <w:t>36.</w:t>
      </w:r>
      <w:r>
        <w:tab/>
        <w:t xml:space="preserve">Results to be published in </w:t>
      </w:r>
      <w:r>
        <w:rPr>
          <w:i/>
          <w:iCs/>
        </w:rPr>
        <w:t>Gazette</w:t>
      </w:r>
      <w:r>
        <w:tab/>
      </w:r>
      <w:r>
        <w:fldChar w:fldCharType="begin"/>
      </w:r>
      <w:r>
        <w:instrText xml:space="preserve"> PAGEREF _Toc525016643 \h </w:instrText>
      </w:r>
      <w:r>
        <w:fldChar w:fldCharType="separate"/>
      </w:r>
      <w:r>
        <w:t>19</w:t>
      </w:r>
      <w:r>
        <w:fldChar w:fldCharType="end"/>
      </w:r>
    </w:p>
    <w:p>
      <w:pPr>
        <w:pStyle w:val="TOC8"/>
        <w:rPr>
          <w:rFonts w:asciiTheme="minorHAnsi" w:eastAsiaTheme="minorEastAsia" w:hAnsiTheme="minorHAnsi" w:cstheme="minorBidi"/>
          <w:szCs w:val="22"/>
        </w:rPr>
      </w:pPr>
      <w:r>
        <w:t>37.</w:t>
      </w:r>
      <w:r>
        <w:tab/>
        <w:t>Non-receipt of ballot papers</w:t>
      </w:r>
      <w:r>
        <w:tab/>
      </w:r>
      <w:r>
        <w:fldChar w:fldCharType="begin"/>
      </w:r>
      <w:r>
        <w:instrText xml:space="preserve"> PAGEREF _Toc525016644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Board meetings</w:t>
      </w:r>
    </w:p>
    <w:p>
      <w:pPr>
        <w:pStyle w:val="TOC8"/>
        <w:rPr>
          <w:rFonts w:asciiTheme="minorHAnsi" w:eastAsiaTheme="minorEastAsia" w:hAnsiTheme="minorHAnsi" w:cstheme="minorBidi"/>
          <w:szCs w:val="22"/>
        </w:rPr>
      </w:pPr>
      <w:r>
        <w:t>38.</w:t>
      </w:r>
      <w:r>
        <w:tab/>
        <w:t>Board meetings</w:t>
      </w:r>
      <w:r>
        <w:tab/>
      </w:r>
      <w:r>
        <w:fldChar w:fldCharType="begin"/>
      </w:r>
      <w:r>
        <w:instrText xml:space="preserve"> PAGEREF _Toc525016646 \h </w:instrText>
      </w:r>
      <w:r>
        <w:fldChar w:fldCharType="separate"/>
      </w:r>
      <w:r>
        <w:t>19</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_Toc525016647 \h </w:instrText>
      </w:r>
      <w:r>
        <w:fldChar w:fldCharType="separate"/>
      </w:r>
      <w:r>
        <w:t>19</w:t>
      </w:r>
      <w:r>
        <w:fldChar w:fldCharType="end"/>
      </w:r>
    </w:p>
    <w:p>
      <w:pPr>
        <w:pStyle w:val="TOC8"/>
        <w:rPr>
          <w:rFonts w:asciiTheme="minorHAnsi" w:eastAsiaTheme="minorEastAsia" w:hAnsiTheme="minorHAnsi" w:cstheme="minorBidi"/>
          <w:szCs w:val="22"/>
        </w:rPr>
      </w:pPr>
      <w:r>
        <w:t>40.</w:t>
      </w:r>
      <w:r>
        <w:tab/>
        <w:t>Urgent meetings</w:t>
      </w:r>
      <w:r>
        <w:tab/>
      </w:r>
      <w:r>
        <w:fldChar w:fldCharType="begin"/>
      </w:r>
      <w:r>
        <w:instrText xml:space="preserve"> PAGEREF _Toc525016648 \h </w:instrText>
      </w:r>
      <w:r>
        <w:fldChar w:fldCharType="separate"/>
      </w:r>
      <w:r>
        <w:t>20</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_Toc525016649 \h </w:instrText>
      </w:r>
      <w:r>
        <w:fldChar w:fldCharType="separate"/>
      </w:r>
      <w:r>
        <w:t>20</w:t>
      </w:r>
      <w:r>
        <w:fldChar w:fldCharType="end"/>
      </w:r>
    </w:p>
    <w:p>
      <w:pPr>
        <w:pStyle w:val="TOC8"/>
        <w:rPr>
          <w:rFonts w:asciiTheme="minorHAnsi" w:eastAsiaTheme="minorEastAsia" w:hAnsiTheme="minorHAnsi" w:cstheme="minorBidi"/>
          <w:szCs w:val="22"/>
        </w:rPr>
      </w:pPr>
      <w:r>
        <w:t>42.</w:t>
      </w:r>
      <w:r>
        <w:tab/>
        <w:t>Rescission or amendment</w:t>
      </w:r>
      <w:r>
        <w:tab/>
      </w:r>
      <w:r>
        <w:fldChar w:fldCharType="begin"/>
      </w:r>
      <w:r>
        <w:instrText xml:space="preserve"> PAGEREF _Toc525016650 \h </w:instrText>
      </w:r>
      <w:r>
        <w:fldChar w:fldCharType="separate"/>
      </w:r>
      <w:r>
        <w:t>21</w:t>
      </w:r>
      <w:r>
        <w:fldChar w:fldCharType="end"/>
      </w:r>
    </w:p>
    <w:p>
      <w:pPr>
        <w:pStyle w:val="TOC8"/>
        <w:rPr>
          <w:rFonts w:asciiTheme="minorHAnsi" w:eastAsiaTheme="minorEastAsia" w:hAnsiTheme="minorHAnsi" w:cstheme="minorBidi"/>
          <w:szCs w:val="22"/>
        </w:rPr>
      </w:pPr>
      <w:r>
        <w:t>43.</w:t>
      </w:r>
      <w:r>
        <w:tab/>
        <w:t>Minutes</w:t>
      </w:r>
      <w:r>
        <w:tab/>
      </w:r>
      <w:r>
        <w:fldChar w:fldCharType="begin"/>
      </w:r>
      <w:r>
        <w:instrText xml:space="preserve"> PAGEREF _Toc525016651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44.</w:t>
      </w:r>
      <w:r>
        <w:tab/>
        <w:t>Convenor and deputy convenor</w:t>
      </w:r>
      <w:r>
        <w:tab/>
      </w:r>
      <w:r>
        <w:fldChar w:fldCharType="begin"/>
      </w:r>
      <w:r>
        <w:instrText xml:space="preserve"> PAGEREF _Toc525016653 \h </w:instrText>
      </w:r>
      <w:r>
        <w:fldChar w:fldCharType="separate"/>
      </w:r>
      <w:r>
        <w:t>21</w:t>
      </w:r>
      <w:r>
        <w:fldChar w:fldCharType="end"/>
      </w:r>
    </w:p>
    <w:p>
      <w:pPr>
        <w:pStyle w:val="TOC8"/>
        <w:rPr>
          <w:rFonts w:asciiTheme="minorHAnsi" w:eastAsiaTheme="minorEastAsia" w:hAnsiTheme="minorHAnsi" w:cstheme="minorBidi"/>
          <w:szCs w:val="22"/>
        </w:rPr>
      </w:pPr>
      <w:r>
        <w:t>45.</w:t>
      </w:r>
      <w:r>
        <w:tab/>
        <w:t>Committee meetings</w:t>
      </w:r>
      <w:r>
        <w:tab/>
      </w:r>
      <w:r>
        <w:fldChar w:fldCharType="begin"/>
      </w:r>
      <w:r>
        <w:instrText xml:space="preserve"> PAGEREF _Toc525016654 \h </w:instrText>
      </w:r>
      <w:r>
        <w:fldChar w:fldCharType="separate"/>
      </w:r>
      <w:r>
        <w:t>21</w:t>
      </w:r>
      <w:r>
        <w:fldChar w:fldCharType="end"/>
      </w:r>
    </w:p>
    <w:p>
      <w:pPr>
        <w:pStyle w:val="TOC8"/>
        <w:rPr>
          <w:rFonts w:asciiTheme="minorHAnsi" w:eastAsiaTheme="minorEastAsia" w:hAnsiTheme="minorHAnsi" w:cstheme="minorBidi"/>
          <w:szCs w:val="22"/>
        </w:rPr>
      </w:pPr>
      <w:r>
        <w:t>46.</w:t>
      </w:r>
      <w:r>
        <w:tab/>
        <w:t>Application of applied provisions</w:t>
      </w:r>
      <w:r>
        <w:tab/>
      </w:r>
      <w:r>
        <w:fldChar w:fldCharType="begin"/>
      </w:r>
      <w:r>
        <w:instrText xml:space="preserve"> PAGEREF _Toc525016655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5 — Law Library at Supreme Court</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_Toc525016657 \h </w:instrText>
      </w:r>
      <w:r>
        <w:fldChar w:fldCharType="separate"/>
      </w:r>
      <w:r>
        <w:t>23</w:t>
      </w:r>
      <w:r>
        <w:fldChar w:fldCharType="end"/>
      </w:r>
    </w:p>
    <w:p>
      <w:pPr>
        <w:pStyle w:val="TOC8"/>
        <w:rPr>
          <w:rFonts w:asciiTheme="minorHAnsi" w:eastAsiaTheme="minorEastAsia" w:hAnsiTheme="minorHAnsi" w:cstheme="minorBidi"/>
          <w:szCs w:val="22"/>
        </w:rPr>
      </w:pPr>
      <w:r>
        <w:t>48.</w:t>
      </w:r>
      <w:r>
        <w:tab/>
        <w:t>People entitled to use the library</w:t>
      </w:r>
      <w:r>
        <w:tab/>
      </w:r>
      <w:r>
        <w:fldChar w:fldCharType="begin"/>
      </w:r>
      <w:r>
        <w:instrText xml:space="preserve"> PAGEREF _Toc525016658 \h </w:instrText>
      </w:r>
      <w:r>
        <w:fldChar w:fldCharType="separate"/>
      </w:r>
      <w:r>
        <w:t>23</w:t>
      </w:r>
      <w:r>
        <w:fldChar w:fldCharType="end"/>
      </w:r>
    </w:p>
    <w:p>
      <w:pPr>
        <w:pStyle w:val="TOC8"/>
        <w:rPr>
          <w:rFonts w:asciiTheme="minorHAnsi" w:eastAsiaTheme="minorEastAsia" w:hAnsiTheme="minorHAnsi" w:cstheme="minorBidi"/>
          <w:szCs w:val="22"/>
        </w:rPr>
      </w:pPr>
      <w:r>
        <w:t>49.</w:t>
      </w:r>
      <w:r>
        <w:tab/>
        <w:t>Librarian may suspend or restrict entitlement to use library</w:t>
      </w:r>
      <w:r>
        <w:tab/>
      </w:r>
      <w:r>
        <w:fldChar w:fldCharType="begin"/>
      </w:r>
      <w:r>
        <w:instrText xml:space="preserve"> PAGEREF _Toc525016659 \h </w:instrText>
      </w:r>
      <w:r>
        <w:fldChar w:fldCharType="separate"/>
      </w:r>
      <w:r>
        <w:t>24</w:t>
      </w:r>
      <w:r>
        <w:fldChar w:fldCharType="end"/>
      </w:r>
    </w:p>
    <w:p>
      <w:pPr>
        <w:pStyle w:val="TOC8"/>
        <w:rPr>
          <w:rFonts w:asciiTheme="minorHAnsi" w:eastAsiaTheme="minorEastAsia" w:hAnsiTheme="minorHAnsi" w:cstheme="minorBidi"/>
          <w:szCs w:val="22"/>
        </w:rPr>
      </w:pPr>
      <w:r>
        <w:t>50.</w:t>
      </w:r>
      <w:r>
        <w:tab/>
        <w:t>Board may suspend or restrict entitlement to use library</w:t>
      </w:r>
      <w:r>
        <w:tab/>
      </w:r>
      <w:r>
        <w:fldChar w:fldCharType="begin"/>
      </w:r>
      <w:r>
        <w:instrText xml:space="preserve"> PAGEREF _Toc525016660 \h </w:instrText>
      </w:r>
      <w:r>
        <w:fldChar w:fldCharType="separate"/>
      </w:r>
      <w:r>
        <w:t>25</w:t>
      </w:r>
      <w:r>
        <w:fldChar w:fldCharType="end"/>
      </w:r>
    </w:p>
    <w:p>
      <w:pPr>
        <w:pStyle w:val="TOC8"/>
        <w:rPr>
          <w:rFonts w:asciiTheme="minorHAnsi" w:eastAsiaTheme="minorEastAsia" w:hAnsiTheme="minorHAnsi" w:cstheme="minorBidi"/>
          <w:szCs w:val="22"/>
        </w:rPr>
      </w:pPr>
      <w:r>
        <w:t>51.</w:t>
      </w:r>
      <w:r>
        <w:tab/>
        <w:t>Use of the library and books</w:t>
      </w:r>
      <w:r>
        <w:tab/>
      </w:r>
      <w:r>
        <w:fldChar w:fldCharType="begin"/>
      </w:r>
      <w:r>
        <w:instrText xml:space="preserve"> PAGEREF _Toc525016661 \h </w:instrText>
      </w:r>
      <w:r>
        <w:fldChar w:fldCharType="separate"/>
      </w:r>
      <w:r>
        <w:t>25</w:t>
      </w:r>
      <w:r>
        <w:fldChar w:fldCharType="end"/>
      </w:r>
    </w:p>
    <w:p>
      <w:pPr>
        <w:pStyle w:val="TOC8"/>
        <w:rPr>
          <w:rFonts w:asciiTheme="minorHAnsi" w:eastAsiaTheme="minorEastAsia" w:hAnsiTheme="minorHAnsi" w:cstheme="minorBidi"/>
          <w:szCs w:val="22"/>
        </w:rPr>
      </w:pPr>
      <w:r>
        <w:t>52.</w:t>
      </w:r>
      <w:r>
        <w:tab/>
        <w:t>Borrowing books</w:t>
      </w:r>
      <w:r>
        <w:tab/>
      </w:r>
      <w:r>
        <w:fldChar w:fldCharType="begin"/>
      </w:r>
      <w:r>
        <w:instrText xml:space="preserve"> PAGEREF _Toc525016662 \h </w:instrText>
      </w:r>
      <w:r>
        <w:fldChar w:fldCharType="separate"/>
      </w:r>
      <w:r>
        <w:t>26</w:t>
      </w:r>
      <w:r>
        <w:fldChar w:fldCharType="end"/>
      </w:r>
    </w:p>
    <w:p>
      <w:pPr>
        <w:pStyle w:val="TOC8"/>
        <w:rPr>
          <w:rFonts w:asciiTheme="minorHAnsi" w:eastAsiaTheme="minorEastAsia" w:hAnsiTheme="minorHAnsi" w:cstheme="minorBidi"/>
          <w:szCs w:val="22"/>
        </w:rPr>
      </w:pPr>
      <w:r>
        <w:t>53.</w:t>
      </w:r>
      <w:r>
        <w:tab/>
        <w:t>Removal of unauthorised people and retrieval of books</w:t>
      </w:r>
      <w:r>
        <w:tab/>
      </w:r>
      <w:r>
        <w:fldChar w:fldCharType="begin"/>
      </w:r>
      <w:r>
        <w:instrText xml:space="preserve"> PAGEREF _Toc525016663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6 — General matters</w:t>
      </w:r>
    </w:p>
    <w:p>
      <w:pPr>
        <w:pStyle w:val="TOC8"/>
        <w:rPr>
          <w:rFonts w:asciiTheme="minorHAnsi" w:eastAsiaTheme="minorEastAsia" w:hAnsiTheme="minorHAnsi" w:cstheme="minorBidi"/>
          <w:szCs w:val="22"/>
        </w:rPr>
      </w:pPr>
      <w:r>
        <w:t>54.</w:t>
      </w:r>
      <w:r>
        <w:tab/>
        <w:t>Documents given to or by the Board</w:t>
      </w:r>
      <w:r>
        <w:tab/>
      </w:r>
      <w:r>
        <w:fldChar w:fldCharType="begin"/>
      </w:r>
      <w:r>
        <w:instrText xml:space="preserve"> PAGEREF _Toc525016665 \h </w:instrText>
      </w:r>
      <w:r>
        <w:fldChar w:fldCharType="separate"/>
      </w:r>
      <w:r>
        <w:t>28</w:t>
      </w:r>
      <w:r>
        <w:fldChar w:fldCharType="end"/>
      </w:r>
    </w:p>
    <w:p>
      <w:pPr>
        <w:pStyle w:val="TOC8"/>
        <w:rPr>
          <w:rFonts w:asciiTheme="minorHAnsi" w:eastAsiaTheme="minorEastAsia" w:hAnsiTheme="minorHAnsi" w:cstheme="minorBidi"/>
          <w:szCs w:val="22"/>
        </w:rPr>
      </w:pPr>
      <w:r>
        <w:t>55.</w:t>
      </w:r>
      <w:r>
        <w:tab/>
        <w:t>Board may excuse noncompliance</w:t>
      </w:r>
      <w:r>
        <w:tab/>
      </w:r>
      <w:r>
        <w:fldChar w:fldCharType="begin"/>
      </w:r>
      <w:r>
        <w:instrText xml:space="preserve"> PAGEREF _Toc525016666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repealed</w:t>
      </w:r>
      <w:r>
        <w:tab/>
      </w:r>
      <w:r>
        <w:fldChar w:fldCharType="begin"/>
      </w:r>
      <w:r>
        <w:instrText xml:space="preserve"> PAGEREF _Toc525016667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_Toc525016669 \h </w:instrText>
      </w:r>
      <w:r>
        <w:fldChar w:fldCharType="separate"/>
      </w:r>
      <w:r>
        <w:t>29</w:t>
      </w:r>
      <w:r>
        <w:fldChar w:fldCharType="end"/>
      </w:r>
    </w:p>
    <w:p>
      <w:pPr>
        <w:pStyle w:val="TOC8"/>
        <w:rPr>
          <w:rFonts w:asciiTheme="minorHAnsi" w:eastAsiaTheme="minorEastAsia" w:hAnsiTheme="minorHAnsi" w:cstheme="minorBidi"/>
          <w:szCs w:val="22"/>
        </w:rPr>
      </w:pPr>
      <w:r>
        <w:t>2.</w:t>
      </w:r>
      <w:r>
        <w:tab/>
        <w:t>Fees</w:t>
      </w:r>
      <w:r>
        <w:tab/>
      </w:r>
      <w:r>
        <w:fldChar w:fldCharType="begin"/>
      </w:r>
      <w:r>
        <w:instrText xml:space="preserve"> PAGEREF _Toc525016670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_Toc525016672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Legal Profession Act 2008</w:t>
      </w:r>
    </w:p>
    <w:p>
      <w:pPr>
        <w:pStyle w:val="NameofActReg"/>
      </w:pPr>
      <w:r>
        <w:t>Legal Profession Rules 2009</w:t>
      </w:r>
    </w:p>
    <w:p>
      <w:pPr>
        <w:pStyle w:val="Heading2"/>
        <w:pageBreakBefore w:val="0"/>
        <w:spacing w:before="240"/>
      </w:pPr>
      <w:bookmarkStart w:id="1" w:name="_Toc525016595"/>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525016596"/>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rules</w:t>
      </w:r>
      <w:r>
        <w:t xml:space="preserve"> are the </w:t>
      </w:r>
      <w:r>
        <w:rPr>
          <w:i/>
        </w:rPr>
        <w:t>Legal Profession Rules 2009</w:t>
      </w:r>
      <w:r>
        <w:t>.</w:t>
      </w:r>
    </w:p>
    <w:p>
      <w:pPr>
        <w:pStyle w:val="Heading5"/>
        <w:rPr>
          <w:spacing w:val="-2"/>
        </w:rPr>
      </w:pPr>
      <w:bookmarkStart w:id="4" w:name="_Toc525016597"/>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5" w:name="_Toc525016598"/>
      <w:r>
        <w:rPr>
          <w:rStyle w:val="CharSectno"/>
        </w:rPr>
        <w:t>3A</w:t>
      </w:r>
      <w:r>
        <w:t>.</w:t>
      </w:r>
      <w:r>
        <w:tab/>
        <w:t>Supervised legal practice</w:t>
      </w:r>
      <w:bookmarkEnd w:id="5"/>
    </w:p>
    <w:p>
      <w:pPr>
        <w:pStyle w:val="Subsection"/>
      </w:pPr>
      <w:r>
        <w:tab/>
        <w:t>(1)</w:t>
      </w:r>
      <w:r>
        <w:tab/>
        <w:t xml:space="preserve">This rule applies for the purposes of the definition, in section 3 of the Act, of </w:t>
      </w:r>
      <w:r>
        <w:rPr>
          <w:b/>
          <w:bCs/>
          <w:i/>
          <w:iCs/>
        </w:rPr>
        <w:t>supervised legal practice</w:t>
      </w:r>
      <w:r>
        <w:t xml:space="preserve"> paragraph (f).</w:t>
      </w:r>
    </w:p>
    <w:p>
      <w:pPr>
        <w:pStyle w:val="Subsection"/>
      </w:pPr>
      <w:r>
        <w:tab/>
        <w:t>(2)</w:t>
      </w:r>
      <w:r>
        <w:tab/>
        <w:t xml:space="preserve">Legal practice is approved if it is engaged in in a capacity approved under rule 19 for the purposes of the definition, in section 50 of the Act, of </w:t>
      </w:r>
      <w:r>
        <w:rPr>
          <w:b/>
          <w:bCs/>
          <w:i/>
          <w:iCs/>
        </w:rPr>
        <w:t xml:space="preserve">restricted legal practice </w:t>
      </w:r>
      <w:r>
        <w:t>paragraph (f).</w:t>
      </w:r>
    </w:p>
    <w:p>
      <w:pPr>
        <w:pStyle w:val="Footnotesection"/>
      </w:pPr>
      <w:r>
        <w:tab/>
        <w:t>[Rule 3A inserted in Gazette 7 Apr 2009 p. 1135.]</w:t>
      </w:r>
    </w:p>
    <w:p>
      <w:pPr>
        <w:pStyle w:val="Heading2"/>
      </w:pPr>
      <w:bookmarkStart w:id="6" w:name="_Toc525016599"/>
      <w:r>
        <w:rPr>
          <w:rStyle w:val="CharPartNo"/>
        </w:rPr>
        <w:t>Part 2</w:t>
      </w:r>
      <w:r>
        <w:t> — </w:t>
      </w:r>
      <w:r>
        <w:rPr>
          <w:rStyle w:val="CharPartText"/>
        </w:rPr>
        <w:t>Australian legal practitioners</w:t>
      </w:r>
      <w:bookmarkEnd w:id="6"/>
    </w:p>
    <w:p>
      <w:pPr>
        <w:pStyle w:val="Heading3"/>
      </w:pPr>
      <w:bookmarkStart w:id="7" w:name="_Toc525016600"/>
      <w:r>
        <w:rPr>
          <w:rStyle w:val="CharDivNo"/>
        </w:rPr>
        <w:t>Division 1</w:t>
      </w:r>
      <w:r>
        <w:t> — </w:t>
      </w:r>
      <w:r>
        <w:rPr>
          <w:rStyle w:val="CharDivText"/>
        </w:rPr>
        <w:t>Grant or renewal of local practising certificates</w:t>
      </w:r>
      <w:bookmarkEnd w:id="7"/>
    </w:p>
    <w:p>
      <w:pPr>
        <w:pStyle w:val="Heading5"/>
      </w:pPr>
      <w:bookmarkStart w:id="8" w:name="_Toc525016601"/>
      <w:r>
        <w:rPr>
          <w:rStyle w:val="CharSectno"/>
        </w:rPr>
        <w:t>3</w:t>
      </w:r>
      <w:r>
        <w:t>.</w:t>
      </w:r>
      <w:r>
        <w:tab/>
        <w:t>Application for grant or renewal of local practising certificate (s. 43(1))</w:t>
      </w:r>
      <w:bookmarkEnd w:id="8"/>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9" w:name="_Toc525016602"/>
      <w:r>
        <w:rPr>
          <w:rStyle w:val="CharSectno"/>
        </w:rPr>
        <w:t>4</w:t>
      </w:r>
      <w:r>
        <w:t>.</w:t>
      </w:r>
      <w:r>
        <w:tab/>
        <w:t>Fee for application for grant of local practising certificate (s. 43(1)(b))</w:t>
      </w:r>
      <w:bookmarkEnd w:id="9"/>
    </w:p>
    <w:p>
      <w:pPr>
        <w:pStyle w:val="Subsection"/>
      </w:pPr>
      <w:r>
        <w:tab/>
        <w:t>(1)</w:t>
      </w:r>
      <w:r>
        <w:tab/>
        <w:t>The fee payable for an application for the grant or renewal of a local practising certificate is the relevant fee specified in Schedule 1.</w:t>
      </w:r>
    </w:p>
    <w:p>
      <w:pPr>
        <w:pStyle w:val="Subsection"/>
      </w:pPr>
      <w:r>
        <w:tab/>
        <w:t>(2A)</w:t>
      </w:r>
      <w:r>
        <w:tab/>
        <w:t>The fee payable for an application for the grant or renewal of a local practising certificate as specified in Schedule 1 applies to a local practising certificate that takes effect within the time period specified with that fee.</w:t>
      </w:r>
    </w:p>
    <w:p>
      <w:pPr>
        <w:pStyle w:val="Subsection"/>
      </w:pPr>
      <w:r>
        <w:tab/>
        <w:t>(2)</w:t>
      </w:r>
      <w:r>
        <w:tab/>
        <w:t>An applicant for the grant of a local practising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Footnotesection"/>
      </w:pPr>
      <w:r>
        <w:tab/>
        <w:t>[Rule 4 amended in Gazette 12 Dec 2014 p. 4718-19.]</w:t>
      </w:r>
    </w:p>
    <w:p>
      <w:pPr>
        <w:pStyle w:val="Heading5"/>
      </w:pPr>
      <w:bookmarkStart w:id="10" w:name="_Toc525016603"/>
      <w:r>
        <w:rPr>
          <w:rStyle w:val="CharSectno"/>
        </w:rPr>
        <w:t>5</w:t>
      </w:r>
      <w:r>
        <w:t>.</w:t>
      </w:r>
      <w:r>
        <w:tab/>
        <w:t>Timing of application for renewal of local practising certificate (s. 44)</w:t>
      </w:r>
      <w:bookmarkEnd w:id="10"/>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11" w:name="_Toc525016604"/>
      <w:r>
        <w:rPr>
          <w:rStyle w:val="CharSectno"/>
        </w:rPr>
        <w:t>6</w:t>
      </w:r>
      <w:r>
        <w:t>.</w:t>
      </w:r>
      <w:r>
        <w:tab/>
        <w:t>Notification of change of details</w:t>
      </w:r>
      <w:bookmarkEnd w:id="11"/>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12" w:name="_Toc525016605"/>
      <w:r>
        <w:rPr>
          <w:rStyle w:val="CharSectno"/>
        </w:rPr>
        <w:t>7A</w:t>
      </w:r>
      <w:r>
        <w:t>.</w:t>
      </w:r>
      <w:r>
        <w:tab/>
        <w:t>Contributions to Guarantee Fund (s. 337)</w:t>
      </w:r>
      <w:bookmarkEnd w:id="12"/>
    </w:p>
    <w:p>
      <w:pPr>
        <w:pStyle w:val="Subsection"/>
      </w:pPr>
      <w:r>
        <w:tab/>
      </w:r>
      <w:r>
        <w:tab/>
        <w:t>For the purposes of section 337 of the Act the prescribed amount is $20.</w:t>
      </w:r>
    </w:p>
    <w:p>
      <w:pPr>
        <w:pStyle w:val="Footnotesection"/>
      </w:pPr>
      <w:r>
        <w:tab/>
        <w:t>[Rule 3A inserted in Gazette 7 Apr 2009 p. 1136.]</w:t>
      </w:r>
    </w:p>
    <w:p>
      <w:pPr>
        <w:pStyle w:val="Heading3"/>
      </w:pPr>
      <w:bookmarkStart w:id="13" w:name="_Toc525016606"/>
      <w:r>
        <w:rPr>
          <w:rStyle w:val="CharDivNo"/>
        </w:rPr>
        <w:t>Division 2</w:t>
      </w:r>
      <w:r>
        <w:t> — </w:t>
      </w:r>
      <w:r>
        <w:rPr>
          <w:rStyle w:val="CharDivText"/>
        </w:rPr>
        <w:t>Condition on local practising certificates: continuing professional development</w:t>
      </w:r>
      <w:bookmarkEnd w:id="13"/>
    </w:p>
    <w:p>
      <w:pPr>
        <w:pStyle w:val="Heading5"/>
      </w:pPr>
      <w:bookmarkStart w:id="14" w:name="_Toc525016607"/>
      <w:r>
        <w:rPr>
          <w:rStyle w:val="CharSectno"/>
        </w:rPr>
        <w:t>7</w:t>
      </w:r>
      <w:r>
        <w:t>.</w:t>
      </w:r>
      <w:r>
        <w:tab/>
        <w:t>Terms used</w:t>
      </w:r>
      <w:bookmarkEnd w:id="14"/>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certificate year</w:t>
      </w:r>
      <w:r>
        <w:t xml:space="preserve"> means the period during which a local practising certificate is in force;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CPD condition</w:t>
      </w:r>
      <w:r>
        <w:t xml:space="preserve"> means the condition imposed on a local practising certificate by rule 8; </w:t>
      </w:r>
    </w:p>
    <w:p>
      <w:pPr>
        <w:pStyle w:val="Defstart"/>
      </w:pPr>
      <w:r>
        <w:tab/>
      </w:r>
      <w:r>
        <w:rPr>
          <w:rStyle w:val="CharDefText"/>
        </w:rPr>
        <w:t>CPD point</w:t>
      </w:r>
      <w:r>
        <w:t xml:space="preserve"> means a point earned in accordance with rule 9; </w:t>
      </w:r>
    </w:p>
    <w:p>
      <w:pPr>
        <w:pStyle w:val="Defstart"/>
      </w:pPr>
      <w:r>
        <w:tab/>
      </w:r>
      <w:r>
        <w:rPr>
          <w:rStyle w:val="CharDefText"/>
        </w:rPr>
        <w:t>individual activity</w:t>
      </w:r>
      <w:r>
        <w:t xml:space="preserve"> means an approved CPD activity that is not an interactive activity; </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and</w:t>
      </w:r>
    </w:p>
    <w:p>
      <w:pPr>
        <w:pStyle w:val="Defpara"/>
      </w:pPr>
      <w:r>
        <w:tab/>
        <w:t>(d)</w:t>
      </w:r>
      <w:r>
        <w:tab/>
        <w:t xml:space="preserve">the editing of a journal or similar publication (whether in print or an electronic format); </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Heading5"/>
      </w:pPr>
      <w:bookmarkStart w:id="15" w:name="_Toc525016608"/>
      <w:r>
        <w:rPr>
          <w:rStyle w:val="CharSectno"/>
        </w:rPr>
        <w:t>8</w:t>
      </w:r>
      <w:r>
        <w:t>.</w:t>
      </w:r>
      <w:r>
        <w:tab/>
        <w:t>Condition on practising certificates: practitioner must complete professional development</w:t>
      </w:r>
      <w:bookmarkEnd w:id="15"/>
    </w:p>
    <w:p>
      <w:pPr>
        <w:pStyle w:val="Subsection"/>
      </w:pPr>
      <w:r>
        <w:tab/>
        <w:t>(1)</w:t>
      </w:r>
      <w:r>
        <w:tab/>
        <w:t xml:space="preserve">A local practising certificate that takes effect on or after 1 July 2009 is subject to the condition that the local legal practitioner must earn 10 CPD points during the certificate year. </w:t>
      </w:r>
    </w:p>
    <w:p>
      <w:pPr>
        <w:pStyle w:val="Subsection"/>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Heading5"/>
      </w:pPr>
      <w:bookmarkStart w:id="16" w:name="_Toc525016609"/>
      <w:r>
        <w:rPr>
          <w:rStyle w:val="CharSectno"/>
        </w:rPr>
        <w:t>9</w:t>
      </w:r>
      <w:r>
        <w:t>.</w:t>
      </w:r>
      <w:r>
        <w:tab/>
        <w:t>Earning CPD points</w:t>
      </w:r>
      <w:bookmarkEnd w:id="16"/>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12.</w:t>
      </w:r>
    </w:p>
    <w:p>
      <w:pPr>
        <w:pStyle w:val="Subsection"/>
      </w:pPr>
      <w:r>
        <w:tab/>
        <w:t>(3)</w:t>
      </w:r>
      <w:r>
        <w:tab/>
        <w:t>Subject to subrule (4) a CPD point is earned in the certificate year during which the approved CPD activity is completed.</w:t>
      </w:r>
    </w:p>
    <w:p>
      <w:pPr>
        <w:pStyle w:val="Subsection"/>
      </w:pPr>
      <w:r>
        <w:tab/>
        <w:t>(4)</w:t>
      </w:r>
      <w:r>
        <w:tab/>
        <w:t>A CPD point earned by the completion of an approved CPD activity on or after 1 April but before 30 June in a year is to be taken to have been earned on 1 July of that year.</w:t>
      </w:r>
    </w:p>
    <w:p>
      <w:pPr>
        <w:pStyle w:val="Subsection"/>
      </w:pPr>
      <w:r>
        <w:tab/>
        <w:t>(5)</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presenter, commentator or chair of the activity.</w:t>
      </w:r>
    </w:p>
    <w:p>
      <w:pPr>
        <w:pStyle w:val="Heading5"/>
      </w:pPr>
      <w:bookmarkStart w:id="17" w:name="_Toc525016610"/>
      <w:r>
        <w:rPr>
          <w:rStyle w:val="CharSectno"/>
        </w:rPr>
        <w:t>10</w:t>
      </w:r>
      <w:r>
        <w:t>.</w:t>
      </w:r>
      <w:r>
        <w:tab/>
        <w:t>Competency area requirements</w:t>
      </w:r>
      <w:bookmarkEnd w:id="17"/>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18" w:name="_Toc525016611"/>
      <w:r>
        <w:rPr>
          <w:rStyle w:val="CharSectno"/>
        </w:rPr>
        <w:t>11</w:t>
      </w:r>
      <w:r>
        <w:t>.</w:t>
      </w:r>
      <w:r>
        <w:tab/>
        <w:t>Interactive and publishing point requirements</w:t>
      </w:r>
      <w:bookmarkEnd w:id="18"/>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19" w:name="_Toc525016612"/>
      <w:r>
        <w:rPr>
          <w:rStyle w:val="CharSectno"/>
        </w:rPr>
        <w:t>12</w:t>
      </w:r>
      <w:r>
        <w:t>.</w:t>
      </w:r>
      <w:r>
        <w:tab/>
        <w:t>CPD points for an activity</w:t>
      </w:r>
      <w:bookmarkEnd w:id="19"/>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pPr>
            <w:r>
              <w:t>As writer</w:t>
            </w:r>
          </w:p>
        </w:tc>
        <w:tc>
          <w:tcPr>
            <w:tcW w:w="4252" w:type="dxa"/>
          </w:tcPr>
          <w:p>
            <w:pPr>
              <w:pStyle w:val="TableNAm"/>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Subsection"/>
      </w:pPr>
      <w:r>
        <w:tab/>
        <w:t>(2)</w:t>
      </w:r>
      <w:r>
        <w:tab/>
        <w:t xml:space="preserve">When approving an activity under rule 15 the Board may allocate to it a number of CPD points different from that set out in the Table, in which case a person completing the activity earns the number of points allocated by the Board. </w:t>
      </w:r>
    </w:p>
    <w:p>
      <w:pPr>
        <w:pStyle w:val="Subsection"/>
      </w:pPr>
      <w:r>
        <w:tab/>
        <w:t>(3)</w:t>
      </w:r>
      <w:r>
        <w:tab/>
        <w:t>The maximum number of CPD points that can be earned from completing a single approved CPD activity is 7.</w:t>
      </w:r>
    </w:p>
    <w:p>
      <w:pPr>
        <w:pStyle w:val="Heading5"/>
      </w:pPr>
      <w:bookmarkStart w:id="20" w:name="_Toc525016613"/>
      <w:r>
        <w:rPr>
          <w:rStyle w:val="CharSectno"/>
        </w:rPr>
        <w:t>13</w:t>
      </w:r>
      <w:r>
        <w:t>.</w:t>
      </w:r>
      <w:r>
        <w:tab/>
        <w:t>Points for repeated activities</w:t>
      </w:r>
      <w:bookmarkEnd w:id="20"/>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Heading5"/>
      </w:pPr>
      <w:bookmarkStart w:id="21" w:name="_Toc525016614"/>
      <w:r>
        <w:rPr>
          <w:rStyle w:val="CharSectno"/>
        </w:rPr>
        <w:t>14</w:t>
      </w:r>
      <w:r>
        <w:t>.</w:t>
      </w:r>
      <w:r>
        <w:tab/>
        <w:t>Approval of QA providers</w:t>
      </w:r>
      <w:bookmarkEnd w:id="21"/>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Ednotepara"/>
      </w:pPr>
      <w:r>
        <w:tab/>
        <w:t>[(d)</w:t>
      </w:r>
      <w:r>
        <w:tab/>
        <w:t>deleted]</w:t>
      </w:r>
    </w:p>
    <w:p>
      <w:pPr>
        <w:pStyle w:val="Subsection"/>
      </w:pPr>
      <w:r>
        <w:tab/>
        <w:t>(2)</w:t>
      </w:r>
      <w:r>
        <w:tab/>
        <w:t>The Board may approve any other person, body or group of persons as a QA provider.</w:t>
      </w:r>
    </w:p>
    <w:p>
      <w:pPr>
        <w:pStyle w:val="Footnotesection"/>
      </w:pPr>
      <w:r>
        <w:tab/>
        <w:t>[Rule 14 amended in Gazette 26 Oct 2010 p. 5290.]</w:t>
      </w:r>
    </w:p>
    <w:p>
      <w:pPr>
        <w:pStyle w:val="Heading5"/>
      </w:pPr>
      <w:bookmarkStart w:id="22" w:name="_Toc525016615"/>
      <w:r>
        <w:rPr>
          <w:rStyle w:val="CharSectno"/>
        </w:rPr>
        <w:t>15</w:t>
      </w:r>
      <w:r>
        <w:t>.</w:t>
      </w:r>
      <w:r>
        <w:tab/>
        <w:t>Approval of professional development activities</w:t>
      </w:r>
      <w:bookmarkEnd w:id="22"/>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w:t>
      </w:r>
    </w:p>
    <w:p>
      <w:pPr>
        <w:pStyle w:val="Heading5"/>
      </w:pPr>
      <w:bookmarkStart w:id="23" w:name="_Toc525016616"/>
      <w:r>
        <w:rPr>
          <w:rStyle w:val="CharSectno"/>
        </w:rPr>
        <w:t>16</w:t>
      </w:r>
      <w:r>
        <w:t>.</w:t>
      </w:r>
      <w:r>
        <w:tab/>
        <w:t>Approvals generally</w:t>
      </w:r>
      <w:bookmarkEnd w:id="23"/>
    </w:p>
    <w:p>
      <w:pPr>
        <w:pStyle w:val="Subsection"/>
      </w:pPr>
      <w:r>
        <w:tab/>
      </w:r>
      <w:r>
        <w:tab/>
        <w:t xml:space="preserve">An approval under rule 14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Heading5"/>
      </w:pPr>
      <w:bookmarkStart w:id="24" w:name="_Toc525016617"/>
      <w:r>
        <w:rPr>
          <w:rStyle w:val="CharSectno"/>
        </w:rPr>
        <w:t>17</w:t>
      </w:r>
      <w:r>
        <w:t>.</w:t>
      </w:r>
      <w:r>
        <w:tab/>
        <w:t>Variations</w:t>
      </w:r>
      <w:bookmarkEnd w:id="24"/>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CPD condition on a practising certificate by doing either or both of the following — </w:t>
      </w:r>
    </w:p>
    <w:p>
      <w:pPr>
        <w:pStyle w:val="Indenta"/>
      </w:pPr>
      <w:r>
        <w:tab/>
        <w:t>(a)</w:t>
      </w:r>
      <w:r>
        <w:tab/>
        <w:t xml:space="preserve">reducing the number of CPD points the local legal practitioner is required to earn; </w:t>
      </w:r>
    </w:p>
    <w:p>
      <w:pPr>
        <w:pStyle w:val="Indenta"/>
      </w:pPr>
      <w:r>
        <w:tab/>
        <w:t>(b)</w:t>
      </w:r>
      <w:r>
        <w:tab/>
        <w:t>reducing the minimum points requirements imposed by rules 10 and 11.</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 xml:space="preserve">the length of the certificate year; </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 xml:space="preserve">any period of absence from legal practice (whether on leave or otherwise) by the practitioner during the certificate year; </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Heading5"/>
      </w:pPr>
      <w:bookmarkStart w:id="25" w:name="_Toc525016618"/>
      <w:r>
        <w:rPr>
          <w:rStyle w:val="CharSectno"/>
        </w:rPr>
        <w:t>18</w:t>
      </w:r>
      <w:r>
        <w:t>.</w:t>
      </w:r>
      <w:r>
        <w:tab/>
        <w:t>Transitional arrangements</w:t>
      </w:r>
      <w:bookmarkEnd w:id="25"/>
    </w:p>
    <w:p>
      <w:pPr>
        <w:pStyle w:val="Subsection"/>
      </w:pPr>
      <w:r>
        <w:tab/>
        <w:t>(1)</w:t>
      </w:r>
      <w:r>
        <w:tab/>
        <w:t xml:space="preserve">In this rule — </w:t>
      </w:r>
    </w:p>
    <w:p>
      <w:pPr>
        <w:pStyle w:val="Defstart"/>
      </w:pPr>
      <w:r>
        <w:tab/>
      </w:r>
      <w:r>
        <w:rPr>
          <w:rStyle w:val="CharDefText"/>
        </w:rPr>
        <w:t>applicable CPD points</w:t>
      </w:r>
      <w:r>
        <w:t xml:space="preserve">, in relation to an activity, means the CPD points that a practitioner would have earned by completing the activity had this Division been in force on the completion day; </w:t>
      </w:r>
    </w:p>
    <w:p>
      <w:pPr>
        <w:pStyle w:val="Defstart"/>
      </w:pPr>
      <w:r>
        <w:tab/>
      </w:r>
      <w:r>
        <w:rPr>
          <w:rStyle w:val="CharDefText"/>
        </w:rPr>
        <w:t>commencement day</w:t>
      </w:r>
      <w:r>
        <w:t xml:space="preserve"> means the day on which this rule comes into operation; </w:t>
      </w:r>
    </w:p>
    <w:p>
      <w:pPr>
        <w:pStyle w:val="Defstart"/>
      </w:pPr>
      <w:r>
        <w:tab/>
      </w:r>
      <w:r>
        <w:rPr>
          <w:rStyle w:val="CharDefText"/>
        </w:rPr>
        <w:t>completion day</w:t>
      </w:r>
      <w:r>
        <w:t xml:space="preserve">, in relation to an activity, means the day on which the practitioner completed the activity; </w:t>
      </w:r>
    </w:p>
    <w:p>
      <w:pPr>
        <w:pStyle w:val="Defstart"/>
      </w:pPr>
      <w:r>
        <w:tab/>
      </w:r>
      <w:r>
        <w:rPr>
          <w:rStyle w:val="CharDefText"/>
        </w:rPr>
        <w:t>existing certificate</w:t>
      </w:r>
      <w:r>
        <w:t xml:space="preserve"> means a certificate to which section 606 of the Act applies.</w:t>
      </w:r>
    </w:p>
    <w:p>
      <w:pPr>
        <w:pStyle w:val="Subsection"/>
      </w:pPr>
      <w:r>
        <w:tab/>
        <w:t>(2)</w:t>
      </w:r>
      <w:r>
        <w:tab/>
        <w:t>On the commencement day an existing certificate becomes subject to the condition that the local legal practitioner must earn 10 CPD points during the certificate year.</w:t>
      </w:r>
    </w:p>
    <w:p>
      <w:pPr>
        <w:pStyle w:val="Subsection"/>
      </w:pPr>
      <w:r>
        <w:tab/>
        <w:t>(3)</w:t>
      </w:r>
      <w:r>
        <w:tab/>
        <w:t xml:space="preserve">If — </w:t>
      </w:r>
    </w:p>
    <w:p>
      <w:pPr>
        <w:pStyle w:val="Indenta"/>
      </w:pPr>
      <w:r>
        <w:tab/>
        <w:t>(a)</w:t>
      </w:r>
      <w:r>
        <w:tab/>
        <w:t xml:space="preserve">a local legal practitioner who holds an existing certificate completed a professional development activity — </w:t>
      </w:r>
    </w:p>
    <w:p>
      <w:pPr>
        <w:pStyle w:val="Indenti"/>
      </w:pPr>
      <w:r>
        <w:tab/>
        <w:t>(i)</w:t>
      </w:r>
      <w:r>
        <w:tab/>
        <w:t>on or after 1 April 2007; but</w:t>
      </w:r>
    </w:p>
    <w:p>
      <w:pPr>
        <w:pStyle w:val="Indenti"/>
      </w:pPr>
      <w:r>
        <w:tab/>
        <w:t>(ii)</w:t>
      </w:r>
      <w:r>
        <w:tab/>
        <w:t xml:space="preserve">before the commencement day; </w:t>
      </w:r>
    </w:p>
    <w:p>
      <w:pPr>
        <w:pStyle w:val="Indenta"/>
      </w:pPr>
      <w:r>
        <w:tab/>
      </w:r>
      <w:r>
        <w:tab/>
        <w:t xml:space="preserve">and </w:t>
      </w:r>
    </w:p>
    <w:p>
      <w:pPr>
        <w:pStyle w:val="Indenta"/>
      </w:pPr>
      <w:r>
        <w:tab/>
        <w:t>(b)</w:t>
      </w:r>
      <w:r>
        <w:tab/>
        <w:t xml:space="preserve">before 1 June 2009 either — </w:t>
      </w:r>
    </w:p>
    <w:p>
      <w:pPr>
        <w:pStyle w:val="Indenti"/>
      </w:pPr>
      <w:r>
        <w:tab/>
        <w:t>(i)</w:t>
      </w:r>
      <w:r>
        <w:tab/>
        <w:t>the provider of the activity becomes a QA provider; or</w:t>
      </w:r>
    </w:p>
    <w:p>
      <w:pPr>
        <w:pStyle w:val="Indenti"/>
      </w:pPr>
      <w:r>
        <w:tab/>
        <w:t>(ii)</w:t>
      </w:r>
      <w:r>
        <w:tab/>
        <w:t>the activity is approved under rule 15,</w:t>
      </w:r>
    </w:p>
    <w:p>
      <w:pPr>
        <w:pStyle w:val="Subsection"/>
      </w:pPr>
      <w:r>
        <w:tab/>
      </w:r>
      <w:r>
        <w:tab/>
        <w:t>the practitioner is to be taken to have earned any applicable CPD points on the commencement day.</w:t>
      </w:r>
    </w:p>
    <w:p>
      <w:pPr>
        <w:pStyle w:val="Subsection"/>
      </w:pPr>
      <w:r>
        <w:tab/>
        <w:t>(4)</w:t>
      </w:r>
      <w:r>
        <w:tab/>
        <w:t xml:space="preserve">If a local legal practitioner who holds an existing certificate earns a CPD point by the completion of an approved CPD activity on or after 1 April 2009 but before 1 June 2009, the practitioner may choose for the point to be taken to have been earned in the certificate year for that certificate, in which case rule 9(4) does not apply in relation to that point. </w:t>
      </w:r>
    </w:p>
    <w:p>
      <w:pPr>
        <w:pStyle w:val="Heading3"/>
      </w:pPr>
      <w:bookmarkStart w:id="26" w:name="_Toc525016619"/>
      <w:r>
        <w:rPr>
          <w:rStyle w:val="CharDivNo"/>
        </w:rPr>
        <w:t>Division 3</w:t>
      </w:r>
      <w:r>
        <w:t> — </w:t>
      </w:r>
      <w:r>
        <w:rPr>
          <w:rStyle w:val="CharDivText"/>
        </w:rPr>
        <w:t>Other conditions on local practising certificates</w:t>
      </w:r>
      <w:bookmarkEnd w:id="26"/>
    </w:p>
    <w:p>
      <w:pPr>
        <w:pStyle w:val="Heading5"/>
      </w:pPr>
      <w:bookmarkStart w:id="27" w:name="_Toc525016620"/>
      <w:r>
        <w:rPr>
          <w:rStyle w:val="CharSectno"/>
        </w:rPr>
        <w:t>19</w:t>
      </w:r>
      <w:r>
        <w:t>.</w:t>
      </w:r>
      <w:r>
        <w:tab/>
        <w:t>Restricted legal practice (s. 50)</w:t>
      </w:r>
      <w:bookmarkEnd w:id="27"/>
    </w:p>
    <w:p>
      <w:pPr>
        <w:pStyle w:val="Subsection"/>
      </w:pPr>
      <w:r>
        <w:tab/>
        <w:t>(1)</w:t>
      </w:r>
      <w:r>
        <w:tab/>
        <w:t xml:space="preserve">This rule applies for the purposes of the definition, in section 50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3"/>
      </w:pPr>
      <w:bookmarkStart w:id="28" w:name="_Toc525016621"/>
      <w:r>
        <w:rPr>
          <w:rStyle w:val="CharDivNo"/>
        </w:rPr>
        <w:t>Division 4</w:t>
      </w:r>
      <w:r>
        <w:t> — </w:t>
      </w:r>
      <w:r>
        <w:rPr>
          <w:rStyle w:val="CharDivText"/>
        </w:rPr>
        <w:t>Local legal practitioner with articled clerk</w:t>
      </w:r>
      <w:bookmarkEnd w:id="28"/>
    </w:p>
    <w:p>
      <w:pPr>
        <w:pStyle w:val="Heading5"/>
      </w:pPr>
      <w:bookmarkStart w:id="29" w:name="_Toc525016622"/>
      <w:r>
        <w:rPr>
          <w:rStyle w:val="CharSectno"/>
        </w:rPr>
        <w:t>20</w:t>
      </w:r>
      <w:r>
        <w:t>.</w:t>
      </w:r>
      <w:r>
        <w:tab/>
        <w:t>Terms used</w:t>
      </w:r>
      <w:bookmarkEnd w:id="29"/>
    </w:p>
    <w:p>
      <w:pPr>
        <w:pStyle w:val="Subsection"/>
      </w:pPr>
      <w:r>
        <w:tab/>
      </w:r>
      <w:r>
        <w:tab/>
        <w:t xml:space="preserve">A term has the same meaning in this Division as it has in the </w:t>
      </w:r>
      <w:r>
        <w:rPr>
          <w:i/>
          <w:iCs/>
        </w:rPr>
        <w:t>Legal Profession (Admission) Rules </w:t>
      </w:r>
      <w:r>
        <w:t xml:space="preserve">2009 Part 3. </w:t>
      </w:r>
    </w:p>
    <w:p>
      <w:pPr>
        <w:pStyle w:val="Heading5"/>
      </w:pPr>
      <w:bookmarkStart w:id="30" w:name="_Toc525016623"/>
      <w:r>
        <w:rPr>
          <w:rStyle w:val="CharSectno"/>
        </w:rPr>
        <w:t>21</w:t>
      </w:r>
      <w:r>
        <w:t>.</w:t>
      </w:r>
      <w:r>
        <w:tab/>
        <w:t>Supervision of articled clerks</w:t>
      </w:r>
      <w:bookmarkEnd w:id="30"/>
    </w:p>
    <w:p>
      <w:pPr>
        <w:pStyle w:val="Subsection"/>
      </w:pPr>
      <w:r>
        <w:rPr>
          <w:snapToGrid w:val="0"/>
        </w:rPr>
        <w:tab/>
      </w:r>
      <w:r>
        <w:rPr>
          <w:snapToGrid w:val="0"/>
        </w:rPr>
        <w:tab/>
      </w:r>
      <w:r>
        <w:t xml:space="preserve">For the purposes of the </w:t>
      </w:r>
      <w:r>
        <w:rPr>
          <w:i/>
          <w:iCs/>
        </w:rPr>
        <w:t>Legal Profession (Admission) Rules </w:t>
      </w:r>
      <w:r>
        <w:t>2009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31" w:name="_Toc525016624"/>
      <w:r>
        <w:rPr>
          <w:rStyle w:val="CharSectno"/>
        </w:rPr>
        <w:t>22</w:t>
      </w:r>
      <w:r>
        <w:t>.</w:t>
      </w:r>
      <w:r>
        <w:tab/>
        <w:t>Conduct of principal for articled clerk</w:t>
      </w:r>
      <w:bookmarkEnd w:id="31"/>
    </w:p>
    <w:p>
      <w:pPr>
        <w:pStyle w:val="Subsection"/>
      </w:pPr>
      <w:r>
        <w:tab/>
      </w:r>
      <w:r>
        <w:tab/>
        <w:t>A local legal practitioner who is the principal for an articled clerk under articles of clerkship must comply with that deed.</w:t>
      </w:r>
    </w:p>
    <w:p>
      <w:pPr>
        <w:pStyle w:val="Heading3"/>
      </w:pPr>
      <w:bookmarkStart w:id="32" w:name="_Toc525016625"/>
      <w:r>
        <w:rPr>
          <w:rStyle w:val="CharDivNo"/>
        </w:rPr>
        <w:t>Division 5</w:t>
      </w:r>
      <w:r>
        <w:t> — </w:t>
      </w:r>
      <w:r>
        <w:rPr>
          <w:rStyle w:val="CharDivText"/>
        </w:rPr>
        <w:t>Interstate legal practitioners</w:t>
      </w:r>
      <w:bookmarkEnd w:id="32"/>
    </w:p>
    <w:p>
      <w:pPr>
        <w:pStyle w:val="Heading5"/>
      </w:pPr>
      <w:bookmarkStart w:id="33" w:name="_Toc525016626"/>
      <w:r>
        <w:rPr>
          <w:rStyle w:val="CharSectno"/>
        </w:rPr>
        <w:t>23</w:t>
      </w:r>
      <w:r>
        <w:t>.</w:t>
      </w:r>
      <w:r>
        <w:tab/>
        <w:t>Notification requirements for interstate legal practitioners (s. 71)</w:t>
      </w:r>
      <w:bookmarkEnd w:id="33"/>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34" w:name="_Toc525016627"/>
      <w:r>
        <w:rPr>
          <w:rStyle w:val="CharSectno"/>
        </w:rPr>
        <w:t>24</w:t>
      </w:r>
      <w:r>
        <w:t>.</w:t>
      </w:r>
      <w:r>
        <w:tab/>
        <w:t>Restricted legal practice by interstate legal practitioner (s. 72)</w:t>
      </w:r>
      <w:bookmarkEnd w:id="34"/>
    </w:p>
    <w:p>
      <w:pPr>
        <w:pStyle w:val="Subsection"/>
      </w:pPr>
      <w:r>
        <w:tab/>
        <w:t>(1)</w:t>
      </w:r>
      <w:r>
        <w:tab/>
        <w:t xml:space="preserve">This rule applies for the purposes of the definition, in section 72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2"/>
      </w:pPr>
      <w:bookmarkStart w:id="35" w:name="_Toc525016628"/>
      <w:r>
        <w:rPr>
          <w:rStyle w:val="CharPartNo"/>
        </w:rPr>
        <w:t>Part 3</w:t>
      </w:r>
      <w:r>
        <w:rPr>
          <w:rStyle w:val="CharDivNo"/>
        </w:rPr>
        <w:t> </w:t>
      </w:r>
      <w:r>
        <w:t>—</w:t>
      </w:r>
      <w:r>
        <w:rPr>
          <w:rStyle w:val="CharDivText"/>
        </w:rPr>
        <w:t> </w:t>
      </w:r>
      <w:r>
        <w:rPr>
          <w:rStyle w:val="CharPartText"/>
        </w:rPr>
        <w:t>Foreign lawyers</w:t>
      </w:r>
      <w:bookmarkEnd w:id="35"/>
    </w:p>
    <w:p>
      <w:pPr>
        <w:pStyle w:val="Heading5"/>
      </w:pPr>
      <w:bookmarkStart w:id="36" w:name="_Toc525016629"/>
      <w:r>
        <w:rPr>
          <w:rStyle w:val="CharSectno"/>
        </w:rPr>
        <w:t>25</w:t>
      </w:r>
      <w:r>
        <w:t>.</w:t>
      </w:r>
      <w:r>
        <w:tab/>
        <w:t>Fee for application for grant or renewal of registration (s. 168)</w:t>
      </w:r>
      <w:bookmarkEnd w:id="36"/>
    </w:p>
    <w:p>
      <w:pPr>
        <w:pStyle w:val="Subsection"/>
      </w:pPr>
      <w:r>
        <w:tab/>
      </w:r>
      <w:r>
        <w:tab/>
        <w:t>The fee payable for an application for the grant or renewal of registration as a foreign lawyer is the relevant fee specified in Schedule 1.</w:t>
      </w:r>
    </w:p>
    <w:p>
      <w:pPr>
        <w:pStyle w:val="Heading5"/>
      </w:pPr>
      <w:bookmarkStart w:id="37" w:name="_Toc525016630"/>
      <w:r>
        <w:rPr>
          <w:rStyle w:val="CharSectno"/>
        </w:rPr>
        <w:t>26</w:t>
      </w:r>
      <w:r>
        <w:t>.</w:t>
      </w:r>
      <w:r>
        <w:tab/>
        <w:t>Conditions regarding notification of offence (s. 191)</w:t>
      </w:r>
      <w:bookmarkEnd w:id="37"/>
    </w:p>
    <w:p>
      <w:pPr>
        <w:pStyle w:val="Subsection"/>
      </w:pPr>
      <w:r>
        <w:tab/>
      </w:r>
      <w:r>
        <w:tab/>
        <w:t>A notice under section 191 of the Act must be in an approved form.</w:t>
      </w:r>
    </w:p>
    <w:p>
      <w:pPr>
        <w:pStyle w:val="Heading5"/>
      </w:pPr>
      <w:bookmarkStart w:id="38" w:name="_Toc525016631"/>
      <w:r>
        <w:rPr>
          <w:rStyle w:val="CharSectno"/>
        </w:rPr>
        <w:t>27</w:t>
      </w:r>
      <w:r>
        <w:t>.</w:t>
      </w:r>
      <w:r>
        <w:tab/>
        <w:t>Notification requirements for interstate</w:t>
      </w:r>
      <w:r>
        <w:noBreakHyphen/>
        <w:t>registered foreign lawyers (s. 196)</w:t>
      </w:r>
      <w:bookmarkEnd w:id="38"/>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39" w:name="_Toc525016632"/>
      <w:r>
        <w:rPr>
          <w:rStyle w:val="CharPartNo"/>
        </w:rPr>
        <w:t>Part 4</w:t>
      </w:r>
      <w:r>
        <w:t> — </w:t>
      </w:r>
      <w:r>
        <w:rPr>
          <w:rStyle w:val="CharPartText"/>
        </w:rPr>
        <w:t>Legal Practice Board</w:t>
      </w:r>
      <w:bookmarkEnd w:id="39"/>
    </w:p>
    <w:p>
      <w:pPr>
        <w:pStyle w:val="Heading3"/>
      </w:pPr>
      <w:bookmarkStart w:id="40" w:name="_Toc525016633"/>
      <w:r>
        <w:rPr>
          <w:rStyle w:val="CharDivNo"/>
        </w:rPr>
        <w:t>Division 1</w:t>
      </w:r>
      <w:r>
        <w:t> — </w:t>
      </w:r>
      <w:r>
        <w:rPr>
          <w:rStyle w:val="CharDivText"/>
        </w:rPr>
        <w:t>Preliminary matters</w:t>
      </w:r>
      <w:bookmarkEnd w:id="40"/>
    </w:p>
    <w:p>
      <w:pPr>
        <w:pStyle w:val="Heading5"/>
      </w:pPr>
      <w:bookmarkStart w:id="41" w:name="_Toc525016634"/>
      <w:r>
        <w:rPr>
          <w:rStyle w:val="CharSectno"/>
        </w:rPr>
        <w:t>28</w:t>
      </w:r>
      <w:r>
        <w:t>.</w:t>
      </w:r>
      <w:r>
        <w:tab/>
        <w:t>Term used: secretary</w:t>
      </w:r>
      <w:bookmarkEnd w:id="41"/>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42" w:name="_Toc525016635"/>
      <w:r>
        <w:rPr>
          <w:rStyle w:val="CharDivNo"/>
        </w:rPr>
        <w:t>Division 2</w:t>
      </w:r>
      <w:r>
        <w:t> — </w:t>
      </w:r>
      <w:r>
        <w:rPr>
          <w:rStyle w:val="CharDivText"/>
        </w:rPr>
        <w:t>Election of members of the Board</w:t>
      </w:r>
      <w:bookmarkEnd w:id="42"/>
    </w:p>
    <w:p>
      <w:pPr>
        <w:pStyle w:val="Heading5"/>
      </w:pPr>
      <w:bookmarkStart w:id="43" w:name="_Toc525016636"/>
      <w:r>
        <w:rPr>
          <w:rStyle w:val="CharSectno"/>
        </w:rPr>
        <w:t>29</w:t>
      </w:r>
      <w:r>
        <w:t>.</w:t>
      </w:r>
      <w:r>
        <w:tab/>
        <w:t>Annual election date</w:t>
      </w:r>
      <w:bookmarkEnd w:id="43"/>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44" w:name="_Toc525016637"/>
      <w:r>
        <w:rPr>
          <w:rStyle w:val="CharSectno"/>
        </w:rPr>
        <w:t>30</w:t>
      </w:r>
      <w:r>
        <w:t>.</w:t>
      </w:r>
      <w:r>
        <w:tab/>
        <w:t>Returning officers</w:t>
      </w:r>
      <w:bookmarkEnd w:id="44"/>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45" w:name="_Toc525016638"/>
      <w:r>
        <w:rPr>
          <w:rStyle w:val="CharSectno"/>
        </w:rPr>
        <w:t>31</w:t>
      </w:r>
      <w:r>
        <w:t>.</w:t>
      </w:r>
      <w:r>
        <w:tab/>
        <w:t>Nomination of candidates</w:t>
      </w:r>
      <w:bookmarkEnd w:id="45"/>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46" w:name="_Toc525016639"/>
      <w:r>
        <w:rPr>
          <w:rStyle w:val="CharSectno"/>
        </w:rPr>
        <w:t>32</w:t>
      </w:r>
      <w:r>
        <w:t>.</w:t>
      </w:r>
      <w:r>
        <w:tab/>
        <w:t>Candidates elected when nominations equal vacancies</w:t>
      </w:r>
      <w:bookmarkEnd w:id="46"/>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47" w:name="_Toc525016640"/>
      <w:r>
        <w:rPr>
          <w:rStyle w:val="CharSectno"/>
        </w:rPr>
        <w:t>33</w:t>
      </w:r>
      <w:r>
        <w:t>.</w:t>
      </w:r>
      <w:r>
        <w:tab/>
        <w:t>Ballot papers</w:t>
      </w:r>
      <w:bookmarkEnd w:id="47"/>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48" w:name="_Toc525016641"/>
      <w:r>
        <w:rPr>
          <w:rStyle w:val="CharSectno"/>
        </w:rPr>
        <w:t>34</w:t>
      </w:r>
      <w:r>
        <w:t>.</w:t>
      </w:r>
      <w:r>
        <w:tab/>
        <w:t>Voting</w:t>
      </w:r>
      <w:bookmarkEnd w:id="48"/>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 and</w:t>
      </w:r>
    </w:p>
    <w:p>
      <w:pPr>
        <w:pStyle w:val="Indenta"/>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 and</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49" w:name="_Toc525016642"/>
      <w:r>
        <w:rPr>
          <w:rStyle w:val="CharSectno"/>
        </w:rPr>
        <w:t>35</w:t>
      </w:r>
      <w:r>
        <w:t>.</w:t>
      </w:r>
      <w:r>
        <w:tab/>
        <w:t>Commencement of term of office</w:t>
      </w:r>
      <w:bookmarkEnd w:id="49"/>
    </w:p>
    <w:p>
      <w:pPr>
        <w:pStyle w:val="Subsection"/>
      </w:pPr>
      <w:r>
        <w:tab/>
      </w:r>
      <w:r>
        <w:tab/>
        <w:t>A person elected under rule 32 or 34 takes office on the Thursday after the election date.</w:t>
      </w:r>
    </w:p>
    <w:p>
      <w:pPr>
        <w:pStyle w:val="Heading5"/>
      </w:pPr>
      <w:bookmarkStart w:id="50" w:name="_Toc525016643"/>
      <w:r>
        <w:rPr>
          <w:rStyle w:val="CharSectno"/>
        </w:rPr>
        <w:t>36</w:t>
      </w:r>
      <w:r>
        <w:t>.</w:t>
      </w:r>
      <w:r>
        <w:tab/>
        <w:t xml:space="preserve">Results to be published in </w:t>
      </w:r>
      <w:r>
        <w:rPr>
          <w:i/>
          <w:iCs/>
        </w:rPr>
        <w:t>Gazette</w:t>
      </w:r>
      <w:bookmarkEnd w:id="50"/>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51" w:name="_Toc525016644"/>
      <w:r>
        <w:rPr>
          <w:rStyle w:val="CharSectno"/>
        </w:rPr>
        <w:t>37</w:t>
      </w:r>
      <w:r>
        <w:t>.</w:t>
      </w:r>
      <w:r>
        <w:tab/>
        <w:t>Non-receipt of ballot papers</w:t>
      </w:r>
      <w:bookmarkEnd w:id="51"/>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pPr>
      <w:bookmarkStart w:id="52" w:name="_Toc525016645"/>
      <w:r>
        <w:rPr>
          <w:rStyle w:val="CharDivNo"/>
        </w:rPr>
        <w:t>Division 3</w:t>
      </w:r>
      <w:r>
        <w:t> — </w:t>
      </w:r>
      <w:r>
        <w:rPr>
          <w:rStyle w:val="CharDivText"/>
        </w:rPr>
        <w:t>Board meetings</w:t>
      </w:r>
      <w:bookmarkEnd w:id="52"/>
    </w:p>
    <w:p>
      <w:pPr>
        <w:pStyle w:val="Heading5"/>
      </w:pPr>
      <w:bookmarkStart w:id="53" w:name="_Toc525016646"/>
      <w:r>
        <w:rPr>
          <w:rStyle w:val="CharSectno"/>
        </w:rPr>
        <w:t>38</w:t>
      </w:r>
      <w:r>
        <w:t>.</w:t>
      </w:r>
      <w:r>
        <w:tab/>
        <w:t>Board meetings</w:t>
      </w:r>
      <w:bookmarkEnd w:id="53"/>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54" w:name="_Toc525016647"/>
      <w:r>
        <w:rPr>
          <w:rStyle w:val="CharSectno"/>
        </w:rPr>
        <w:t>39</w:t>
      </w:r>
      <w:r>
        <w:t>.</w:t>
      </w:r>
      <w:r>
        <w:tab/>
        <w:t>Holding meetings remotely</w:t>
      </w:r>
      <w:bookmarkEnd w:id="54"/>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55" w:name="_Toc525016648"/>
      <w:r>
        <w:rPr>
          <w:rStyle w:val="CharSectno"/>
        </w:rPr>
        <w:t>40</w:t>
      </w:r>
      <w:r>
        <w:t>.</w:t>
      </w:r>
      <w:r>
        <w:tab/>
        <w:t>Urgent meetings</w:t>
      </w:r>
      <w:bookmarkEnd w:id="55"/>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56" w:name="_Toc525016649"/>
      <w:r>
        <w:rPr>
          <w:rStyle w:val="CharSectno"/>
        </w:rPr>
        <w:t>41</w:t>
      </w:r>
      <w:r>
        <w:t>.</w:t>
      </w:r>
      <w:r>
        <w:tab/>
        <w:t>Resolution without meeting</w:t>
      </w:r>
      <w:bookmarkEnd w:id="56"/>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57" w:name="_Toc525016650"/>
      <w:r>
        <w:rPr>
          <w:rStyle w:val="CharSectno"/>
        </w:rPr>
        <w:t>42</w:t>
      </w:r>
      <w:r>
        <w:t>.</w:t>
      </w:r>
      <w:r>
        <w:tab/>
        <w:t>Rescission or amendment</w:t>
      </w:r>
      <w:bookmarkEnd w:id="57"/>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58" w:name="_Toc525016651"/>
      <w:r>
        <w:rPr>
          <w:rStyle w:val="CharSectno"/>
        </w:rPr>
        <w:t>43</w:t>
      </w:r>
      <w:r>
        <w:t>.</w:t>
      </w:r>
      <w:r>
        <w:tab/>
        <w:t>Minutes</w:t>
      </w:r>
      <w:bookmarkEnd w:id="58"/>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59" w:name="_Toc525016652"/>
      <w:r>
        <w:rPr>
          <w:rStyle w:val="CharDivNo"/>
        </w:rPr>
        <w:t>Division 4</w:t>
      </w:r>
      <w:r>
        <w:t> — </w:t>
      </w:r>
      <w:r>
        <w:rPr>
          <w:rStyle w:val="CharDivText"/>
        </w:rPr>
        <w:t>Committees</w:t>
      </w:r>
      <w:bookmarkEnd w:id="59"/>
    </w:p>
    <w:p>
      <w:pPr>
        <w:pStyle w:val="Heading5"/>
      </w:pPr>
      <w:bookmarkStart w:id="60" w:name="_Toc525016653"/>
      <w:r>
        <w:rPr>
          <w:rStyle w:val="CharSectno"/>
        </w:rPr>
        <w:t>44</w:t>
      </w:r>
      <w:r>
        <w:t>.</w:t>
      </w:r>
      <w:r>
        <w:tab/>
        <w:t>Convenor and deputy convenor</w:t>
      </w:r>
      <w:bookmarkEnd w:id="60"/>
    </w:p>
    <w:p>
      <w:pPr>
        <w:pStyle w:val="Subsection"/>
      </w:pPr>
      <w:r>
        <w:tab/>
        <w:t>(1)</w:t>
      </w:r>
      <w:r>
        <w:tab/>
        <w:t>The Board is to appoint a convenor and deputy convenor for each committee.</w:t>
      </w:r>
    </w:p>
    <w:p>
      <w:pPr>
        <w:pStyle w:val="Subsection"/>
      </w:pPr>
      <w:r>
        <w:tab/>
        <w:t>(2)</w:t>
      </w:r>
      <w:r>
        <w:tab/>
        <w:t xml:space="preserve">Section 541(2) to (6) of the Act apply to a convenor and deputy convenor of a committee. </w:t>
      </w:r>
    </w:p>
    <w:p>
      <w:pPr>
        <w:pStyle w:val="Heading5"/>
      </w:pPr>
      <w:bookmarkStart w:id="61" w:name="_Toc525016654"/>
      <w:r>
        <w:rPr>
          <w:rStyle w:val="CharSectno"/>
        </w:rPr>
        <w:t>45</w:t>
      </w:r>
      <w:r>
        <w:t>.</w:t>
      </w:r>
      <w:r>
        <w:tab/>
        <w:t>Committee meetings</w:t>
      </w:r>
      <w:bookmarkEnd w:id="61"/>
    </w:p>
    <w:p>
      <w:pPr>
        <w:pStyle w:val="Subsection"/>
      </w:pPr>
      <w:r>
        <w:tab/>
        <w:t>(1)</w:t>
      </w:r>
      <w:r>
        <w:tab/>
        <w:t>Section 543, 544 and 545 of the Act and rules 38, 39, 41, 42 and 43(1) apply to committee meetings.</w:t>
      </w:r>
    </w:p>
    <w:p>
      <w:pPr>
        <w:pStyle w:val="Subsection"/>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62" w:name="_Toc525016655"/>
      <w:r>
        <w:rPr>
          <w:rStyle w:val="CharSectno"/>
        </w:rPr>
        <w:t>46</w:t>
      </w:r>
      <w:r>
        <w:t>.</w:t>
      </w:r>
      <w:r>
        <w:tab/>
        <w:t>Application of applied provisions</w:t>
      </w:r>
      <w:bookmarkEnd w:id="62"/>
    </w:p>
    <w:p>
      <w:pPr>
        <w:pStyle w:val="Subsection"/>
      </w:pPr>
      <w:r>
        <w:tab/>
      </w:r>
      <w:r>
        <w:tab/>
        <w:t>For the purpose of applying the provisions referred to in rules 44(2) and 45(1) —</w:t>
      </w:r>
    </w:p>
    <w:p>
      <w:pPr>
        <w:pStyle w:val="Indenta"/>
      </w:pPr>
      <w:r>
        <w:tab/>
        <w:t>(a)</w:t>
      </w:r>
      <w:r>
        <w:tab/>
        <w:t>a reference in those provisions to the Board, is to be read as a reference to the committee; and</w:t>
      </w:r>
    </w:p>
    <w:p>
      <w:pPr>
        <w:pStyle w:val="Indenta"/>
      </w:pPr>
      <w:r>
        <w:tab/>
        <w:t>(b)</w:t>
      </w:r>
      <w:r>
        <w:tab/>
        <w:t>a reference in those provisions to the chairperson, is to be read as a reference to the convenor; and</w:t>
      </w:r>
    </w:p>
    <w:p>
      <w:pPr>
        <w:pStyle w:val="Indenta"/>
      </w:pPr>
      <w:r>
        <w:tab/>
        <w:t>(c)</w:t>
      </w:r>
      <w:r>
        <w:tab/>
        <w:t>a reference in those provisions to the deputy chairperson, is to be read as a reference to the deputy convenor; and</w:t>
      </w:r>
    </w:p>
    <w:p>
      <w:pPr>
        <w:pStyle w:val="Indenta"/>
      </w:pPr>
      <w:r>
        <w:tab/>
        <w:t>(d)</w:t>
      </w:r>
      <w:r>
        <w:tab/>
        <w:t>a reference in those provisions to a member of the Board, is to be read as a reference to a member of the committee.</w:t>
      </w:r>
    </w:p>
    <w:p>
      <w:pPr>
        <w:pStyle w:val="Heading2"/>
      </w:pPr>
      <w:bookmarkStart w:id="63" w:name="_Toc525016656"/>
      <w:r>
        <w:rPr>
          <w:rStyle w:val="CharPartNo"/>
        </w:rPr>
        <w:t>Part 5</w:t>
      </w:r>
      <w:r>
        <w:rPr>
          <w:rStyle w:val="CharDivNo"/>
        </w:rPr>
        <w:t> </w:t>
      </w:r>
      <w:r>
        <w:t>—</w:t>
      </w:r>
      <w:r>
        <w:rPr>
          <w:rStyle w:val="CharDivText"/>
        </w:rPr>
        <w:t> </w:t>
      </w:r>
      <w:r>
        <w:rPr>
          <w:rStyle w:val="CharPartText"/>
        </w:rPr>
        <w:t>Law Library at Supreme Court</w:t>
      </w:r>
      <w:bookmarkEnd w:id="63"/>
    </w:p>
    <w:p>
      <w:pPr>
        <w:pStyle w:val="Heading5"/>
      </w:pPr>
      <w:bookmarkStart w:id="64" w:name="_Toc525016657"/>
      <w:r>
        <w:rPr>
          <w:rStyle w:val="CharSectno"/>
        </w:rPr>
        <w:t>47</w:t>
      </w:r>
      <w:r>
        <w:t>.</w:t>
      </w:r>
      <w:r>
        <w:tab/>
        <w:t>Terms used</w:t>
      </w:r>
      <w:bookmarkEnd w:id="64"/>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w:t>
      </w:r>
      <w:r>
        <w:rPr>
          <w:i/>
        </w:rPr>
        <w:t xml:space="preserve"> </w:t>
      </w:r>
      <w:r>
        <w:t>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65" w:name="_Toc525016658"/>
      <w:r>
        <w:rPr>
          <w:rStyle w:val="CharSectno"/>
        </w:rPr>
        <w:t>48</w:t>
      </w:r>
      <w:r>
        <w:t>.</w:t>
      </w:r>
      <w:r>
        <w:tab/>
        <w:t>People entitled to use the library</w:t>
      </w:r>
      <w:bookmarkEnd w:id="65"/>
    </w:p>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66" w:name="_Toc525016659"/>
      <w:r>
        <w:rPr>
          <w:rStyle w:val="CharSectno"/>
        </w:rPr>
        <w:t>49</w:t>
      </w:r>
      <w:r>
        <w:t>.</w:t>
      </w:r>
      <w:r>
        <w:tab/>
        <w:t>Librarian may suspend or restrict entitlement to use library</w:t>
      </w:r>
      <w:bookmarkEnd w:id="66"/>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67" w:name="_Toc525016660"/>
      <w:r>
        <w:rPr>
          <w:rStyle w:val="CharSectno"/>
        </w:rPr>
        <w:t>50</w:t>
      </w:r>
      <w:r>
        <w:t>.</w:t>
      </w:r>
      <w:r>
        <w:tab/>
        <w:t>Board may suspend or restrict entitlement to use library</w:t>
      </w:r>
      <w:bookmarkEnd w:id="67"/>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68" w:name="_Toc525016661"/>
      <w:r>
        <w:rPr>
          <w:rStyle w:val="CharSectno"/>
        </w:rPr>
        <w:t>51</w:t>
      </w:r>
      <w:r>
        <w:t>.</w:t>
      </w:r>
      <w:r>
        <w:tab/>
        <w:t>Use of the library and books</w:t>
      </w:r>
      <w:bookmarkEnd w:id="68"/>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69" w:name="_Toc525016662"/>
      <w:r>
        <w:rPr>
          <w:rStyle w:val="CharSectno"/>
        </w:rPr>
        <w:t>52</w:t>
      </w:r>
      <w:r>
        <w:t>.</w:t>
      </w:r>
      <w:r>
        <w:tab/>
        <w:t>Borrowing books</w:t>
      </w:r>
      <w:bookmarkEnd w:id="69"/>
    </w:p>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70" w:name="_Toc525016663"/>
      <w:r>
        <w:rPr>
          <w:rStyle w:val="CharSectno"/>
        </w:rPr>
        <w:t>53</w:t>
      </w:r>
      <w:r>
        <w:t>.</w:t>
      </w:r>
      <w:r>
        <w:tab/>
        <w:t>Removal of unauthorised people and retrieval of books</w:t>
      </w:r>
      <w:bookmarkEnd w:id="70"/>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71" w:name="_Toc525016664"/>
      <w:r>
        <w:rPr>
          <w:rStyle w:val="CharPartNo"/>
        </w:rPr>
        <w:t>Part 6</w:t>
      </w:r>
      <w:r>
        <w:rPr>
          <w:rStyle w:val="CharDivNo"/>
        </w:rPr>
        <w:t> </w:t>
      </w:r>
      <w:r>
        <w:t>—</w:t>
      </w:r>
      <w:r>
        <w:rPr>
          <w:rStyle w:val="CharDivText"/>
        </w:rPr>
        <w:t> </w:t>
      </w:r>
      <w:r>
        <w:rPr>
          <w:rStyle w:val="CharPartText"/>
        </w:rPr>
        <w:t>General matters</w:t>
      </w:r>
      <w:bookmarkEnd w:id="71"/>
    </w:p>
    <w:p>
      <w:pPr>
        <w:pStyle w:val="Heading5"/>
      </w:pPr>
      <w:bookmarkStart w:id="72" w:name="_Toc525016665"/>
      <w:r>
        <w:rPr>
          <w:rStyle w:val="CharSectno"/>
        </w:rPr>
        <w:t>54</w:t>
      </w:r>
      <w:r>
        <w:t>.</w:t>
      </w:r>
      <w:r>
        <w:tab/>
        <w:t>Documents given to or by the Board</w:t>
      </w:r>
      <w:bookmarkEnd w:id="72"/>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73" w:name="_Toc525016666"/>
      <w:r>
        <w:rPr>
          <w:rStyle w:val="CharSectno"/>
        </w:rPr>
        <w:t>55</w:t>
      </w:r>
      <w:r>
        <w:t>.</w:t>
      </w:r>
      <w:r>
        <w:tab/>
        <w:t>Board may excuse noncompliance</w:t>
      </w:r>
      <w:bookmarkEnd w:id="73"/>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snapToGrid w:val="0"/>
        </w:rPr>
      </w:pPr>
      <w:bookmarkStart w:id="74" w:name="_Toc525016667"/>
      <w:r>
        <w:rPr>
          <w:rStyle w:val="CharSectno"/>
        </w:rPr>
        <w:t>56</w:t>
      </w:r>
      <w:r>
        <w:rPr>
          <w:snapToGrid w:val="0"/>
        </w:rPr>
        <w:t>.</w:t>
      </w:r>
      <w:r>
        <w:rPr>
          <w:snapToGrid w:val="0"/>
        </w:rPr>
        <w:tab/>
        <w:t>Rules repealed</w:t>
      </w:r>
      <w:bookmarkEnd w:id="74"/>
    </w:p>
    <w:p>
      <w:pPr>
        <w:pStyle w:val="Subsection"/>
        <w:rPr>
          <w:iCs/>
        </w:rPr>
      </w:pPr>
      <w:r>
        <w:rPr>
          <w:iCs/>
        </w:rPr>
        <w:tab/>
      </w:r>
      <w:r>
        <w:rPr>
          <w:iCs/>
        </w:rPr>
        <w:tab/>
        <w:t xml:space="preserve">The </w:t>
      </w:r>
      <w:r>
        <w:rPr>
          <w:i/>
          <w:iCs/>
        </w:rPr>
        <w:t>Legal Practice Board Rules 2004</w:t>
      </w:r>
      <w:r>
        <w:rPr>
          <w:iCs/>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5" w:name="_Toc525016668"/>
      <w:r>
        <w:rPr>
          <w:rStyle w:val="CharSchNo"/>
        </w:rPr>
        <w:t>Schedule 1</w:t>
      </w:r>
      <w:r>
        <w:rPr>
          <w:rStyle w:val="CharSDivNo"/>
        </w:rPr>
        <w:t> </w:t>
      </w:r>
      <w:r>
        <w:t>—</w:t>
      </w:r>
      <w:bookmarkStart w:id="76" w:name="AutoSch"/>
      <w:bookmarkEnd w:id="76"/>
      <w:r>
        <w:rPr>
          <w:rStyle w:val="CharSDivText"/>
        </w:rPr>
        <w:t> </w:t>
      </w:r>
      <w:r>
        <w:rPr>
          <w:rStyle w:val="CharSchText"/>
        </w:rPr>
        <w:t>Fees</w:t>
      </w:r>
      <w:bookmarkEnd w:id="75"/>
    </w:p>
    <w:p>
      <w:pPr>
        <w:pStyle w:val="yShoulderClause"/>
        <w:spacing w:after="60"/>
      </w:pPr>
      <w:r>
        <w:t>[r. 4 and 25]</w:t>
      </w:r>
    </w:p>
    <w:p>
      <w:pPr>
        <w:pStyle w:val="yHeading5"/>
      </w:pPr>
      <w:bookmarkStart w:id="77" w:name="_Toc525016669"/>
      <w:r>
        <w:rPr>
          <w:rStyle w:val="CharSClsNo"/>
        </w:rPr>
        <w:t>1</w:t>
      </w:r>
      <w:r>
        <w:t>.</w:t>
      </w:r>
      <w:r>
        <w:tab/>
        <w:t>Terms used</w:t>
      </w:r>
      <w:bookmarkEnd w:id="77"/>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(before 1 July 2015) or $1 250 (on or after 1 July 2015); </w:t>
      </w:r>
    </w:p>
    <w:p>
      <w:pPr>
        <w:pStyle w:val="yDefstart"/>
      </w:pPr>
      <w:r>
        <w:tab/>
      </w:r>
      <w:r>
        <w:rPr>
          <w:rStyle w:val="CharDefText"/>
        </w:rPr>
        <w:t>standard renewal period</w:t>
      </w:r>
      <w:r>
        <w:t xml:space="preserve"> means the period prescribed by rule 5(2).</w:t>
      </w:r>
    </w:p>
    <w:p>
      <w:pPr>
        <w:pStyle w:val="yFootnotesection"/>
      </w:pPr>
      <w:r>
        <w:tab/>
        <w:t>[Clause 1 amended in Gazette 12 Apr 2011 p. 1311; 12 Dec 2014 p. 4719.]</w:t>
      </w:r>
    </w:p>
    <w:p>
      <w:pPr>
        <w:pStyle w:val="yHeading5"/>
      </w:pPr>
      <w:bookmarkStart w:id="78" w:name="_Toc525016670"/>
      <w:r>
        <w:rPr>
          <w:rStyle w:val="CharSClsNo"/>
        </w:rPr>
        <w:t>2</w:t>
      </w:r>
      <w:r>
        <w:t>.</w:t>
      </w:r>
      <w:r>
        <w:tab/>
        <w:t>Fees</w:t>
      </w:r>
      <w:bookmarkEnd w:id="78"/>
    </w:p>
    <w:p>
      <w:pPr>
        <w:pStyle w:val="ySubsection"/>
      </w:pPr>
      <w:r>
        <w:tab/>
      </w:r>
      <w:r>
        <w:tab/>
        <w:t>The fees payable in respect of the matters listed in the Table are the fees specified in the Table.</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3969"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3969"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45%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50%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3969"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95% of 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3969"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3969" w:type="dxa"/>
            <w:tcBorders>
              <w:top w:val="nil"/>
              <w:left w:val="nil"/>
              <w:bottom w:val="nil"/>
              <w:right w:val="nil"/>
            </w:tcBorders>
          </w:tcPr>
          <w:p>
            <w:pPr>
              <w:pStyle w:val="yTableNAm"/>
              <w:keepNext/>
              <w:tabs>
                <w:tab w:val="clear" w:pos="567"/>
                <w:tab w:val="left" w:pos="459"/>
                <w:tab w:val="right" w:leader="dot" w:pos="3753"/>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3969" w:type="dxa"/>
            <w:tcBorders>
              <w:top w:val="nil"/>
              <w:left w:val="nil"/>
              <w:bottom w:val="single" w:sz="4" w:space="0" w:color="auto"/>
              <w:right w:val="nil"/>
            </w:tcBorders>
          </w:tcPr>
          <w:p>
            <w:pPr>
              <w:pStyle w:val="yTableNAm"/>
              <w:tabs>
                <w:tab w:val="clear" w:pos="567"/>
                <w:tab w:val="left" w:pos="459"/>
                <w:tab w:val="right" w:leader="dot" w:pos="3753"/>
              </w:tabs>
              <w:ind w:left="459" w:hanging="459"/>
            </w:pPr>
            <w:r>
              <w:t>(b)</w:t>
            </w:r>
            <w:r>
              <w:tab/>
              <w:t xml:space="preserve">application made on or after 1 June in the year in which the registration is due to expire </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in Gazette 12 Apr 2011 p. 1311-13.]</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9" w:name="_Toc525016671"/>
      <w:r>
        <w:t>Notes</w:t>
      </w:r>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Rules 2009</w:t>
      </w:r>
      <w:r>
        <w:rPr>
          <w:snapToGrid w:val="0"/>
        </w:rPr>
        <w:t xml:space="preserve"> and includes the amendments made by the other written laws referred to in the following table.</w:t>
      </w:r>
    </w:p>
    <w:p>
      <w:pPr>
        <w:pStyle w:val="nHeading3"/>
      </w:pPr>
      <w:bookmarkStart w:id="80" w:name="_Toc525016672"/>
      <w:r>
        <w:t>Compilation table</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Legal Profession Rules 2009</w:t>
            </w:r>
          </w:p>
        </w:tc>
        <w:tc>
          <w:tcPr>
            <w:tcW w:w="1276" w:type="dxa"/>
            <w:tcBorders>
              <w:bottom w:val="nil"/>
            </w:tcBorders>
          </w:tcPr>
          <w:p>
            <w:pPr>
              <w:pStyle w:val="nTable"/>
              <w:spacing w:after="40"/>
              <w:rPr>
                <w:sz w:val="19"/>
              </w:rPr>
            </w:pPr>
            <w:r>
              <w:rPr>
                <w:sz w:val="19"/>
              </w:rPr>
              <w:t>24 Feb 2009 p. 411</w:t>
            </w:r>
            <w:r>
              <w:rPr>
                <w:sz w:val="19"/>
              </w:rPr>
              <w:noBreakHyphen/>
              <w:t>47</w:t>
            </w:r>
          </w:p>
        </w:tc>
        <w:tc>
          <w:tcPr>
            <w:tcW w:w="2693" w:type="dxa"/>
            <w:tcBorders>
              <w:bottom w:val="nil"/>
            </w:tcBorders>
          </w:tcPr>
          <w:p>
            <w:pPr>
              <w:pStyle w:val="nTable"/>
              <w:spacing w:after="40"/>
              <w:rPr>
                <w:sz w:val="19"/>
              </w:rPr>
            </w:pPr>
            <w:r>
              <w:rPr>
                <w:snapToGrid w:val="0"/>
                <w:spacing w:val="-2"/>
                <w:sz w:val="19"/>
              </w:rPr>
              <w:t>r. 1 and 2: 24 Feb 2009 (see r. 2(a));</w:t>
            </w:r>
            <w:r>
              <w:rPr>
                <w:snapToGrid w:val="0"/>
                <w:spacing w:val="-2"/>
                <w:sz w:val="19"/>
              </w:rPr>
              <w:br/>
              <w:t xml:space="preserve">Rules other than r. 1 and 2: 1 Mar 2009 (see r. 2(b) and </w:t>
            </w:r>
            <w:r>
              <w:rPr>
                <w:i/>
                <w:iCs/>
                <w:snapToGrid w:val="0"/>
                <w:spacing w:val="-2"/>
                <w:sz w:val="19"/>
              </w:rPr>
              <w:t>Gazette</w:t>
            </w:r>
            <w:r>
              <w:rPr>
                <w:snapToGrid w:val="0"/>
                <w:spacing w:val="-2"/>
                <w:sz w:val="19"/>
              </w:rPr>
              <w:t xml:space="preserve"> 27 Feb 2009 p. 511)</w:t>
            </w:r>
          </w:p>
        </w:tc>
      </w:tr>
      <w:tr>
        <w:tc>
          <w:tcPr>
            <w:tcW w:w="3118" w:type="dxa"/>
            <w:tcBorders>
              <w:top w:val="nil"/>
              <w:bottom w:val="nil"/>
            </w:tcBorders>
          </w:tcPr>
          <w:p>
            <w:pPr>
              <w:pStyle w:val="nTable"/>
              <w:spacing w:after="40"/>
              <w:rPr>
                <w:sz w:val="19"/>
              </w:rPr>
            </w:pPr>
            <w:r>
              <w:rPr>
                <w:i/>
                <w:sz w:val="19"/>
              </w:rPr>
              <w:t>Legal Profession Amendment Rules 2009</w:t>
            </w:r>
          </w:p>
        </w:tc>
        <w:tc>
          <w:tcPr>
            <w:tcW w:w="1276" w:type="dxa"/>
            <w:tcBorders>
              <w:top w:val="nil"/>
              <w:bottom w:val="nil"/>
            </w:tcBorders>
          </w:tcPr>
          <w:p>
            <w:pPr>
              <w:pStyle w:val="nTable"/>
              <w:spacing w:after="40"/>
              <w:rPr>
                <w:sz w:val="19"/>
              </w:rPr>
            </w:pPr>
            <w:r>
              <w:rPr>
                <w:sz w:val="19"/>
              </w:rPr>
              <w:t>7 Apr 2009 p. 1135</w:t>
            </w:r>
            <w:r>
              <w:rPr>
                <w:sz w:val="19"/>
              </w:rPr>
              <w:noBreakHyphen/>
              <w:t>6</w:t>
            </w:r>
          </w:p>
        </w:tc>
        <w:tc>
          <w:tcPr>
            <w:tcW w:w="2693" w:type="dxa"/>
            <w:tcBorders>
              <w:top w:val="nil"/>
              <w:bottom w:val="nil"/>
            </w:tcBorders>
          </w:tcPr>
          <w:p>
            <w:pPr>
              <w:pStyle w:val="nTable"/>
              <w:spacing w:after="40"/>
              <w:rPr>
                <w:snapToGrid w:val="0"/>
                <w:spacing w:val="-2"/>
                <w:sz w:val="19"/>
              </w:rPr>
            </w:pPr>
            <w:r>
              <w:rPr>
                <w:snapToGrid w:val="0"/>
                <w:spacing w:val="-2"/>
                <w:sz w:val="19"/>
              </w:rPr>
              <w:t>r. 1 and 2: 7 Apr 2009 (see r. 2(a));</w:t>
            </w:r>
            <w:r>
              <w:rPr>
                <w:snapToGrid w:val="0"/>
                <w:spacing w:val="-2"/>
                <w:sz w:val="19"/>
              </w:rPr>
              <w:br/>
              <w:t>Rules other than r. 1 and 2: 8 Apr 2009 (see r. 2(b))</w:t>
            </w:r>
          </w:p>
        </w:tc>
      </w:tr>
      <w:tr>
        <w:tc>
          <w:tcPr>
            <w:tcW w:w="3118" w:type="dxa"/>
            <w:tcBorders>
              <w:top w:val="nil"/>
              <w:bottom w:val="nil"/>
            </w:tcBorders>
          </w:tcPr>
          <w:p>
            <w:pPr>
              <w:pStyle w:val="nTable"/>
              <w:spacing w:after="40"/>
              <w:rPr>
                <w:i/>
                <w:sz w:val="19"/>
              </w:rPr>
            </w:pPr>
            <w:r>
              <w:rPr>
                <w:i/>
                <w:sz w:val="19"/>
              </w:rPr>
              <w:t>Legal Profession Amendment Rules 2010</w:t>
            </w:r>
          </w:p>
        </w:tc>
        <w:tc>
          <w:tcPr>
            <w:tcW w:w="1276" w:type="dxa"/>
            <w:tcBorders>
              <w:top w:val="nil"/>
              <w:bottom w:val="nil"/>
            </w:tcBorders>
          </w:tcPr>
          <w:p>
            <w:pPr>
              <w:pStyle w:val="nTable"/>
              <w:spacing w:after="40"/>
              <w:rPr>
                <w:sz w:val="19"/>
              </w:rPr>
            </w:pPr>
            <w:r>
              <w:rPr>
                <w:sz w:val="19"/>
              </w:rPr>
              <w:t>26 Oct 2010 p. 5290</w:t>
            </w:r>
          </w:p>
        </w:tc>
        <w:tc>
          <w:tcPr>
            <w:tcW w:w="2693" w:type="dxa"/>
            <w:tcBorders>
              <w:top w:val="nil"/>
              <w:bottom w:val="nil"/>
            </w:tcBorders>
          </w:tcPr>
          <w:p>
            <w:pPr>
              <w:pStyle w:val="nTable"/>
              <w:spacing w:after="40"/>
              <w:rPr>
                <w:snapToGrid w:val="0"/>
                <w:spacing w:val="-2"/>
                <w:sz w:val="19"/>
              </w:rPr>
            </w:pPr>
            <w:r>
              <w:rPr>
                <w:snapToGrid w:val="0"/>
                <w:spacing w:val="-2"/>
                <w:sz w:val="19"/>
              </w:rPr>
              <w:t>r. 1 and 2: 26 Oct 2010 (see r. 2(a));</w:t>
            </w:r>
            <w:r>
              <w:rPr>
                <w:snapToGrid w:val="0"/>
                <w:spacing w:val="-2"/>
                <w:sz w:val="19"/>
              </w:rPr>
              <w:br/>
              <w:t>Rules other than r. 1 and 2: 27 Oct 2010 (see r. 2(b))</w:t>
            </w:r>
          </w:p>
        </w:tc>
      </w:tr>
      <w:tr>
        <w:tc>
          <w:tcPr>
            <w:tcW w:w="3118" w:type="dxa"/>
            <w:tcBorders>
              <w:top w:val="nil"/>
              <w:bottom w:val="nil"/>
            </w:tcBorders>
          </w:tcPr>
          <w:p>
            <w:pPr>
              <w:pStyle w:val="nTable"/>
              <w:spacing w:after="40"/>
              <w:rPr>
                <w:i/>
                <w:sz w:val="19"/>
              </w:rPr>
            </w:pPr>
            <w:r>
              <w:rPr>
                <w:i/>
                <w:sz w:val="19"/>
              </w:rPr>
              <w:t>Legal Profession Amendment Rules 2011</w:t>
            </w:r>
          </w:p>
        </w:tc>
        <w:tc>
          <w:tcPr>
            <w:tcW w:w="1276" w:type="dxa"/>
            <w:tcBorders>
              <w:top w:val="nil"/>
              <w:bottom w:val="nil"/>
            </w:tcBorders>
          </w:tcPr>
          <w:p>
            <w:pPr>
              <w:pStyle w:val="nTable"/>
              <w:spacing w:after="40"/>
              <w:rPr>
                <w:sz w:val="19"/>
              </w:rPr>
            </w:pPr>
            <w:r>
              <w:rPr>
                <w:sz w:val="19"/>
              </w:rPr>
              <w:t>12 Apr 2011 p. 1311-13</w:t>
            </w:r>
          </w:p>
        </w:tc>
        <w:tc>
          <w:tcPr>
            <w:tcW w:w="2693" w:type="dxa"/>
            <w:tcBorders>
              <w:top w:val="nil"/>
              <w:bottom w:val="nil"/>
            </w:tcBorders>
          </w:tcPr>
          <w:p>
            <w:pPr>
              <w:pStyle w:val="nTable"/>
              <w:spacing w:after="40"/>
              <w:rPr>
                <w:snapToGrid w:val="0"/>
                <w:spacing w:val="-2"/>
                <w:sz w:val="19"/>
              </w:rPr>
            </w:pPr>
            <w:r>
              <w:rPr>
                <w:snapToGrid w:val="0"/>
                <w:spacing w:val="-2"/>
                <w:sz w:val="19"/>
              </w:rPr>
              <w:t>r. 1 and 2: 12 Apr 2011 (see r. 2(a));</w:t>
            </w:r>
            <w:r>
              <w:rPr>
                <w:snapToGrid w:val="0"/>
                <w:spacing w:val="-2"/>
                <w:sz w:val="19"/>
              </w:rPr>
              <w:br/>
              <w:t>Rules other than r. 1 and 2: 13 Apr 2011 (see r. 2(b))</w:t>
            </w:r>
          </w:p>
        </w:tc>
      </w:tr>
      <w:tr>
        <w:tc>
          <w:tcPr>
            <w:tcW w:w="3118" w:type="dxa"/>
            <w:tcBorders>
              <w:top w:val="nil"/>
              <w:bottom w:val="single" w:sz="4" w:space="0" w:color="auto"/>
            </w:tcBorders>
          </w:tcPr>
          <w:p>
            <w:pPr>
              <w:pStyle w:val="nTable"/>
              <w:spacing w:after="40"/>
              <w:rPr>
                <w:i/>
                <w:sz w:val="19"/>
              </w:rPr>
            </w:pPr>
            <w:r>
              <w:rPr>
                <w:i/>
                <w:sz w:val="19"/>
              </w:rPr>
              <w:t>Legal Profession Amendment Rules (No. 2) 2014</w:t>
            </w:r>
          </w:p>
        </w:tc>
        <w:tc>
          <w:tcPr>
            <w:tcW w:w="1276" w:type="dxa"/>
            <w:tcBorders>
              <w:top w:val="nil"/>
              <w:bottom w:val="single" w:sz="4" w:space="0" w:color="auto"/>
            </w:tcBorders>
          </w:tcPr>
          <w:p>
            <w:pPr>
              <w:pStyle w:val="nTable"/>
              <w:spacing w:after="40"/>
              <w:rPr>
                <w:sz w:val="19"/>
              </w:rPr>
            </w:pPr>
            <w:r>
              <w:rPr>
                <w:sz w:val="19"/>
              </w:rPr>
              <w:t>12 Dec 2014 p. 4718-19</w:t>
            </w:r>
          </w:p>
        </w:tc>
        <w:tc>
          <w:tcPr>
            <w:tcW w:w="2693" w:type="dxa"/>
            <w:tcBorders>
              <w:top w:val="nil"/>
              <w:bottom w:val="single" w:sz="4" w:space="0" w:color="auto"/>
            </w:tcBorders>
          </w:tcPr>
          <w:p>
            <w:pPr>
              <w:pStyle w:val="nTable"/>
              <w:spacing w:after="40"/>
              <w:rPr>
                <w:snapToGrid w:val="0"/>
                <w:spacing w:val="-2"/>
                <w:sz w:val="19"/>
              </w:rPr>
            </w:pPr>
            <w:r>
              <w:rPr>
                <w:rFonts w:ascii="Times" w:hAnsi="Times"/>
                <w:bCs/>
                <w:snapToGrid w:val="0"/>
                <w:spacing w:val="-2"/>
                <w:sz w:val="19"/>
                <w:szCs w:val="19"/>
              </w:rPr>
              <w:t>r. 1 and 2: 12 Dec 2014 (see r. 2(a));</w:t>
            </w:r>
            <w:r>
              <w:rPr>
                <w:rFonts w:ascii="Times" w:hAnsi="Times"/>
                <w:bCs/>
                <w:snapToGrid w:val="0"/>
                <w:spacing w:val="-2"/>
                <w:sz w:val="19"/>
                <w:szCs w:val="19"/>
              </w:rPr>
              <w:br/>
              <w:t>Rules other than r. 1 and 2: 13 Dec 2014 (see r. 2(b))</w:t>
            </w:r>
          </w:p>
        </w:tc>
      </w:tr>
    </w:tbl>
    <w:p>
      <w:pPr>
        <w:rPr>
          <w:iCs/>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81" w:name="_Toc525016673"/>
      <w:r>
        <w:rPr>
          <w:sz w:val="28"/>
        </w:rPr>
        <w:t>Defined terms</w:t>
      </w:r>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 w:name="DefinedTerms"/>
      <w:bookmarkEnd w:id="82"/>
      <w:r>
        <w:t>after the overdue period</w:t>
      </w:r>
      <w:r>
        <w:tab/>
        <w:t>Sch. 1 cl. 1</w:t>
      </w:r>
    </w:p>
    <w:p>
      <w:pPr>
        <w:pStyle w:val="DefinedTerms"/>
      </w:pPr>
      <w:r>
        <w:t>applicable CPD points</w:t>
      </w:r>
      <w:r>
        <w:tab/>
        <w:t>18(1)</w:t>
      </w:r>
    </w:p>
    <w:p>
      <w:pPr>
        <w:pStyle w:val="DefinedTerms"/>
      </w:pPr>
      <w:r>
        <w:t>approved CPD activity</w:t>
      </w:r>
      <w:r>
        <w:tab/>
        <w:t>7</w:t>
      </w:r>
    </w:p>
    <w:p>
      <w:pPr>
        <w:pStyle w:val="DefinedTerms"/>
      </w:pPr>
      <w:r>
        <w:t>book</w:t>
      </w:r>
      <w:r>
        <w:tab/>
        <w:t>47</w:t>
      </w:r>
    </w:p>
    <w:p>
      <w:pPr>
        <w:pStyle w:val="DefinedTerms"/>
      </w:pPr>
      <w:r>
        <w:t>certificate year</w:t>
      </w:r>
      <w:r>
        <w:tab/>
        <w:t>7</w:t>
      </w:r>
    </w:p>
    <w:p>
      <w:pPr>
        <w:pStyle w:val="DefinedTerms"/>
      </w:pPr>
      <w:r>
        <w:t>chair</w:t>
      </w:r>
      <w:r>
        <w:tab/>
        <w:t>7</w:t>
      </w:r>
    </w:p>
    <w:p>
      <w:pPr>
        <w:pStyle w:val="DefinedTerms"/>
      </w:pPr>
      <w:r>
        <w:t>commencement day</w:t>
      </w:r>
      <w:r>
        <w:tab/>
        <w:t>18(1)</w:t>
      </w:r>
    </w:p>
    <w:p>
      <w:pPr>
        <w:pStyle w:val="DefinedTerms"/>
      </w:pPr>
      <w:r>
        <w:t>commentator</w:t>
      </w:r>
      <w:r>
        <w:tab/>
        <w:t>7</w:t>
      </w:r>
    </w:p>
    <w:p>
      <w:pPr>
        <w:pStyle w:val="DefinedTerms"/>
      </w:pPr>
      <w:r>
        <w:t>committee</w:t>
      </w:r>
      <w:r>
        <w:tab/>
        <w:t>47</w:t>
      </w:r>
    </w:p>
    <w:p>
      <w:pPr>
        <w:pStyle w:val="DefinedTerms"/>
      </w:pPr>
      <w:r>
        <w:t>competency area 1</w:t>
      </w:r>
      <w:r>
        <w:tab/>
        <w:t>10(2)</w:t>
      </w:r>
    </w:p>
    <w:p>
      <w:pPr>
        <w:pStyle w:val="DefinedTerms"/>
      </w:pPr>
      <w:r>
        <w:t>competency area 2</w:t>
      </w:r>
      <w:r>
        <w:tab/>
        <w:t>10(3)</w:t>
      </w:r>
    </w:p>
    <w:p>
      <w:pPr>
        <w:pStyle w:val="DefinedTerms"/>
      </w:pPr>
      <w:r>
        <w:t>competency area 3</w:t>
      </w:r>
      <w:r>
        <w:tab/>
        <w:t>10(4)</w:t>
      </w:r>
    </w:p>
    <w:p>
      <w:pPr>
        <w:pStyle w:val="DefinedTerms"/>
      </w:pPr>
      <w:r>
        <w:t>completion day</w:t>
      </w:r>
      <w:r>
        <w:tab/>
        <w:t>18(1)</w:t>
      </w:r>
    </w:p>
    <w:p>
      <w:pPr>
        <w:pStyle w:val="DefinedTerms"/>
      </w:pPr>
      <w:r>
        <w:t>CPD condition</w:t>
      </w:r>
      <w:r>
        <w:tab/>
        <w:t>7</w:t>
      </w:r>
    </w:p>
    <w:p>
      <w:pPr>
        <w:pStyle w:val="DefinedTerms"/>
      </w:pPr>
      <w:r>
        <w:t>CPD point</w:t>
      </w:r>
      <w:r>
        <w:tab/>
        <w:t>7</w:t>
      </w:r>
    </w:p>
    <w:p>
      <w:pPr>
        <w:pStyle w:val="DefinedTerms"/>
      </w:pPr>
      <w:r>
        <w:t>existing certificate</w:t>
      </w:r>
      <w:r>
        <w:tab/>
        <w:t>18(1)</w:t>
      </w:r>
    </w:p>
    <w:p>
      <w:pPr>
        <w:pStyle w:val="DefinedTerms"/>
      </w:pPr>
      <w:r>
        <w:t>experienced practitioner</w:t>
      </w:r>
      <w:r>
        <w:tab/>
        <w:t>10(1)</w:t>
      </w:r>
    </w:p>
    <w:p>
      <w:pPr>
        <w:pStyle w:val="DefinedTerms"/>
      </w:pPr>
      <w:r>
        <w:t>expiry day</w:t>
      </w:r>
      <w:r>
        <w:tab/>
        <w:t>5(1)</w:t>
      </w:r>
    </w:p>
    <w:p>
      <w:pPr>
        <w:pStyle w:val="DefinedTerms"/>
      </w:pPr>
      <w:r>
        <w:t>individual activity</w:t>
      </w:r>
      <w:r>
        <w:tab/>
        <w:t>7</w:t>
      </w:r>
    </w:p>
    <w:p>
      <w:pPr>
        <w:pStyle w:val="DefinedTerms"/>
      </w:pPr>
      <w:r>
        <w:t>interactive activity</w:t>
      </w:r>
      <w:r>
        <w:tab/>
        <w:t>7</w:t>
      </w:r>
    </w:p>
    <w:p>
      <w:pPr>
        <w:pStyle w:val="DefinedTerms"/>
      </w:pPr>
      <w:r>
        <w:t>late fee period</w:t>
      </w:r>
      <w:r>
        <w:tab/>
        <w:t>Sch. 1 cl. 1</w:t>
      </w:r>
    </w:p>
    <w:p>
      <w:pPr>
        <w:pStyle w:val="DefinedTerms"/>
      </w:pPr>
      <w:r>
        <w:t>librarian</w:t>
      </w:r>
      <w:r>
        <w:tab/>
        <w:t>47</w:t>
      </w:r>
    </w:p>
    <w:p>
      <w:pPr>
        <w:pStyle w:val="DefinedTerms"/>
      </w:pPr>
      <w:r>
        <w:t>library</w:t>
      </w:r>
      <w:r>
        <w:tab/>
        <w:t>47</w:t>
      </w:r>
    </w:p>
    <w:p>
      <w:pPr>
        <w:pStyle w:val="DefinedTerms"/>
      </w:pPr>
      <w:r>
        <w:t>overdue period</w:t>
      </w:r>
      <w:r>
        <w:tab/>
        <w:t>Sch. 1 cl. 1</w:t>
      </w:r>
    </w:p>
    <w:p>
      <w:pPr>
        <w:pStyle w:val="DefinedTerms"/>
      </w:pPr>
      <w:r>
        <w:t>presenter</w:t>
      </w:r>
      <w:r>
        <w:tab/>
        <w:t>7</w:t>
      </w:r>
    </w:p>
    <w:p>
      <w:pPr>
        <w:pStyle w:val="DefinedTerms"/>
      </w:pPr>
      <w:r>
        <w:t>professional development activity</w:t>
      </w:r>
      <w:r>
        <w:tab/>
        <w:t>7</w:t>
      </w:r>
    </w:p>
    <w:p>
      <w:pPr>
        <w:pStyle w:val="DefinedTerms"/>
      </w:pPr>
      <w:r>
        <w:t>publication activity</w:t>
      </w:r>
      <w:r>
        <w:tab/>
        <w:t>7</w:t>
      </w:r>
    </w:p>
    <w:p>
      <w:pPr>
        <w:pStyle w:val="DefinedTerms"/>
      </w:pPr>
      <w:r>
        <w:t>QA provider</w:t>
      </w:r>
      <w:r>
        <w:tab/>
        <w:t>7</w:t>
      </w:r>
    </w:p>
    <w:p>
      <w:pPr>
        <w:pStyle w:val="DefinedTerms"/>
      </w:pPr>
      <w:r>
        <w:t>reduce</w:t>
      </w:r>
      <w:r>
        <w:tab/>
        <w:t>17(1)</w:t>
      </w:r>
    </w:p>
    <w:p>
      <w:pPr>
        <w:pStyle w:val="DefinedTerms"/>
      </w:pPr>
      <w:r>
        <w:t>remote communication</w:t>
      </w:r>
      <w:r>
        <w:tab/>
        <w:t>7</w:t>
      </w:r>
    </w:p>
    <w:p>
      <w:pPr>
        <w:pStyle w:val="DefinedTerms"/>
      </w:pPr>
      <w:r>
        <w:t>response time</w:t>
      </w:r>
      <w:r>
        <w:tab/>
        <w:t>41(2)</w:t>
      </w:r>
    </w:p>
    <w:p>
      <w:pPr>
        <w:pStyle w:val="DefinedTerms"/>
      </w:pPr>
      <w:r>
        <w:t>secretary</w:t>
      </w:r>
      <w:r>
        <w:tab/>
        <w:t>28</w:t>
      </w:r>
    </w:p>
    <w:p>
      <w:pPr>
        <w:pStyle w:val="DefinedTerms"/>
      </w:pPr>
      <w:r>
        <w:t>standard fee</w:t>
      </w:r>
      <w:r>
        <w:tab/>
        <w:t>Sch. 1 cl. 1</w:t>
      </w:r>
    </w:p>
    <w:p>
      <w:pPr>
        <w:pStyle w:val="DefinedTerms"/>
      </w:pPr>
      <w:r>
        <w:t>standard renewal period</w:t>
      </w:r>
      <w:r>
        <w:tab/>
        <w:t>Sch. 1 cl. 1</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Rules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Rules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Rules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133"/>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1207100133" w:val="RemoveTrackChanges"/>
    <w:docVar w:name="WAFER_20151207100133_GUID" w:val="bc162223-b4c7-4031-b7f0-32c6813db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7304</Words>
  <Characters>35209</Characters>
  <Application>Microsoft Office Word</Application>
  <DocSecurity>0</DocSecurity>
  <Lines>1135</Lines>
  <Paragraphs>745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2009 - 00-e0-01</dc:title>
  <dc:subject/>
  <dc:creator/>
  <cp:keywords/>
  <dc:description/>
  <cp:lastModifiedBy>svcMRProcess</cp:lastModifiedBy>
  <cp:revision>4</cp:revision>
  <cp:lastPrinted>2009-02-18T08:27:00Z</cp:lastPrinted>
  <dcterms:created xsi:type="dcterms:W3CDTF">2018-09-17T22:47:00Z</dcterms:created>
  <dcterms:modified xsi:type="dcterms:W3CDTF">2018-09-17T22:47:00Z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20141213</vt:lpwstr>
  </property>
  <property fmtid="{D5CDD505-2E9C-101B-9397-08002B2CF9AE}" pid="4" name="OwlsUID">
    <vt:i4>41036</vt:i4>
  </property>
  <property fmtid="{D5CDD505-2E9C-101B-9397-08002B2CF9AE}" pid="5" name="AsAtDate">
    <vt:lpwstr>13 Dec 2014</vt:lpwstr>
  </property>
  <property fmtid="{D5CDD505-2E9C-101B-9397-08002B2CF9AE}" pid="6" name="Suffix">
    <vt:lpwstr>00-e0-01</vt:lpwstr>
  </property>
  <property fmtid="{D5CDD505-2E9C-101B-9397-08002B2CF9AE}" pid="7" name="DocumentType">
    <vt:lpwstr>Reg</vt:lpwstr>
  </property>
</Properties>
</file>