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Cremation Act 1929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5 December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08666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December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_Toc404937232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_Toc404937233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_Toc404937234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_Toc404937236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_Toc404937237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_Toc404937238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_Toc404937239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_Toc404937241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_Toc404937242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_Toc404937243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_Toc404937245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_Toc404937246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_Toc404937248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_Toc404937249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_Toc404937251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_Toc404937252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_Toc404937253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_Toc404937255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_Toc404937256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_Toc404937257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_Toc404937258 \h </w:instrText>
      </w:r>
      <w:r>
        <w:fldChar w:fldCharType="separate"/>
      </w:r>
      <w:r>
        <w:t>10</w:t>
      </w:r>
      <w:r>
        <w:fldChar w:fldCharType="end"/>
      </w:r>
    </w:p>
    <w:p>
      <w:pPr>
        <w:pStyle w:val="TOC2"/>
        <w:tabs>
          <w:tab w:val="right" w:leader="dot" w:pos="7078"/>
        </w:tabs>
        <w:rPr>
          <w:rFonts w:asciiTheme="minorHAnsi" w:eastAsiaTheme="minorEastAsia" w:hAnsiTheme="minorHAnsi" w:cstheme="minorBidi"/>
          <w:b w:val="0"/>
          <w:sz w:val="22"/>
          <w:szCs w:val="22"/>
        </w:rPr>
      </w:pPr>
      <w:r>
        <w:t>Appendix “A”</w:t>
      </w:r>
    </w:p>
    <w:p>
      <w:pPr>
        <w:pStyle w:val="TOC2"/>
        <w:tabs>
          <w:tab w:val="right" w:leader="dot" w:pos="7078"/>
        </w:tabs>
        <w:rPr>
          <w:rFonts w:asciiTheme="minorHAnsi" w:eastAsiaTheme="minorEastAsia" w:hAnsiTheme="minorHAnsi" w:cstheme="minorBidi"/>
          <w:b w:val="0"/>
          <w:sz w:val="22"/>
          <w:szCs w:val="22"/>
        </w:rPr>
      </w:pPr>
      <w:r>
        <w:t>Appendix “B”</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_Toc404937262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December 2014</w:t>
            </w:r>
            <w:r>
              <w:rPr>
                <w:b/>
                <w:sz w:val="22"/>
              </w:rPr>
              <w:fldChar w:fldCharType="end"/>
            </w:r>
          </w:p>
        </w:tc>
      </w:tr>
    </w:tbl>
    <w:p>
      <w:pPr>
        <w:pStyle w:val="WA"/>
        <w:spacing w:before="120"/>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04937232"/>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2" w:name="_Toc404937233"/>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These regulations shall come into operation on 6 September 1954.</w:t>
      </w:r>
    </w:p>
    <w:p>
      <w:pPr>
        <w:pStyle w:val="Heading5"/>
      </w:pPr>
      <w:bookmarkStart w:id="3" w:name="_Toc404937234"/>
      <w:r>
        <w:rPr>
          <w:rStyle w:val="CharSectno"/>
        </w:rPr>
        <w:t>3</w:t>
      </w:r>
      <w:r>
        <w:t>.</w:t>
      </w:r>
      <w:r>
        <w:tab/>
        <w:t>Term used: nearest surviving relative</w:t>
      </w:r>
      <w:bookmarkEnd w:id="3"/>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4" w:name="_Toc404937235"/>
      <w:r>
        <w:rPr>
          <w:rStyle w:val="CharPartNo"/>
        </w:rPr>
        <w:t>Part I</w:t>
      </w:r>
      <w:r>
        <w:rPr>
          <w:rStyle w:val="CharDivNo"/>
        </w:rPr>
        <w:t> </w:t>
      </w:r>
      <w:r>
        <w:t>—</w:t>
      </w:r>
      <w:r>
        <w:rPr>
          <w:rStyle w:val="CharDivText"/>
        </w:rPr>
        <w:t> </w:t>
      </w:r>
      <w:r>
        <w:rPr>
          <w:rStyle w:val="CharPartText"/>
        </w:rPr>
        <w:t>Application for licence to use and conduct a crematorium</w:t>
      </w:r>
      <w:bookmarkEnd w:id="4"/>
      <w:r>
        <w:rPr>
          <w:rStyle w:val="CharPartText"/>
        </w:rPr>
        <w:t xml:space="preserve"> </w:t>
      </w:r>
    </w:p>
    <w:p>
      <w:pPr>
        <w:pStyle w:val="Heading5"/>
        <w:rPr>
          <w:snapToGrid w:val="0"/>
        </w:rPr>
      </w:pPr>
      <w:bookmarkStart w:id="5" w:name="_Toc404937236"/>
      <w:r>
        <w:rPr>
          <w:rStyle w:val="CharSectno"/>
        </w:rPr>
        <w:t>4</w:t>
      </w:r>
      <w:r>
        <w:rPr>
          <w:snapToGrid w:val="0"/>
        </w:rPr>
        <w:t>.</w:t>
      </w:r>
      <w:r>
        <w:rPr>
          <w:snapToGrid w:val="0"/>
        </w:rPr>
        <w:tab/>
        <w:t>Application for licence</w:t>
      </w:r>
      <w:bookmarkEnd w:id="5"/>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6" w:name="_Toc404937237"/>
      <w:r>
        <w:rPr>
          <w:rStyle w:val="CharSectno"/>
        </w:rPr>
        <w:t>5</w:t>
      </w:r>
      <w:r>
        <w:rPr>
          <w:snapToGrid w:val="0"/>
        </w:rPr>
        <w:t>.</w:t>
      </w:r>
      <w:r>
        <w:rPr>
          <w:snapToGrid w:val="0"/>
        </w:rPr>
        <w:tab/>
        <w:t>Form of licence</w:t>
      </w:r>
      <w:bookmarkEnd w:id="6"/>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7" w:name="_Toc404937238"/>
      <w:r>
        <w:rPr>
          <w:rStyle w:val="CharSectno"/>
        </w:rPr>
        <w:t>6</w:t>
      </w:r>
      <w:r>
        <w:rPr>
          <w:snapToGrid w:val="0"/>
        </w:rPr>
        <w:t>.</w:t>
      </w:r>
      <w:r>
        <w:rPr>
          <w:snapToGrid w:val="0"/>
        </w:rPr>
        <w:tab/>
        <w:t>Compliance certificate</w:t>
      </w:r>
      <w:bookmarkEnd w:id="7"/>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8" w:name="_Toc404937239"/>
      <w:r>
        <w:rPr>
          <w:rStyle w:val="CharSectno"/>
        </w:rPr>
        <w:t>7</w:t>
      </w:r>
      <w:r>
        <w:rPr>
          <w:snapToGrid w:val="0"/>
        </w:rPr>
        <w:t>.</w:t>
      </w:r>
      <w:r>
        <w:rPr>
          <w:snapToGrid w:val="0"/>
        </w:rPr>
        <w:tab/>
        <w:t>Form of certificate</w:t>
      </w:r>
      <w:bookmarkEnd w:id="8"/>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9" w:name="_Toc404937240"/>
      <w:r>
        <w:rPr>
          <w:rStyle w:val="CharPartNo"/>
        </w:rPr>
        <w:t>Part II</w:t>
      </w:r>
      <w:r>
        <w:rPr>
          <w:rStyle w:val="CharDivNo"/>
        </w:rPr>
        <w:t> </w:t>
      </w:r>
      <w:r>
        <w:t>—</w:t>
      </w:r>
      <w:r>
        <w:rPr>
          <w:rStyle w:val="CharDivText"/>
        </w:rPr>
        <w:t> </w:t>
      </w:r>
      <w:r>
        <w:rPr>
          <w:rStyle w:val="CharPartText"/>
        </w:rPr>
        <w:t>Maintenance and inspection of crematoria</w:t>
      </w:r>
      <w:bookmarkEnd w:id="9"/>
      <w:r>
        <w:rPr>
          <w:rStyle w:val="CharPartText"/>
        </w:rPr>
        <w:t xml:space="preserve"> </w:t>
      </w:r>
    </w:p>
    <w:p>
      <w:pPr>
        <w:pStyle w:val="Heading5"/>
        <w:rPr>
          <w:snapToGrid w:val="0"/>
        </w:rPr>
      </w:pPr>
      <w:bookmarkStart w:id="10" w:name="_Toc404937241"/>
      <w:r>
        <w:rPr>
          <w:rStyle w:val="CharSectno"/>
        </w:rPr>
        <w:t>8</w:t>
      </w:r>
      <w:r>
        <w:rPr>
          <w:snapToGrid w:val="0"/>
        </w:rPr>
        <w:t>.</w:t>
      </w:r>
      <w:r>
        <w:rPr>
          <w:snapToGrid w:val="0"/>
        </w:rPr>
        <w:tab/>
        <w:t>Crematoria to be maintained</w:t>
      </w:r>
      <w:bookmarkEnd w:id="10"/>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11" w:name="_Toc404937242"/>
      <w:r>
        <w:rPr>
          <w:rStyle w:val="CharSectno"/>
        </w:rPr>
        <w:t>9</w:t>
      </w:r>
      <w:r>
        <w:rPr>
          <w:snapToGrid w:val="0"/>
        </w:rPr>
        <w:t>.</w:t>
      </w:r>
      <w:r>
        <w:rPr>
          <w:snapToGrid w:val="0"/>
        </w:rPr>
        <w:tab/>
        <w:t>Inspection</w:t>
      </w:r>
      <w:bookmarkEnd w:id="11"/>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12" w:name="_Toc404937243"/>
      <w:r>
        <w:rPr>
          <w:rStyle w:val="CharSectno"/>
        </w:rPr>
        <w:t>10</w:t>
      </w:r>
      <w:r>
        <w:rPr>
          <w:snapToGrid w:val="0"/>
        </w:rPr>
        <w:t>.</w:t>
      </w:r>
      <w:r>
        <w:rPr>
          <w:snapToGrid w:val="0"/>
        </w:rPr>
        <w:tab/>
        <w:t>Notice requiring work to be carried out</w:t>
      </w:r>
      <w:bookmarkEnd w:id="1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13" w:name="_Toc404937244"/>
      <w:r>
        <w:rPr>
          <w:rStyle w:val="CharPartNo"/>
        </w:rPr>
        <w:t>Part III</w:t>
      </w:r>
      <w:r>
        <w:rPr>
          <w:rStyle w:val="CharDivNo"/>
        </w:rPr>
        <w:t> </w:t>
      </w:r>
      <w:r>
        <w:t>—</w:t>
      </w:r>
      <w:r>
        <w:rPr>
          <w:rStyle w:val="CharDivText"/>
        </w:rPr>
        <w:t> </w:t>
      </w:r>
      <w:r>
        <w:rPr>
          <w:rStyle w:val="CharPartText"/>
        </w:rPr>
        <w:t>Application for permit to cremate</w:t>
      </w:r>
      <w:bookmarkEnd w:id="13"/>
      <w:r>
        <w:rPr>
          <w:rStyle w:val="CharPartText"/>
        </w:rPr>
        <w:t xml:space="preserve"> </w:t>
      </w:r>
    </w:p>
    <w:p>
      <w:pPr>
        <w:pStyle w:val="Heading5"/>
        <w:rPr>
          <w:snapToGrid w:val="0"/>
        </w:rPr>
      </w:pPr>
      <w:bookmarkStart w:id="14" w:name="_Toc404937245"/>
      <w:r>
        <w:rPr>
          <w:rStyle w:val="CharSectno"/>
        </w:rPr>
        <w:t>11</w:t>
      </w:r>
      <w:r>
        <w:rPr>
          <w:snapToGrid w:val="0"/>
        </w:rPr>
        <w:t>.</w:t>
      </w:r>
      <w:r>
        <w:rPr>
          <w:snapToGrid w:val="0"/>
        </w:rPr>
        <w:tab/>
        <w:t>Form of permit application</w:t>
      </w:r>
      <w:bookmarkEnd w:id="14"/>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5" w:name="_Toc404937246"/>
      <w:r>
        <w:rPr>
          <w:rStyle w:val="CharSectno"/>
        </w:rPr>
        <w:t>12</w:t>
      </w:r>
      <w:r>
        <w:t>.</w:t>
      </w:r>
      <w:r>
        <w:tab/>
        <w:t>Other requirements for permit</w:t>
      </w:r>
      <w:bookmarkEnd w:id="15"/>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6" w:name="_Toc404937247"/>
      <w:r>
        <w:rPr>
          <w:rStyle w:val="CharPartNo"/>
        </w:rPr>
        <w:t>Part IV</w:t>
      </w:r>
      <w:r>
        <w:rPr>
          <w:rStyle w:val="CharDivNo"/>
        </w:rPr>
        <w:t> </w:t>
      </w:r>
      <w:r>
        <w:t>—</w:t>
      </w:r>
      <w:r>
        <w:rPr>
          <w:rStyle w:val="CharDivText"/>
        </w:rPr>
        <w:t> </w:t>
      </w:r>
      <w:r>
        <w:rPr>
          <w:rStyle w:val="CharPartText"/>
        </w:rPr>
        <w:t>The medical referee</w:t>
      </w:r>
      <w:bookmarkEnd w:id="16"/>
      <w:r>
        <w:rPr>
          <w:rStyle w:val="CharPartText"/>
        </w:rPr>
        <w:t xml:space="preserve"> </w:t>
      </w:r>
    </w:p>
    <w:p>
      <w:pPr>
        <w:pStyle w:val="Heading5"/>
        <w:rPr>
          <w:snapToGrid w:val="0"/>
        </w:rPr>
      </w:pPr>
      <w:bookmarkStart w:id="17" w:name="_Toc404937248"/>
      <w:r>
        <w:rPr>
          <w:rStyle w:val="CharSectno"/>
        </w:rPr>
        <w:t>13</w:t>
      </w:r>
      <w:r>
        <w:rPr>
          <w:snapToGrid w:val="0"/>
        </w:rPr>
        <w:t>.</w:t>
      </w:r>
      <w:r>
        <w:rPr>
          <w:snapToGrid w:val="0"/>
        </w:rPr>
        <w:tab/>
        <w:t>Referee to be medical practitioner</w:t>
      </w:r>
      <w:bookmarkEnd w:id="1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8" w:name="_Toc404937249"/>
      <w:r>
        <w:rPr>
          <w:rStyle w:val="CharSectno"/>
        </w:rPr>
        <w:t>14</w:t>
      </w:r>
      <w:r>
        <w:rPr>
          <w:snapToGrid w:val="0"/>
        </w:rPr>
        <w:t>.</w:t>
      </w:r>
      <w:r>
        <w:rPr>
          <w:snapToGrid w:val="0"/>
        </w:rPr>
        <w:tab/>
        <w:t>Conditions for medical referee</w:t>
      </w:r>
      <w:bookmarkEnd w:id="1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9" w:name="_Toc404937250"/>
      <w:r>
        <w:rPr>
          <w:rStyle w:val="CharPartNo"/>
        </w:rPr>
        <w:t>Part V</w:t>
      </w:r>
      <w:r>
        <w:rPr>
          <w:rStyle w:val="CharDivNo"/>
        </w:rPr>
        <w:t> </w:t>
      </w:r>
      <w:r>
        <w:t>—</w:t>
      </w:r>
      <w:r>
        <w:rPr>
          <w:rStyle w:val="CharDivText"/>
        </w:rPr>
        <w:t> </w:t>
      </w:r>
      <w:r>
        <w:rPr>
          <w:rStyle w:val="CharPartText"/>
        </w:rPr>
        <w:t>Cremation elsewhere than in a crematorium</w:t>
      </w:r>
      <w:bookmarkEnd w:id="19"/>
      <w:r>
        <w:rPr>
          <w:rStyle w:val="CharPartText"/>
        </w:rPr>
        <w:t xml:space="preserve"> </w:t>
      </w:r>
    </w:p>
    <w:p>
      <w:pPr>
        <w:pStyle w:val="Heading5"/>
        <w:rPr>
          <w:snapToGrid w:val="0"/>
        </w:rPr>
      </w:pPr>
      <w:bookmarkStart w:id="20" w:name="_Toc404937251"/>
      <w:r>
        <w:rPr>
          <w:rStyle w:val="CharSectno"/>
        </w:rPr>
        <w:t>15</w:t>
      </w:r>
      <w:r>
        <w:rPr>
          <w:snapToGrid w:val="0"/>
        </w:rPr>
        <w:t>.</w:t>
      </w:r>
      <w:r>
        <w:rPr>
          <w:snapToGrid w:val="0"/>
        </w:rPr>
        <w:tab/>
        <w:t>Cremation elsewhere for religious reasons</w:t>
      </w:r>
      <w:bookmarkEnd w:id="20"/>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21" w:name="_Toc404937252"/>
      <w:r>
        <w:rPr>
          <w:rStyle w:val="CharSectno"/>
        </w:rPr>
        <w:t>16</w:t>
      </w:r>
      <w:r>
        <w:rPr>
          <w:snapToGrid w:val="0"/>
        </w:rPr>
        <w:t>.</w:t>
      </w:r>
      <w:r>
        <w:rPr>
          <w:snapToGrid w:val="0"/>
        </w:rPr>
        <w:tab/>
        <w:t>Cremation in cemetery</w:t>
      </w:r>
      <w:bookmarkEnd w:id="21"/>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22" w:name="_Toc404937253"/>
      <w:r>
        <w:rPr>
          <w:rStyle w:val="CharSectno"/>
        </w:rPr>
        <w:t>17</w:t>
      </w:r>
      <w:r>
        <w:rPr>
          <w:snapToGrid w:val="0"/>
        </w:rPr>
        <w:t>.</w:t>
      </w:r>
      <w:r>
        <w:rPr>
          <w:snapToGrid w:val="0"/>
        </w:rPr>
        <w:tab/>
        <w:t>Permission required for cremation elsewhere</w:t>
      </w:r>
      <w:bookmarkEnd w:id="22"/>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23" w:name="_Toc404937254"/>
      <w:r>
        <w:rPr>
          <w:rStyle w:val="CharPartNo"/>
        </w:rPr>
        <w:t>Part VI</w:t>
      </w:r>
      <w:r>
        <w:rPr>
          <w:rStyle w:val="CharDivNo"/>
        </w:rPr>
        <w:t> </w:t>
      </w:r>
      <w:r>
        <w:t>—</w:t>
      </w:r>
      <w:r>
        <w:rPr>
          <w:rStyle w:val="CharDivText"/>
        </w:rPr>
        <w:t> </w:t>
      </w:r>
      <w:r>
        <w:rPr>
          <w:rStyle w:val="CharPartText"/>
        </w:rPr>
        <w:t>Miscellaneous</w:t>
      </w:r>
      <w:bookmarkEnd w:id="23"/>
      <w:r>
        <w:rPr>
          <w:rStyle w:val="CharPartText"/>
        </w:rPr>
        <w:t xml:space="preserve"> </w:t>
      </w:r>
    </w:p>
    <w:p>
      <w:pPr>
        <w:pStyle w:val="Heading5"/>
        <w:rPr>
          <w:snapToGrid w:val="0"/>
        </w:rPr>
      </w:pPr>
      <w:bookmarkStart w:id="24" w:name="_Toc404937255"/>
      <w:r>
        <w:rPr>
          <w:rStyle w:val="CharSectno"/>
        </w:rPr>
        <w:t>18</w:t>
      </w:r>
      <w:r>
        <w:rPr>
          <w:snapToGrid w:val="0"/>
        </w:rPr>
        <w:t>.</w:t>
      </w:r>
      <w:r>
        <w:rPr>
          <w:snapToGrid w:val="0"/>
        </w:rPr>
        <w:tab/>
        <w:t>Register of cremation to be kept</w:t>
      </w:r>
      <w:bookmarkEnd w:id="24"/>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5" w:name="_Toc404937256"/>
      <w:r>
        <w:rPr>
          <w:rStyle w:val="CharSectno"/>
        </w:rPr>
        <w:t>19</w:t>
      </w:r>
      <w:r>
        <w:rPr>
          <w:snapToGrid w:val="0"/>
        </w:rPr>
        <w:t>.</w:t>
      </w:r>
      <w:r>
        <w:rPr>
          <w:snapToGrid w:val="0"/>
        </w:rPr>
        <w:tab/>
        <w:t>Inspection of register</w:t>
      </w:r>
      <w:bookmarkEnd w:id="25"/>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26" w:name="_Toc404937257"/>
      <w:r>
        <w:rPr>
          <w:rStyle w:val="CharSectno"/>
        </w:rPr>
        <w:t>20</w:t>
      </w:r>
      <w:r>
        <w:rPr>
          <w:snapToGrid w:val="0"/>
        </w:rPr>
        <w:t>.</w:t>
      </w:r>
      <w:r>
        <w:rPr>
          <w:snapToGrid w:val="0"/>
        </w:rPr>
        <w:tab/>
        <w:t>Notice of cremation to be given</w:t>
      </w:r>
      <w:bookmarkEnd w:id="26"/>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27" w:name="_Toc404937258"/>
      <w:r>
        <w:rPr>
          <w:rStyle w:val="CharSectno"/>
        </w:rPr>
        <w:t>20A</w:t>
      </w:r>
      <w:r>
        <w:rPr>
          <w:snapToGrid w:val="0"/>
        </w:rPr>
        <w:t>.</w:t>
      </w:r>
      <w:r>
        <w:rPr>
          <w:snapToGrid w:val="0"/>
        </w:rPr>
        <w:tab/>
        <w:t>Post mortem certificate</w:t>
      </w:r>
      <w:bookmarkEnd w:id="27"/>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8" w:name="_Toc404937259"/>
      <w:r>
        <w:rPr>
          <w:rStyle w:val="CharSchNo"/>
        </w:rPr>
        <w:t>Appendix “A”</w:t>
      </w:r>
      <w:bookmarkEnd w:id="28"/>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w:t>
            </w:r>
            <w:r>
              <w:rPr>
                <w:sz w:val="20"/>
              </w:rPr>
              <w:noBreakHyphen/>
              <w:t>232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yScheduleHeading"/>
      </w:pPr>
      <w:bookmarkStart w:id="29" w:name="_Toc404937260"/>
      <w:r>
        <w:rPr>
          <w:rStyle w:val="CharSchNo"/>
        </w:rPr>
        <w:t>Appendix “B”</w:t>
      </w:r>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t>100.10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30" w:name="_Toc404937261"/>
      <w:r>
        <w:t>Notes</w:t>
      </w:r>
      <w:bookmarkEnd w:id="3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December 2014</w:t>
      </w:r>
      <w:r>
        <w:rPr>
          <w:snapToGrid w:val="0"/>
        </w:rPr>
        <w:fldChar w:fldCharType="end"/>
      </w:r>
      <w:r>
        <w:rPr>
          <w:snapToGrid w:val="0"/>
        </w:rPr>
        <w:t xml:space="preserve">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404937262"/>
      <w:r>
        <w:rPr>
          <w:snapToGrid w:val="0"/>
        </w:rPr>
        <w:t>Compilation table</w:t>
      </w:r>
      <w:bookmarkEnd w:id="31"/>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sz w:val="19"/>
              </w:rPr>
            </w:pPr>
            <w:r>
              <w:rPr>
                <w:b/>
                <w:bCs/>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Cremation Regulations 1954</w:t>
            </w:r>
          </w:p>
        </w:tc>
        <w:tc>
          <w:tcPr>
            <w:tcW w:w="1276"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3118" w:type="dxa"/>
          </w:tcPr>
          <w:p>
            <w:pPr>
              <w:pStyle w:val="nTable"/>
              <w:spacing w:after="40"/>
              <w:ind w:right="170"/>
              <w:rPr>
                <w:i/>
                <w:sz w:val="19"/>
              </w:rPr>
            </w:pPr>
            <w:r>
              <w:rPr>
                <w:i/>
                <w:sz w:val="19"/>
              </w:rPr>
              <w:t>Untitled regulations</w:t>
            </w:r>
          </w:p>
        </w:tc>
        <w:tc>
          <w:tcPr>
            <w:tcW w:w="1276"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4"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3118" w:type="dxa"/>
          </w:tcPr>
          <w:p>
            <w:pPr>
              <w:pStyle w:val="nTable"/>
              <w:spacing w:after="40"/>
              <w:rPr>
                <w:sz w:val="19"/>
              </w:rPr>
            </w:pPr>
            <w:r>
              <w:rPr>
                <w:i/>
                <w:sz w:val="19"/>
              </w:rPr>
              <w:t>Untitled regulations</w:t>
            </w:r>
          </w:p>
        </w:tc>
        <w:tc>
          <w:tcPr>
            <w:tcW w:w="1276"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3118" w:type="dxa"/>
          </w:tcPr>
          <w:p>
            <w:pPr>
              <w:pStyle w:val="nTable"/>
              <w:spacing w:after="40"/>
              <w:rPr>
                <w:sz w:val="19"/>
              </w:rPr>
            </w:pPr>
            <w:r>
              <w:rPr>
                <w:i/>
                <w:sz w:val="19"/>
              </w:rPr>
              <w:t>Untitled regulations</w:t>
            </w:r>
          </w:p>
        </w:tc>
        <w:tc>
          <w:tcPr>
            <w:tcW w:w="1276"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3118" w:type="dxa"/>
          </w:tcPr>
          <w:p>
            <w:pPr>
              <w:pStyle w:val="nTable"/>
              <w:spacing w:after="40"/>
              <w:rPr>
                <w:sz w:val="19"/>
              </w:rPr>
            </w:pPr>
            <w:r>
              <w:rPr>
                <w:i/>
                <w:sz w:val="19"/>
              </w:rPr>
              <w:t>Untitled regulations</w:t>
            </w:r>
          </w:p>
        </w:tc>
        <w:tc>
          <w:tcPr>
            <w:tcW w:w="1276"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3118" w:type="dxa"/>
          </w:tcPr>
          <w:p>
            <w:pPr>
              <w:pStyle w:val="nTable"/>
              <w:spacing w:after="40"/>
              <w:rPr>
                <w:i/>
                <w:sz w:val="19"/>
                <w:vertAlign w:val="superscript"/>
              </w:rPr>
            </w:pPr>
            <w:r>
              <w:rPr>
                <w:i/>
                <w:sz w:val="19"/>
              </w:rPr>
              <w:t>Cremation Amendment Regulations 1984 </w:t>
            </w:r>
            <w:r>
              <w:rPr>
                <w:iCs/>
                <w:sz w:val="19"/>
                <w:vertAlign w:val="superscript"/>
              </w:rPr>
              <w:t>4</w:t>
            </w:r>
          </w:p>
        </w:tc>
        <w:tc>
          <w:tcPr>
            <w:tcW w:w="1276"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3118" w:type="dxa"/>
          </w:tcPr>
          <w:p>
            <w:pPr>
              <w:pStyle w:val="nTable"/>
              <w:spacing w:after="40"/>
              <w:rPr>
                <w:sz w:val="19"/>
              </w:rPr>
            </w:pPr>
            <w:r>
              <w:rPr>
                <w:i/>
                <w:sz w:val="19"/>
              </w:rPr>
              <w:t>Cremation Amendment Regulations 1994</w:t>
            </w:r>
          </w:p>
        </w:tc>
        <w:tc>
          <w:tcPr>
            <w:tcW w:w="1276"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3118" w:type="dxa"/>
          </w:tcPr>
          <w:p>
            <w:pPr>
              <w:pStyle w:val="nTable"/>
              <w:spacing w:after="40"/>
              <w:rPr>
                <w:sz w:val="19"/>
              </w:rPr>
            </w:pPr>
            <w:r>
              <w:rPr>
                <w:i/>
                <w:sz w:val="19"/>
              </w:rPr>
              <w:t>Cremation Amendment Regulations 1996</w:t>
            </w:r>
          </w:p>
        </w:tc>
        <w:tc>
          <w:tcPr>
            <w:tcW w:w="1276"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i/>
                <w:sz w:val="19"/>
              </w:rPr>
              <w:t>Cremation Amendment Regulations 2000</w:t>
            </w:r>
          </w:p>
        </w:tc>
        <w:tc>
          <w:tcPr>
            <w:tcW w:w="1276"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3118" w:type="dxa"/>
          </w:tcPr>
          <w:p>
            <w:pPr>
              <w:pStyle w:val="nTable"/>
              <w:spacing w:after="40"/>
              <w:ind w:right="170"/>
              <w:rPr>
                <w:i/>
                <w:sz w:val="19"/>
              </w:rPr>
            </w:pPr>
            <w:r>
              <w:rPr>
                <w:i/>
                <w:sz w:val="19"/>
              </w:rPr>
              <w:t>Cremation Amendment Regulations 2002</w:t>
            </w:r>
          </w:p>
        </w:tc>
        <w:tc>
          <w:tcPr>
            <w:tcW w:w="1276"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3118" w:type="dxa"/>
          </w:tcPr>
          <w:p>
            <w:pPr>
              <w:pStyle w:val="nTable"/>
              <w:spacing w:after="40"/>
              <w:ind w:right="170"/>
              <w:rPr>
                <w:i/>
                <w:sz w:val="19"/>
              </w:rPr>
            </w:pPr>
            <w:r>
              <w:rPr>
                <w:i/>
                <w:sz w:val="19"/>
              </w:rPr>
              <w:t>Cremation Amendment Regulations 2004</w:t>
            </w:r>
          </w:p>
        </w:tc>
        <w:tc>
          <w:tcPr>
            <w:tcW w:w="1276"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Cremation Amendment Regulations 2008</w:t>
            </w:r>
          </w:p>
        </w:tc>
        <w:tc>
          <w:tcPr>
            <w:tcW w:w="1276"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3118" w:type="dxa"/>
          </w:tcPr>
          <w:p>
            <w:pPr>
              <w:pStyle w:val="nTable"/>
              <w:spacing w:after="40"/>
              <w:ind w:right="170"/>
              <w:rPr>
                <w:i/>
                <w:sz w:val="19"/>
              </w:rPr>
            </w:pPr>
            <w:r>
              <w:rPr>
                <w:i/>
                <w:sz w:val="19"/>
              </w:rPr>
              <w:t>Cremation Amendment Regulations 2010</w:t>
            </w:r>
          </w:p>
        </w:tc>
        <w:tc>
          <w:tcPr>
            <w:tcW w:w="1276"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3118" w:type="dxa"/>
          </w:tcPr>
          <w:p>
            <w:pPr>
              <w:pStyle w:val="nTable"/>
              <w:spacing w:after="40"/>
              <w:ind w:right="170"/>
              <w:rPr>
                <w:i/>
                <w:sz w:val="19"/>
              </w:rPr>
            </w:pPr>
            <w:r>
              <w:rPr>
                <w:i/>
                <w:sz w:val="19"/>
              </w:rPr>
              <w:t>Cremation Amendment Regulations 2012</w:t>
            </w:r>
          </w:p>
        </w:tc>
        <w:tc>
          <w:tcPr>
            <w:tcW w:w="1276"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trPr>
        <w:tc>
          <w:tcPr>
            <w:tcW w:w="3118" w:type="dxa"/>
          </w:tcPr>
          <w:p>
            <w:pPr>
              <w:pStyle w:val="nTable"/>
              <w:spacing w:after="40"/>
              <w:ind w:right="170"/>
              <w:rPr>
                <w:i/>
                <w:sz w:val="19"/>
              </w:rPr>
            </w:pPr>
            <w:r>
              <w:rPr>
                <w:i/>
                <w:sz w:val="19"/>
              </w:rPr>
              <w:t>Cremation Amendment Regulations 2013</w:t>
            </w:r>
          </w:p>
        </w:tc>
        <w:tc>
          <w:tcPr>
            <w:tcW w:w="1276" w:type="dxa"/>
          </w:tcPr>
          <w:p>
            <w:pPr>
              <w:pStyle w:val="nTable"/>
              <w:spacing w:after="40"/>
              <w:rPr>
                <w:sz w:val="19"/>
              </w:rPr>
            </w:pPr>
            <w:r>
              <w:rPr>
                <w:sz w:val="19"/>
              </w:rPr>
              <w:t>8 Feb 2013 p. 865</w:t>
            </w:r>
            <w:r>
              <w:rPr>
                <w:sz w:val="19"/>
              </w:rPr>
              <w:noBreakHyphen/>
              <w:t>6</w:t>
            </w:r>
          </w:p>
        </w:tc>
        <w:tc>
          <w:tcPr>
            <w:tcW w:w="2694" w:type="dxa"/>
          </w:tcPr>
          <w:p>
            <w:pPr>
              <w:pStyle w:val="nTable"/>
              <w:spacing w:after="40"/>
              <w:rPr>
                <w:sz w:val="19"/>
              </w:rPr>
            </w:pPr>
            <w:r>
              <w:rPr>
                <w:snapToGrid w:val="0"/>
                <w:sz w:val="19"/>
              </w:rPr>
              <w:t>r. 1 and 2: 8 Feb 2013 (see r. 2(a));</w:t>
            </w:r>
            <w:r>
              <w:rPr>
                <w:snapToGrid w:val="0"/>
                <w:sz w:val="19"/>
              </w:rPr>
              <w:br/>
              <w:t>Regulations other than r. 1 and 2: 9 Feb 2013 (see r. 2(b))</w:t>
            </w:r>
          </w:p>
        </w:tc>
      </w:tr>
      <w:tr>
        <w:trPr>
          <w:cantSplit/>
        </w:trPr>
        <w:tc>
          <w:tcPr>
            <w:tcW w:w="3118" w:type="dxa"/>
          </w:tcPr>
          <w:p>
            <w:pPr>
              <w:pStyle w:val="nTable"/>
              <w:spacing w:after="40"/>
              <w:ind w:right="170"/>
              <w:rPr>
                <w:i/>
                <w:sz w:val="19"/>
              </w:rPr>
            </w:pPr>
            <w:r>
              <w:rPr>
                <w:i/>
                <w:sz w:val="19"/>
              </w:rPr>
              <w:t>Cremation Amendment Regulations (No. 2) 2013</w:t>
            </w:r>
          </w:p>
        </w:tc>
        <w:tc>
          <w:tcPr>
            <w:tcW w:w="1276" w:type="dxa"/>
          </w:tcPr>
          <w:p>
            <w:pPr>
              <w:pStyle w:val="nTable"/>
              <w:spacing w:after="40"/>
              <w:rPr>
                <w:sz w:val="19"/>
              </w:rPr>
            </w:pPr>
            <w:r>
              <w:rPr>
                <w:sz w:val="19"/>
              </w:rPr>
              <w:t>9 Apr 2013 p. 1521</w:t>
            </w:r>
          </w:p>
        </w:tc>
        <w:tc>
          <w:tcPr>
            <w:tcW w:w="2694" w:type="dxa"/>
          </w:tcPr>
          <w:p>
            <w:pPr>
              <w:pStyle w:val="nTable"/>
              <w:spacing w:after="40"/>
              <w:rPr>
                <w:i/>
                <w:snapToGrid w:val="0"/>
                <w:sz w:val="19"/>
              </w:rPr>
            </w:pPr>
            <w:r>
              <w:rPr>
                <w:snapToGrid w:val="0"/>
                <w:sz w:val="19"/>
              </w:rPr>
              <w:t>r. 1 and 2: 9 Apr 2013 (see r. 2(a));</w:t>
            </w:r>
            <w:r>
              <w:rPr>
                <w:snapToGrid w:val="0"/>
                <w:sz w:val="19"/>
              </w:rPr>
              <w:br/>
              <w:t>Regulations other than r. 1 and 2: 10 Apr 2013 (see r. 2(b))</w:t>
            </w:r>
          </w:p>
        </w:tc>
      </w:tr>
      <w:tr>
        <w:trPr>
          <w:cantSplit/>
        </w:trPr>
        <w:tc>
          <w:tcPr>
            <w:tcW w:w="3118" w:type="dxa"/>
            <w:shd w:val="clear" w:color="auto" w:fill="auto"/>
          </w:tcPr>
          <w:p>
            <w:pPr>
              <w:pStyle w:val="nTable"/>
              <w:spacing w:after="40"/>
              <w:ind w:right="170"/>
              <w:rPr>
                <w:i/>
                <w:sz w:val="19"/>
              </w:rPr>
            </w:pPr>
            <w:r>
              <w:rPr>
                <w:i/>
                <w:sz w:val="19"/>
              </w:rPr>
              <w:t>Cremation Amendment Regulations 2014</w:t>
            </w:r>
          </w:p>
        </w:tc>
        <w:tc>
          <w:tcPr>
            <w:tcW w:w="1276" w:type="dxa"/>
            <w:shd w:val="clear" w:color="auto" w:fill="auto"/>
          </w:tcPr>
          <w:p>
            <w:pPr>
              <w:pStyle w:val="nTable"/>
              <w:spacing w:after="40"/>
              <w:rPr>
                <w:sz w:val="19"/>
              </w:rPr>
            </w:pPr>
            <w:r>
              <w:rPr>
                <w:sz w:val="19"/>
              </w:rPr>
              <w:t>25 Feb 2014 p. 497</w:t>
            </w:r>
            <w:r>
              <w:rPr>
                <w:sz w:val="19"/>
              </w:rPr>
              <w:noBreakHyphen/>
              <w:t>8</w:t>
            </w:r>
          </w:p>
        </w:tc>
        <w:tc>
          <w:tcPr>
            <w:tcW w:w="2694" w:type="dxa"/>
            <w:shd w:val="clear" w:color="auto" w:fill="auto"/>
          </w:tcPr>
          <w:p>
            <w:pPr>
              <w:pStyle w:val="nTable"/>
              <w:spacing w:after="40"/>
              <w:rPr>
                <w:snapToGrid w:val="0"/>
                <w:sz w:val="19"/>
              </w:rPr>
            </w:pPr>
            <w:r>
              <w:rPr>
                <w:snapToGrid w:val="0"/>
                <w:sz w:val="19"/>
              </w:rPr>
              <w:t>r. 1 and 2: 25 Feb 2014 (see r. 2(a));</w:t>
            </w:r>
            <w:r>
              <w:rPr>
                <w:snapToGrid w:val="0"/>
                <w:sz w:val="19"/>
              </w:rPr>
              <w:br/>
              <w:t>Regulations other than r. 1 and 2: 26 Feb 2014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rPr>
            </w:pPr>
            <w:r>
              <w:rPr>
                <w:b/>
                <w:bCs/>
                <w:sz w:val="19"/>
              </w:rPr>
              <w:t xml:space="preserve">Reprint 4:  The </w:t>
            </w:r>
            <w:r>
              <w:rPr>
                <w:b/>
                <w:bCs/>
                <w:i/>
                <w:iCs/>
                <w:sz w:val="19"/>
              </w:rPr>
              <w:t>Cremation Regulations 1954</w:t>
            </w:r>
            <w:r>
              <w:rPr>
                <w:b/>
                <w:bCs/>
                <w:sz w:val="19"/>
              </w:rPr>
              <w:t xml:space="preserve"> as at 5 Dec 2014 </w:t>
            </w:r>
            <w:r>
              <w:rPr>
                <w:sz w:val="19"/>
              </w:rPr>
              <w:t>(includes amendments listed above)</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tab/>
        <w:t>The commencement date referred to in r. 2 was before the date of gazettal.</w:t>
      </w:r>
    </w:p>
    <w:p>
      <w:pPr>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rPr>
          <w:sz w:val="28"/>
        </w:rPr>
      </w:pPr>
      <w:bookmarkStart w:id="32" w:name="_Toc404937263"/>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 w:name="DefinedTerms"/>
      <w:bookmarkEnd w:id="33"/>
      <w:r>
        <w:t>nearest surviving relative</w:t>
      </w:r>
      <w:r>
        <w:tab/>
        <w:t>3</w:t>
      </w:r>
    </w:p>
    <w:p>
      <w:pPr>
        <w:pStyle w:val="DefinedTerms"/>
      </w:pPr>
    </w:p>
    <w:p/>
    <w:p/>
    <w:p/>
    <w:p/>
    <w:p/>
    <w:p/>
    <w:p/>
    <w:p/>
    <w:p/>
    <w:p/>
    <w:p/>
    <w:p/>
    <w:p/>
    <w:p/>
    <w:p/>
    <w:p/>
    <w:p/>
    <w:p/>
    <w:p/>
    <w:p/>
    <w:p/>
    <w:p/>
    <w:p/>
    <w:p/>
    <w:p/>
    <w:p/>
    <w:p/>
    <w:p/>
    <w:p/>
    <w:p/>
    <w:p/>
    <w:p/>
    <w:p>
      <w:p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12445"/>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footer" Target="footer10.xml"/><Relationship Id="rId47"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A735-8E7D-41C7-B054-3C8B1E70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7190</Words>
  <Characters>43145</Characters>
  <Application>Microsoft Office Word</Application>
  <DocSecurity>0</DocSecurity>
  <Lines>1348</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1954 - 04-00-01</dc:title>
  <dc:subject/>
  <dc:creator/>
  <cp:keywords/>
  <dc:description/>
  <cp:lastModifiedBy>svcMRProcess</cp:lastModifiedBy>
  <cp:revision>4</cp:revision>
  <cp:lastPrinted>2014-12-08T23:29:00Z</cp:lastPrinted>
  <dcterms:created xsi:type="dcterms:W3CDTF">2020-03-07T03:45:00Z</dcterms:created>
  <dcterms:modified xsi:type="dcterms:W3CDTF">2020-03-07T03:45:00Z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4381</vt:i4>
  </property>
  <property fmtid="{D5CDD505-2E9C-101B-9397-08002B2CF9AE}" pid="6" name="AsAtDate">
    <vt:lpwstr>05 Dec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2014-12-04T16:00:00Z</vt:filetime>
  </property>
</Properties>
</file>