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(Written-Off Vehicle Register)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(Written-Off Vehicle Register)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_Toc417033974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_Toc417033975 \h </w:instrText>
      </w:r>
      <w:r>
        <w:fldChar w:fldCharType="separate"/>
      </w:r>
      <w:r>
        <w:t>1</w:t>
      </w:r>
      <w:r>
        <w:fldChar w:fldCharType="end"/>
      </w:r>
    </w:p>
    <w:p>
      <w:pPr>
        <w:pStyle w:val="TOC8"/>
        <w:rPr>
          <w:rFonts w:asciiTheme="minorHAnsi" w:eastAsiaTheme="minorEastAsia" w:hAnsiTheme="minorHAnsi" w:cstheme="minorBidi"/>
          <w:szCs w:val="22"/>
        </w:rPr>
      </w:pPr>
      <w:r>
        <w:t>3.</w:t>
      </w:r>
      <w:r>
        <w:tab/>
        <w:t>Modified penalties for infringements</w:t>
      </w:r>
      <w:r>
        <w:tab/>
      </w:r>
      <w:r>
        <w:fldChar w:fldCharType="begin"/>
      </w:r>
      <w:r>
        <w:instrText xml:space="preserve"> PAGEREF _Toc417033976 \h </w:instrText>
      </w:r>
      <w:r>
        <w:fldChar w:fldCharType="separate"/>
      </w:r>
      <w:r>
        <w:t>5</w:t>
      </w:r>
      <w:r>
        <w:fldChar w:fldCharType="end"/>
      </w:r>
    </w:p>
    <w:p>
      <w:pPr>
        <w:pStyle w:val="TOC8"/>
        <w:rPr>
          <w:rFonts w:asciiTheme="minorHAnsi" w:eastAsiaTheme="minorEastAsia" w:hAnsiTheme="minorHAnsi" w:cstheme="minorBidi"/>
          <w:szCs w:val="22"/>
        </w:rPr>
      </w:pPr>
      <w:r>
        <w:t>4.</w:t>
      </w:r>
      <w:r>
        <w:tab/>
        <w:t>Total loss — meaning</w:t>
      </w:r>
      <w:r>
        <w:tab/>
      </w:r>
      <w:r>
        <w:fldChar w:fldCharType="begin"/>
      </w:r>
      <w:r>
        <w:instrText xml:space="preserve"> PAGEREF _Toc417033977 \h </w:instrText>
      </w:r>
      <w:r>
        <w:fldChar w:fldCharType="separate"/>
      </w:r>
      <w:r>
        <w:t>5</w:t>
      </w:r>
      <w:r>
        <w:fldChar w:fldCharType="end"/>
      </w:r>
    </w:p>
    <w:p>
      <w:pPr>
        <w:pStyle w:val="TOC8"/>
        <w:rPr>
          <w:rFonts w:asciiTheme="minorHAnsi" w:eastAsiaTheme="minorEastAsia" w:hAnsiTheme="minorHAnsi" w:cstheme="minorBidi"/>
          <w:szCs w:val="22"/>
        </w:rPr>
      </w:pPr>
      <w:r>
        <w:t>5.</w:t>
      </w:r>
      <w:r>
        <w:tab/>
        <w:t>Written</w:t>
      </w:r>
      <w:r>
        <w:noBreakHyphen/>
        <w:t>off vehicles</w:t>
      </w:r>
      <w:r>
        <w:tab/>
      </w:r>
      <w:r>
        <w:fldChar w:fldCharType="begin"/>
      </w:r>
      <w:r>
        <w:instrText xml:space="preserve"> PAGEREF _Toc417033978 \h </w:instrText>
      </w:r>
      <w:r>
        <w:fldChar w:fldCharType="separate"/>
      </w:r>
      <w:r>
        <w:t>5</w:t>
      </w:r>
      <w:r>
        <w:fldChar w:fldCharType="end"/>
      </w:r>
    </w:p>
    <w:p>
      <w:pPr>
        <w:pStyle w:val="TOC8"/>
        <w:rPr>
          <w:rFonts w:asciiTheme="minorHAnsi" w:eastAsiaTheme="minorEastAsia" w:hAnsiTheme="minorHAnsi" w:cstheme="minorBidi"/>
          <w:szCs w:val="22"/>
        </w:rPr>
      </w:pPr>
      <w:r>
        <w:t>6.</w:t>
      </w:r>
      <w:r>
        <w:tab/>
        <w:t>Notifiable vehicles</w:t>
      </w:r>
      <w:r>
        <w:tab/>
      </w:r>
      <w:r>
        <w:fldChar w:fldCharType="begin"/>
      </w:r>
      <w:r>
        <w:instrText xml:space="preserve"> PAGEREF _Toc417033979 \h </w:instrText>
      </w:r>
      <w:r>
        <w:fldChar w:fldCharType="separate"/>
      </w:r>
      <w:r>
        <w:t>6</w:t>
      </w:r>
      <w:r>
        <w:fldChar w:fldCharType="end"/>
      </w:r>
    </w:p>
    <w:p>
      <w:pPr>
        <w:pStyle w:val="TOC8"/>
        <w:rPr>
          <w:rFonts w:asciiTheme="minorHAnsi" w:eastAsiaTheme="minorEastAsia" w:hAnsiTheme="minorHAnsi" w:cstheme="minorBidi"/>
          <w:szCs w:val="22"/>
        </w:rPr>
      </w:pPr>
      <w:r>
        <w:t>7.</w:t>
      </w:r>
      <w:r>
        <w:tab/>
        <w:t>Statutory write</w:t>
      </w:r>
      <w:r>
        <w:noBreakHyphen/>
        <w:t>offs</w:t>
      </w:r>
      <w:r>
        <w:tab/>
      </w:r>
      <w:r>
        <w:fldChar w:fldCharType="begin"/>
      </w:r>
      <w:r>
        <w:instrText xml:space="preserve"> PAGEREF _Toc417033980 \h </w:instrText>
      </w:r>
      <w:r>
        <w:fldChar w:fldCharType="separate"/>
      </w:r>
      <w:r>
        <w:t>6</w:t>
      </w:r>
      <w:r>
        <w:fldChar w:fldCharType="end"/>
      </w:r>
    </w:p>
    <w:p>
      <w:pPr>
        <w:pStyle w:val="TOC8"/>
        <w:rPr>
          <w:rFonts w:asciiTheme="minorHAnsi" w:eastAsiaTheme="minorEastAsia" w:hAnsiTheme="minorHAnsi" w:cstheme="minorBidi"/>
          <w:szCs w:val="22"/>
        </w:rPr>
      </w:pPr>
      <w:r>
        <w:t>8.</w:t>
      </w:r>
      <w:r>
        <w:tab/>
        <w:t>Repairable write</w:t>
      </w:r>
      <w:r>
        <w:noBreakHyphen/>
        <w:t>offs</w:t>
      </w:r>
      <w:r>
        <w:tab/>
      </w:r>
      <w:r>
        <w:fldChar w:fldCharType="begin"/>
      </w:r>
      <w:r>
        <w:instrText xml:space="preserve"> PAGEREF _Toc417033981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notifiable vehicles</w:t>
      </w:r>
    </w:p>
    <w:p>
      <w:pPr>
        <w:pStyle w:val="TOC8"/>
        <w:rPr>
          <w:rFonts w:asciiTheme="minorHAnsi" w:eastAsiaTheme="minorEastAsia" w:hAnsiTheme="minorHAnsi" w:cstheme="minorBidi"/>
          <w:szCs w:val="22"/>
        </w:rPr>
      </w:pPr>
      <w:r>
        <w:t>9.</w:t>
      </w:r>
      <w:r>
        <w:tab/>
        <w:t>Notification and marking of write</w:t>
      </w:r>
      <w:r>
        <w:noBreakHyphen/>
        <w:t>offs</w:t>
      </w:r>
      <w:r>
        <w:tab/>
      </w:r>
      <w:r>
        <w:fldChar w:fldCharType="begin"/>
      </w:r>
      <w:r>
        <w:instrText xml:space="preserve"> PAGEREF _Toc417033983 \h </w:instrText>
      </w:r>
      <w:r>
        <w:fldChar w:fldCharType="separate"/>
      </w:r>
      <w:r>
        <w:t>8</w:t>
      </w:r>
      <w:r>
        <w:fldChar w:fldCharType="end"/>
      </w:r>
    </w:p>
    <w:p>
      <w:pPr>
        <w:pStyle w:val="TOC8"/>
        <w:rPr>
          <w:rFonts w:asciiTheme="minorHAnsi" w:eastAsiaTheme="minorEastAsia" w:hAnsiTheme="minorHAnsi" w:cstheme="minorBidi"/>
          <w:szCs w:val="22"/>
        </w:rPr>
      </w:pPr>
      <w:r>
        <w:t>10.</w:t>
      </w:r>
      <w:r>
        <w:tab/>
        <w:t>Written</w:t>
      </w:r>
      <w:r>
        <w:noBreakHyphen/>
        <w:t>off vehicle notices</w:t>
      </w:r>
      <w:r>
        <w:tab/>
      </w:r>
      <w:r>
        <w:fldChar w:fldCharType="begin"/>
      </w:r>
      <w:r>
        <w:instrText xml:space="preserve"> PAGEREF _Toc417033984 \h </w:instrText>
      </w:r>
      <w:r>
        <w:fldChar w:fldCharType="separate"/>
      </w:r>
      <w:r>
        <w:t>9</w:t>
      </w:r>
      <w:r>
        <w:fldChar w:fldCharType="end"/>
      </w:r>
    </w:p>
    <w:p>
      <w:pPr>
        <w:pStyle w:val="TOC8"/>
        <w:rPr>
          <w:rFonts w:asciiTheme="minorHAnsi" w:eastAsiaTheme="minorEastAsia" w:hAnsiTheme="minorHAnsi" w:cstheme="minorBidi"/>
          <w:szCs w:val="22"/>
        </w:rPr>
      </w:pPr>
      <w:r>
        <w:t>11.</w:t>
      </w:r>
      <w:r>
        <w:tab/>
        <w:t>Written</w:t>
      </w:r>
      <w:r>
        <w:noBreakHyphen/>
        <w:t>off warning labels</w:t>
      </w:r>
      <w:r>
        <w:tab/>
      </w:r>
      <w:r>
        <w:fldChar w:fldCharType="begin"/>
      </w:r>
      <w:r>
        <w:instrText xml:space="preserve"> PAGEREF _Toc417033985 \h </w:instrText>
      </w:r>
      <w:r>
        <w:fldChar w:fldCharType="separate"/>
      </w:r>
      <w:r>
        <w:t>9</w:t>
      </w:r>
      <w:r>
        <w:fldChar w:fldCharType="end"/>
      </w:r>
    </w:p>
    <w:p>
      <w:pPr>
        <w:pStyle w:val="TOC8"/>
        <w:rPr>
          <w:rFonts w:asciiTheme="minorHAnsi" w:eastAsiaTheme="minorEastAsia" w:hAnsiTheme="minorHAnsi" w:cstheme="minorBidi"/>
          <w:szCs w:val="22"/>
        </w:rPr>
      </w:pPr>
      <w:r>
        <w:t>12.</w:t>
      </w:r>
      <w:r>
        <w:tab/>
        <w:t>Defacing vehicle identifiers of statutory write</w:t>
      </w:r>
      <w:r>
        <w:noBreakHyphen/>
        <w:t>offs</w:t>
      </w:r>
      <w:r>
        <w:tab/>
      </w:r>
      <w:r>
        <w:fldChar w:fldCharType="begin"/>
      </w:r>
      <w:r>
        <w:instrText xml:space="preserve"> PAGEREF _Toc417033986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written</w:t>
      </w:r>
      <w:r>
        <w:noBreakHyphen/>
        <w:t>off vehicles</w:t>
      </w:r>
    </w:p>
    <w:p>
      <w:pPr>
        <w:pStyle w:val="TOC8"/>
        <w:rPr>
          <w:rFonts w:asciiTheme="minorHAnsi" w:eastAsiaTheme="minorEastAsia" w:hAnsiTheme="minorHAnsi" w:cstheme="minorBidi"/>
          <w:szCs w:val="22"/>
        </w:rPr>
      </w:pPr>
      <w:r>
        <w:t>13.</w:t>
      </w:r>
      <w:r>
        <w:tab/>
        <w:t>Written</w:t>
      </w:r>
      <w:r>
        <w:noBreakHyphen/>
        <w:t>Off Vehicle Register</w:t>
      </w:r>
      <w:r>
        <w:tab/>
      </w:r>
      <w:r>
        <w:fldChar w:fldCharType="begin"/>
      </w:r>
      <w:r>
        <w:instrText xml:space="preserve"> PAGEREF _Toc417033988 \h </w:instrText>
      </w:r>
      <w:r>
        <w:fldChar w:fldCharType="separate"/>
      </w:r>
      <w:r>
        <w:t>11</w:t>
      </w:r>
      <w:r>
        <w:fldChar w:fldCharType="end"/>
      </w:r>
    </w:p>
    <w:p>
      <w:pPr>
        <w:pStyle w:val="TOC8"/>
        <w:rPr>
          <w:rFonts w:asciiTheme="minorHAnsi" w:eastAsiaTheme="minorEastAsia" w:hAnsiTheme="minorHAnsi" w:cstheme="minorBidi"/>
          <w:szCs w:val="22"/>
        </w:rPr>
      </w:pPr>
      <w:r>
        <w:t>14.</w:t>
      </w:r>
      <w:r>
        <w:tab/>
        <w:t>WOVR to include particulars of notifiable vehicles</w:t>
      </w:r>
      <w:r>
        <w:tab/>
      </w:r>
      <w:r>
        <w:fldChar w:fldCharType="begin"/>
      </w:r>
      <w:r>
        <w:instrText xml:space="preserve"> PAGEREF _Toc417033989 \h </w:instrText>
      </w:r>
      <w:r>
        <w:fldChar w:fldCharType="separate"/>
      </w:r>
      <w:r>
        <w:t>11</w:t>
      </w:r>
      <w:r>
        <w:fldChar w:fldCharType="end"/>
      </w:r>
    </w:p>
    <w:p>
      <w:pPr>
        <w:pStyle w:val="TOC8"/>
        <w:rPr>
          <w:rFonts w:asciiTheme="minorHAnsi" w:eastAsiaTheme="minorEastAsia" w:hAnsiTheme="minorHAnsi" w:cstheme="minorBidi"/>
          <w:szCs w:val="22"/>
        </w:rPr>
      </w:pPr>
      <w:r>
        <w:t>15.</w:t>
      </w:r>
      <w:r>
        <w:tab/>
        <w:t>Public access to information on WOVR</w:t>
      </w:r>
      <w:r>
        <w:tab/>
      </w:r>
      <w:r>
        <w:fldChar w:fldCharType="begin"/>
      </w:r>
      <w:r>
        <w:instrText xml:space="preserve"> PAGEREF _Toc417033990 \h </w:instrText>
      </w:r>
      <w:r>
        <w:fldChar w:fldCharType="separate"/>
      </w:r>
      <w:r>
        <w:t>11</w:t>
      </w:r>
      <w:r>
        <w:fldChar w:fldCharType="end"/>
      </w:r>
    </w:p>
    <w:p>
      <w:pPr>
        <w:pStyle w:val="TOC8"/>
        <w:rPr>
          <w:rFonts w:asciiTheme="minorHAnsi" w:eastAsiaTheme="minorEastAsia" w:hAnsiTheme="minorHAnsi" w:cstheme="minorBidi"/>
          <w:szCs w:val="22"/>
        </w:rPr>
      </w:pPr>
      <w:r>
        <w:t>16.</w:t>
      </w:r>
      <w:r>
        <w:tab/>
        <w:t>Cancellation of entry in WOVR</w:t>
      </w:r>
      <w:r>
        <w:tab/>
      </w:r>
      <w:r>
        <w:fldChar w:fldCharType="begin"/>
      </w:r>
      <w:r>
        <w:instrText xml:space="preserve"> PAGEREF _Toc417033991 \h </w:instrText>
      </w:r>
      <w:r>
        <w:fldChar w:fldCharType="separate"/>
      </w:r>
      <w:r>
        <w:t>12</w:t>
      </w:r>
      <w:r>
        <w:fldChar w:fldCharType="end"/>
      </w:r>
    </w:p>
    <w:p>
      <w:pPr>
        <w:pStyle w:val="TOC8"/>
        <w:rPr>
          <w:rFonts w:asciiTheme="minorHAnsi" w:eastAsiaTheme="minorEastAsia" w:hAnsiTheme="minorHAnsi" w:cstheme="minorBidi"/>
          <w:szCs w:val="22"/>
        </w:rPr>
      </w:pPr>
      <w:r>
        <w:t>17.</w:t>
      </w:r>
      <w:r>
        <w:tab/>
        <w:t>Implementing the national scheme</w:t>
      </w:r>
      <w:r>
        <w:tab/>
      </w:r>
      <w:r>
        <w:fldChar w:fldCharType="begin"/>
      </w:r>
      <w:r>
        <w:instrText xml:space="preserve"> PAGEREF _Toc417033992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_Toc417033994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_Toc417033995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pPr>
      <w:r>
        <w:t>Road Traffic Act 1974</w:t>
      </w:r>
    </w:p>
    <w:p>
      <w:pPr>
        <w:pStyle w:val="NameofActReg"/>
        <w:spacing w:before="600" w:after="720"/>
      </w:pPr>
      <w:r>
        <w:t>Road Traffic (Written-Off Vehicle Register) Regulations 2003</w:t>
      </w:r>
    </w:p>
    <w:p>
      <w:pPr>
        <w:pStyle w:val="Heading2"/>
        <w:keepNext w:val="0"/>
        <w:pageBreakBefore w:val="0"/>
        <w:spacing w:before="240"/>
      </w:pPr>
      <w:bookmarkStart w:id="3" w:name="_Toc407625589"/>
      <w:bookmarkStart w:id="4" w:name="_Toc417033950"/>
      <w:bookmarkStart w:id="5" w:name="_Toc41703397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7625590"/>
      <w:bookmarkStart w:id="7" w:name="_Toc417033974"/>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may be cited as the </w:t>
      </w:r>
      <w:r>
        <w:rPr>
          <w:i/>
        </w:rPr>
        <w:t>Road Traffic (Written-Off Vehicle Register) Regulations 2003</w:t>
      </w:r>
      <w:r>
        <w:rPr>
          <w:vertAlign w:val="superscript"/>
        </w:rPr>
        <w:t> 1</w:t>
      </w:r>
      <w:r>
        <w:t>.</w:t>
      </w:r>
    </w:p>
    <w:p>
      <w:pPr>
        <w:pStyle w:val="Heading5"/>
      </w:pPr>
      <w:bookmarkStart w:id="9" w:name="_Toc407625591"/>
      <w:bookmarkStart w:id="10" w:name="_Toc417033975"/>
      <w:r>
        <w:rPr>
          <w:rStyle w:val="CharSectno"/>
        </w:rPr>
        <w:t>2</w:t>
      </w:r>
      <w:r>
        <w:t>.</w:t>
      </w:r>
      <w:r>
        <w:tab/>
        <w:t>Terms used</w:t>
      </w:r>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 or</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 or</w:t>
      </w:r>
    </w:p>
    <w:p>
      <w:pPr>
        <w:pStyle w:val="Defsubpara"/>
        <w:keepLines w:val="0"/>
      </w:pPr>
      <w:r>
        <w:tab/>
        <w:t>(ii)</w:t>
      </w:r>
      <w:r>
        <w:tab/>
        <w:t>for the purpose of effectuating a security over the vehicle bought or sold; or</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r>
      <w:r>
        <w:tab/>
        <w:t>or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r>
      <w:r>
        <w:tab/>
        <w:t>or</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7;</w:t>
      </w:r>
    </w:p>
    <w:p>
      <w:pPr>
        <w:pStyle w:val="Defstart"/>
      </w:pPr>
      <w:r>
        <w:rPr>
          <w:b/>
        </w:rPr>
        <w:tab/>
      </w:r>
      <w:r>
        <w:rPr>
          <w:rStyle w:val="CharDefText"/>
        </w:rPr>
        <w:t>total loss</w:t>
      </w:r>
      <w:r>
        <w:t>, in relation to a vehicle, has the meaning given in regulation 4;</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13;</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10;</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11.</w:t>
      </w:r>
    </w:p>
    <w:p>
      <w:pPr>
        <w:pStyle w:val="Footnotesection"/>
      </w:pPr>
      <w:r>
        <w:tab/>
        <w:t>[Regulation 2 amended in Gazette 16 Sep 2005 p. 4324-5.]</w:t>
      </w:r>
    </w:p>
    <w:p>
      <w:pPr>
        <w:pStyle w:val="Heading5"/>
      </w:pPr>
      <w:bookmarkStart w:id="11" w:name="_Toc407625592"/>
      <w:bookmarkStart w:id="12" w:name="_Toc417033976"/>
      <w:r>
        <w:rPr>
          <w:rStyle w:val="CharSectno"/>
        </w:rPr>
        <w:t>3</w:t>
      </w:r>
      <w:r>
        <w:t>.</w:t>
      </w:r>
      <w:r>
        <w:tab/>
        <w:t>Modified penalties for infringements</w:t>
      </w:r>
      <w:bookmarkEnd w:id="11"/>
      <w:bookmarkEnd w:id="12"/>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13" w:name="_Toc407625593"/>
      <w:bookmarkStart w:id="14" w:name="_Toc417033977"/>
      <w:r>
        <w:rPr>
          <w:rStyle w:val="CharSectno"/>
        </w:rPr>
        <w:t>4</w:t>
      </w:r>
      <w:r>
        <w:t>.</w:t>
      </w:r>
      <w:r>
        <w:tab/>
        <w:t>Total loss — meaning</w:t>
      </w:r>
      <w:bookmarkEnd w:id="13"/>
      <w:bookmarkEnd w:id="14"/>
    </w:p>
    <w:p>
      <w:pPr>
        <w:pStyle w:val="Subsection"/>
      </w:pPr>
      <w:r>
        <w:tab/>
      </w:r>
      <w:r>
        <w:tab/>
        <w:t xml:space="preserve">A vehicle is a total loss if an assessor determines that the extent of the damage is such that — </w:t>
      </w:r>
    </w:p>
    <w:p>
      <w:pPr>
        <w:pStyle w:val="Subsection"/>
        <w:rPr>
          <w:b/>
        </w:rPr>
      </w:pPr>
      <w:r>
        <w:tab/>
      </w:r>
      <w:r>
        <w:tab/>
      </w:r>
      <w:r>
        <w:rPr>
          <w:b/>
        </w:rPr>
        <w:t>A ≤  B</w:t>
      </w:r>
    </w:p>
    <w:p>
      <w:pPr>
        <w:pStyle w:val="Subsection"/>
      </w:pPr>
      <w:r>
        <w:tab/>
      </w:r>
      <w:r>
        <w:tab/>
        <w:t xml:space="preserve">where — </w:t>
      </w:r>
    </w:p>
    <w:p>
      <w:pPr>
        <w:pStyle w:val="Indenta"/>
      </w:pPr>
      <w:r>
        <w:tab/>
      </w:r>
      <w:r>
        <w:rPr>
          <w:b/>
        </w:rPr>
        <w:t>A</w:t>
      </w:r>
      <w:r>
        <w:tab/>
        <w:t xml:space="preserve">is — </w:t>
      </w:r>
    </w:p>
    <w:p>
      <w:pPr>
        <w:pStyle w:val="Indenti"/>
      </w:pPr>
      <w:r>
        <w:tab/>
        <w:t>(a)</w:t>
      </w:r>
      <w:r>
        <w:tab/>
        <w:t>if the vehicle was insured at the time of the event that caused the damage — the value for which the vehicle was insured at the time of that event; or</w:t>
      </w:r>
    </w:p>
    <w:p>
      <w:pPr>
        <w:pStyle w:val="Indenti"/>
      </w:pPr>
      <w:r>
        <w:tab/>
        <w:t>(b)</w:t>
      </w:r>
      <w:r>
        <w:tab/>
        <w:t>if the vehicle was not insured at the time of the event that caused the damage — the market value of the vehicle at the time of that event;</w:t>
      </w:r>
    </w:p>
    <w:p>
      <w:pPr>
        <w:pStyle w:val="Indenta"/>
      </w:pPr>
      <w:r>
        <w:tab/>
      </w:r>
      <w:r>
        <w:rPr>
          <w:b/>
        </w:rPr>
        <w:t>B</w:t>
      </w:r>
      <w:r>
        <w:tab/>
        <w:t>is the cost of repairing the vehicle for use on a road so that it complies with the Vehicle Standards plus the cost of salvage.</w:t>
      </w:r>
    </w:p>
    <w:p>
      <w:pPr>
        <w:pStyle w:val="Footnotesection"/>
      </w:pPr>
      <w:r>
        <w:tab/>
        <w:t>[Regulation 4 inserted in Gazette 14 Dec 2012 p. 6206.]</w:t>
      </w:r>
    </w:p>
    <w:p>
      <w:pPr>
        <w:pStyle w:val="Heading5"/>
      </w:pPr>
      <w:bookmarkStart w:id="15" w:name="_Toc407625594"/>
      <w:bookmarkStart w:id="16" w:name="_Toc417033978"/>
      <w:r>
        <w:rPr>
          <w:rStyle w:val="CharSectno"/>
        </w:rPr>
        <w:t>5</w:t>
      </w:r>
      <w:r>
        <w:t>.</w:t>
      </w:r>
      <w:r>
        <w:tab/>
        <w:t>Written</w:t>
      </w:r>
      <w:r>
        <w:noBreakHyphen/>
        <w:t>off vehicles</w:t>
      </w:r>
      <w:bookmarkEnd w:id="15"/>
      <w:bookmarkEnd w:id="16"/>
    </w:p>
    <w:p>
      <w:pPr>
        <w:pStyle w:val="Subsection"/>
      </w:pPr>
      <w:r>
        <w:tab/>
      </w:r>
      <w:r>
        <w:tab/>
        <w:t>For the purposes of these regulations, a motor vehicle is written</w:t>
      </w:r>
      <w:r>
        <w:noBreakHyphen/>
        <w:t>off if it has been damaged by collision, fire, flood, accident, trespass, dismantling, demolition or other event and has been assessed as a total loss by an assessor.</w:t>
      </w:r>
    </w:p>
    <w:p>
      <w:pPr>
        <w:pStyle w:val="Footnotesection"/>
      </w:pPr>
      <w:r>
        <w:tab/>
        <w:t>[Regulation 5 inserted in Gazette 14 Dec 2012 p. 6206.]</w:t>
      </w:r>
    </w:p>
    <w:p>
      <w:pPr>
        <w:pStyle w:val="Heading5"/>
      </w:pPr>
      <w:bookmarkStart w:id="17" w:name="_Toc407625595"/>
      <w:bookmarkStart w:id="18" w:name="_Toc417033979"/>
      <w:r>
        <w:rPr>
          <w:rStyle w:val="CharSectno"/>
        </w:rPr>
        <w:t>6</w:t>
      </w:r>
      <w:r>
        <w:t>.</w:t>
      </w:r>
      <w:r>
        <w:tab/>
        <w:t>Notifiable vehicles</w:t>
      </w:r>
      <w:bookmarkEnd w:id="17"/>
      <w:bookmarkEnd w:id="1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19" w:name="_Toc407625596"/>
      <w:bookmarkStart w:id="20" w:name="_Toc417033980"/>
      <w:r>
        <w:rPr>
          <w:rStyle w:val="CharSectno"/>
        </w:rPr>
        <w:t>7</w:t>
      </w:r>
      <w:r>
        <w:t>.</w:t>
      </w:r>
      <w:r>
        <w:tab/>
        <w:t>Statutory write</w:t>
      </w:r>
      <w:r>
        <w:noBreakHyphen/>
        <w:t>offs</w:t>
      </w:r>
      <w:bookmarkEnd w:id="19"/>
      <w:bookmarkEnd w:id="2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keepNext/>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Footnotesection"/>
      </w:pPr>
      <w:r>
        <w:tab/>
        <w:t>[Regulation 7 amended in Gazette 14 Dec 2012 p. 6207.]</w:t>
      </w:r>
    </w:p>
    <w:p>
      <w:pPr>
        <w:pStyle w:val="Heading5"/>
      </w:pPr>
      <w:bookmarkStart w:id="21" w:name="_Toc407625597"/>
      <w:bookmarkStart w:id="22" w:name="_Toc417033981"/>
      <w:r>
        <w:rPr>
          <w:rStyle w:val="CharSectno"/>
        </w:rPr>
        <w:t>8</w:t>
      </w:r>
      <w:r>
        <w:t>.</w:t>
      </w:r>
      <w:r>
        <w:tab/>
        <w:t>Repairable write</w:t>
      </w:r>
      <w:r>
        <w:noBreakHyphen/>
        <w:t>offs</w:t>
      </w:r>
      <w:bookmarkEnd w:id="21"/>
      <w:bookmarkEnd w:id="22"/>
    </w:p>
    <w:p>
      <w:pPr>
        <w:pStyle w:val="Subsection"/>
      </w:pPr>
      <w:r>
        <w:tab/>
      </w:r>
      <w:r>
        <w:tab/>
        <w:t>A notifiable vehicle is a repairable write</w:t>
      </w:r>
      <w:r>
        <w:noBreakHyphen/>
        <w:t>off if it is not a statutory write</w:t>
      </w:r>
      <w:r>
        <w:noBreakHyphen/>
        <w:t>off.</w:t>
      </w:r>
    </w:p>
    <w:p>
      <w:pPr>
        <w:pStyle w:val="Heading2"/>
      </w:pPr>
      <w:bookmarkStart w:id="23" w:name="_Toc407625598"/>
      <w:bookmarkStart w:id="24" w:name="_Toc417033959"/>
      <w:bookmarkStart w:id="25" w:name="_Toc417033982"/>
      <w:r>
        <w:rPr>
          <w:rStyle w:val="CharPartNo"/>
        </w:rPr>
        <w:t>Part 2</w:t>
      </w:r>
      <w:r>
        <w:rPr>
          <w:rStyle w:val="CharDivNo"/>
        </w:rPr>
        <w:t> </w:t>
      </w:r>
      <w:r>
        <w:t>—</w:t>
      </w:r>
      <w:r>
        <w:rPr>
          <w:rStyle w:val="CharDivText"/>
        </w:rPr>
        <w:t> </w:t>
      </w:r>
      <w:r>
        <w:rPr>
          <w:rStyle w:val="CharPartText"/>
        </w:rPr>
        <w:t>Dealing with notifiable vehicles</w:t>
      </w:r>
      <w:bookmarkEnd w:id="23"/>
      <w:bookmarkEnd w:id="24"/>
      <w:bookmarkEnd w:id="25"/>
    </w:p>
    <w:p>
      <w:pPr>
        <w:pStyle w:val="Heading5"/>
      </w:pPr>
      <w:bookmarkStart w:id="26" w:name="_Toc407625599"/>
      <w:bookmarkStart w:id="27" w:name="_Toc417033983"/>
      <w:r>
        <w:rPr>
          <w:rStyle w:val="CharSectno"/>
        </w:rPr>
        <w:t>9</w:t>
      </w:r>
      <w:r>
        <w:t>.</w:t>
      </w:r>
      <w:r>
        <w:tab/>
        <w:t>Notification and marking of write</w:t>
      </w:r>
      <w:r>
        <w:noBreakHyphen/>
        <w:t>offs</w:t>
      </w:r>
      <w:bookmarkEnd w:id="26"/>
      <w:bookmarkEnd w:id="27"/>
    </w:p>
    <w:p>
      <w:pPr>
        <w:pStyle w:val="Subsection"/>
      </w:pPr>
      <w:r>
        <w:tab/>
        <w:t>(1)</w:t>
      </w:r>
      <w:r>
        <w:tab/>
        <w:t xml:space="preserve">An assessor who is in possession or control of a notifiable vehicle must, within the compliance period — </w:t>
      </w:r>
    </w:p>
    <w:p>
      <w:pPr>
        <w:pStyle w:val="Indenta"/>
      </w:pPr>
      <w:r>
        <w:tab/>
        <w:t>(a)</w:t>
      </w:r>
      <w:r>
        <w:tab/>
        <w:t>give the Director General a written</w:t>
      </w:r>
      <w:r>
        <w:noBreakHyphen/>
        <w:t>off vehicle notice in accordance with regulation 10;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11; and</w:t>
      </w:r>
    </w:p>
    <w:p>
      <w:pPr>
        <w:pStyle w:val="Indenti"/>
      </w:pPr>
      <w:r>
        <w:tab/>
        <w:t>(ii)</w:t>
      </w:r>
      <w:r>
        <w:tab/>
        <w:t>deface its identifier in accordance with regulation 12.</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r>
        <w:tab/>
        <w:t>[Regulation 9 amended in Gazette 16 Sep 2005 p. 4325.]</w:t>
      </w:r>
    </w:p>
    <w:p>
      <w:pPr>
        <w:pStyle w:val="Heading5"/>
      </w:pPr>
      <w:bookmarkStart w:id="28" w:name="_Toc407625600"/>
      <w:bookmarkStart w:id="29" w:name="_Toc417033984"/>
      <w:r>
        <w:rPr>
          <w:rStyle w:val="CharSectno"/>
        </w:rPr>
        <w:t>10</w:t>
      </w:r>
      <w:r>
        <w:t>.</w:t>
      </w:r>
      <w:r>
        <w:tab/>
        <w:t>Written</w:t>
      </w:r>
      <w:r>
        <w:noBreakHyphen/>
        <w:t>off vehicle notices</w:t>
      </w:r>
      <w:bookmarkEnd w:id="28"/>
      <w:bookmarkEnd w:id="29"/>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30" w:name="_Toc407625601"/>
      <w:bookmarkStart w:id="31" w:name="_Toc417033985"/>
      <w:r>
        <w:rPr>
          <w:rStyle w:val="CharSectno"/>
        </w:rPr>
        <w:t>11</w:t>
      </w:r>
      <w:r>
        <w:t>.</w:t>
      </w:r>
      <w:r>
        <w:tab/>
        <w:t>Written</w:t>
      </w:r>
      <w:r>
        <w:noBreakHyphen/>
        <w:t>off warning labels</w:t>
      </w:r>
      <w:bookmarkEnd w:id="30"/>
      <w:bookmarkEnd w:id="31"/>
    </w:p>
    <w:p>
      <w:pPr>
        <w:pStyle w:val="Subsection"/>
      </w:pPr>
      <w:r>
        <w:tab/>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r>
        <w:tab/>
        <w:t>[Regulation 11 amended in Gazette 16 Sep 2005 p. 4325.]</w:t>
      </w:r>
    </w:p>
    <w:p>
      <w:pPr>
        <w:pStyle w:val="Heading5"/>
      </w:pPr>
      <w:bookmarkStart w:id="32" w:name="_Toc407625602"/>
      <w:bookmarkStart w:id="33" w:name="_Toc417033986"/>
      <w:r>
        <w:rPr>
          <w:rStyle w:val="CharSectno"/>
        </w:rPr>
        <w:t>12</w:t>
      </w:r>
      <w:r>
        <w:t>.</w:t>
      </w:r>
      <w:r>
        <w:tab/>
        <w:t>Defacing vehicle identifiers of statutory write</w:t>
      </w:r>
      <w:r>
        <w:noBreakHyphen/>
        <w:t>offs</w:t>
      </w:r>
      <w:bookmarkEnd w:id="32"/>
      <w:bookmarkEnd w:id="33"/>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34" w:name="_Toc407625603"/>
      <w:bookmarkStart w:id="35" w:name="_Toc417033964"/>
      <w:bookmarkStart w:id="36" w:name="_Toc417033987"/>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34"/>
      <w:bookmarkEnd w:id="35"/>
      <w:bookmarkEnd w:id="36"/>
    </w:p>
    <w:p>
      <w:pPr>
        <w:pStyle w:val="Heading5"/>
        <w:spacing w:before="280"/>
      </w:pPr>
      <w:bookmarkStart w:id="37" w:name="_Toc407625604"/>
      <w:bookmarkStart w:id="38" w:name="_Toc417033988"/>
      <w:r>
        <w:rPr>
          <w:rStyle w:val="CharSectno"/>
        </w:rPr>
        <w:t>13</w:t>
      </w:r>
      <w:r>
        <w:t>.</w:t>
      </w:r>
      <w:r>
        <w:tab/>
        <w:t>Written</w:t>
      </w:r>
      <w:r>
        <w:noBreakHyphen/>
        <w:t>Off Vehicle Register</w:t>
      </w:r>
      <w:bookmarkEnd w:id="37"/>
      <w:bookmarkEnd w:id="38"/>
    </w:p>
    <w:p>
      <w:pPr>
        <w:pStyle w:val="Subsection"/>
        <w:spacing w:before="180"/>
      </w:pPr>
      <w:r>
        <w:tab/>
      </w:r>
      <w:r>
        <w:tab/>
        <w:t>The Director General is to establish and maintain a Written</w:t>
      </w:r>
      <w:r>
        <w:noBreakHyphen/>
        <w:t>Off Vehicle Register in a form determined by the Director General.</w:t>
      </w:r>
    </w:p>
    <w:p>
      <w:pPr>
        <w:pStyle w:val="Heading5"/>
        <w:spacing w:before="280"/>
      </w:pPr>
      <w:bookmarkStart w:id="39" w:name="_Toc407625605"/>
      <w:bookmarkStart w:id="40" w:name="_Toc417033989"/>
      <w:r>
        <w:rPr>
          <w:rStyle w:val="CharSectno"/>
        </w:rPr>
        <w:t>14</w:t>
      </w:r>
      <w:r>
        <w:t>.</w:t>
      </w:r>
      <w:r>
        <w:tab/>
        <w:t>WOVR to include particulars of notifiable vehicles</w:t>
      </w:r>
      <w:bookmarkEnd w:id="39"/>
      <w:bookmarkEnd w:id="40"/>
    </w:p>
    <w:p>
      <w:pPr>
        <w:pStyle w:val="Subsection"/>
        <w:spacing w:before="180"/>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spacing w:before="180"/>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spacing w:before="260"/>
      </w:pPr>
      <w:bookmarkStart w:id="41" w:name="_Toc407625606"/>
      <w:bookmarkStart w:id="42" w:name="_Toc417033990"/>
      <w:r>
        <w:rPr>
          <w:rStyle w:val="CharSectno"/>
        </w:rPr>
        <w:t>15</w:t>
      </w:r>
      <w:r>
        <w:t>.</w:t>
      </w:r>
      <w:r>
        <w:tab/>
        <w:t>Public access to information on WOVR</w:t>
      </w:r>
      <w:bookmarkEnd w:id="41"/>
      <w:bookmarkEnd w:id="42"/>
    </w:p>
    <w:p>
      <w:pPr>
        <w:pStyle w:val="Subsection"/>
        <w:spacing w:before="180"/>
      </w:pPr>
      <w:r>
        <w:tab/>
        <w:t>(1)</w:t>
      </w:r>
      <w:r>
        <w:tab/>
        <w:t xml:space="preserve">On the request of a person, the Director General is to tell the person — </w:t>
      </w:r>
    </w:p>
    <w:p>
      <w:pPr>
        <w:pStyle w:val="Indenta"/>
        <w:spacing w:before="100"/>
      </w:pPr>
      <w:r>
        <w:tab/>
        <w:t>(a)</w:t>
      </w:r>
      <w:r>
        <w:tab/>
        <w:t>whether a particular vehicle, or a particular identifier, is or has ever been registered in the WOVR; and</w:t>
      </w:r>
    </w:p>
    <w:p>
      <w:pPr>
        <w:pStyle w:val="Indenta"/>
        <w:spacing w:before="100"/>
      </w:pPr>
      <w:r>
        <w:tab/>
        <w:t>(b)</w:t>
      </w:r>
      <w:r>
        <w:tab/>
        <w:t>if not, whether, to the knowledge of the Director General, the vehicle or the identifier is registered in a corresponding WOVR; and</w:t>
      </w:r>
    </w:p>
    <w:p>
      <w:pPr>
        <w:pStyle w:val="Indenta"/>
        <w:spacing w:before="100"/>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spacing w:before="200"/>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r>
        <w:tab/>
        <w:t>[Regulation 15 amended in Gazette 16 Sep 2005 p. 4325; 9 Mar 2007 p. 849; 5 Aug 2011 p. 3187.]</w:t>
      </w:r>
    </w:p>
    <w:p>
      <w:pPr>
        <w:pStyle w:val="Heading5"/>
      </w:pPr>
      <w:bookmarkStart w:id="43" w:name="_Toc407625607"/>
      <w:bookmarkStart w:id="44" w:name="_Toc417033991"/>
      <w:r>
        <w:rPr>
          <w:rStyle w:val="CharSectno"/>
        </w:rPr>
        <w:t>16</w:t>
      </w:r>
      <w:r>
        <w:t>.</w:t>
      </w:r>
      <w:r>
        <w:tab/>
        <w:t>Cancellation of entry in WOVR</w:t>
      </w:r>
      <w:bookmarkEnd w:id="43"/>
      <w:bookmarkEnd w:id="44"/>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 and</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45" w:name="_Toc407625608"/>
      <w:bookmarkStart w:id="46" w:name="_Toc417033992"/>
      <w:r>
        <w:rPr>
          <w:rStyle w:val="CharSectno"/>
        </w:rPr>
        <w:t>17</w:t>
      </w:r>
      <w:r>
        <w:t>.</w:t>
      </w:r>
      <w:r>
        <w:tab/>
        <w:t>Implementing the national scheme</w:t>
      </w:r>
      <w:bookmarkEnd w:id="45"/>
      <w:bookmarkEnd w:id="46"/>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nHeading2"/>
      </w:pPr>
      <w:bookmarkStart w:id="47" w:name="_Toc407625609"/>
      <w:bookmarkStart w:id="48" w:name="_Toc417033970"/>
      <w:bookmarkStart w:id="49" w:name="_Toc417033993"/>
      <w:r>
        <w:t>Notes</w:t>
      </w:r>
      <w:bookmarkEnd w:id="47"/>
      <w:bookmarkEnd w:id="48"/>
      <w:bookmarkEnd w:id="49"/>
    </w:p>
    <w:p>
      <w:pPr>
        <w:pStyle w:val="nSubsection"/>
        <w:rPr>
          <w:snapToGrid w:val="0"/>
        </w:rPr>
      </w:pPr>
      <w:r>
        <w:rPr>
          <w:snapToGrid w:val="0"/>
          <w:vertAlign w:val="superscript"/>
        </w:rPr>
        <w:t>1</w:t>
      </w:r>
      <w:r>
        <w:rPr>
          <w:snapToGrid w:val="0"/>
        </w:rPr>
        <w:tab/>
        <w:t>This is a compilation of the</w:t>
      </w:r>
      <w:r>
        <w:t xml:space="preserve"> </w:t>
      </w:r>
      <w:r>
        <w:rPr>
          <w:i/>
          <w:snapToGrid w:val="0"/>
        </w:rPr>
        <w:t xml:space="preserve">Road Traffic </w:t>
      </w:r>
      <w:r>
        <w:rPr>
          <w:i/>
          <w:snapToGrid w:val="0"/>
        </w:rPr>
        <w:br/>
        <w:t xml:space="preserve">(Written-Off Vehicle Register) Regulations 2003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0" w:name="_Toc407625610"/>
      <w:bookmarkStart w:id="51" w:name="_Toc417033994"/>
      <w: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Road Traffic (Written-Off Vehicle Register) Regulations 2003</w:t>
            </w:r>
          </w:p>
        </w:tc>
        <w:tc>
          <w:tcPr>
            <w:tcW w:w="1276" w:type="dxa"/>
            <w:tcBorders>
              <w:top w:val="single" w:sz="8" w:space="0" w:color="auto"/>
            </w:tcBorders>
          </w:tcPr>
          <w:p>
            <w:pPr>
              <w:pStyle w:val="nTable"/>
              <w:spacing w:after="40"/>
            </w:pPr>
            <w:r>
              <w:t>31 Oct 2003 p. 4595-610</w:t>
            </w:r>
          </w:p>
        </w:tc>
        <w:tc>
          <w:tcPr>
            <w:tcW w:w="2693" w:type="dxa"/>
            <w:tcBorders>
              <w:top w:val="single" w:sz="8" w:space="0" w:color="auto"/>
            </w:tcBorders>
          </w:tcPr>
          <w:p>
            <w:pPr>
              <w:pStyle w:val="nTable"/>
              <w:spacing w:after="40"/>
            </w:pPr>
            <w:r>
              <w:t>31 Oct 2003</w:t>
            </w:r>
          </w:p>
        </w:tc>
      </w:tr>
      <w:tr>
        <w:tc>
          <w:tcPr>
            <w:tcW w:w="3118" w:type="dxa"/>
          </w:tcPr>
          <w:p>
            <w:pPr>
              <w:pStyle w:val="nTable"/>
              <w:spacing w:after="40"/>
              <w:rPr>
                <w:i/>
              </w:rPr>
            </w:pPr>
            <w:r>
              <w:rPr>
                <w:i/>
              </w:rPr>
              <w:t>Road Traffic (Written-Off Vehicle Register) Amendment Regulations 2005</w:t>
            </w:r>
          </w:p>
        </w:tc>
        <w:tc>
          <w:tcPr>
            <w:tcW w:w="1276" w:type="dxa"/>
          </w:tcPr>
          <w:p>
            <w:pPr>
              <w:pStyle w:val="nTable"/>
              <w:spacing w:after="40"/>
            </w:pPr>
            <w:r>
              <w:t>16 Sep 2005 p. 4324-5</w:t>
            </w:r>
          </w:p>
        </w:tc>
        <w:tc>
          <w:tcPr>
            <w:tcW w:w="2693" w:type="dxa"/>
          </w:tcPr>
          <w:p>
            <w:pPr>
              <w:pStyle w:val="nTable"/>
              <w:spacing w:after="40"/>
            </w:pPr>
            <w:r>
              <w:t>16 Sep 2005</w:t>
            </w:r>
          </w:p>
        </w:tc>
      </w:tr>
      <w:tr>
        <w:tc>
          <w:tcPr>
            <w:tcW w:w="3118" w:type="dxa"/>
          </w:tcPr>
          <w:p>
            <w:pPr>
              <w:pStyle w:val="nTable"/>
              <w:spacing w:after="40"/>
              <w:rPr>
                <w:i/>
              </w:rPr>
            </w:pPr>
            <w:r>
              <w:rPr>
                <w:i/>
              </w:rPr>
              <w:t>Road Traffic (Written-Off Vehicle Register) Amendment Regulations 2007</w:t>
            </w:r>
          </w:p>
        </w:tc>
        <w:tc>
          <w:tcPr>
            <w:tcW w:w="1276" w:type="dxa"/>
          </w:tcPr>
          <w:p>
            <w:pPr>
              <w:pStyle w:val="nTable"/>
              <w:spacing w:after="40"/>
            </w:pPr>
            <w:r>
              <w:t>9 Mar 2007 p. 849</w:t>
            </w:r>
          </w:p>
        </w:tc>
        <w:tc>
          <w:tcPr>
            <w:tcW w:w="2693" w:type="dxa"/>
          </w:tcPr>
          <w:p>
            <w:pPr>
              <w:pStyle w:val="nTable"/>
              <w:spacing w:after="40"/>
            </w:pPr>
            <w:r>
              <w:t>9 Mar 2007</w:t>
            </w:r>
          </w:p>
        </w:tc>
      </w:tr>
      <w:tr>
        <w:tc>
          <w:tcPr>
            <w:tcW w:w="3118" w:type="dxa"/>
          </w:tcPr>
          <w:p>
            <w:pPr>
              <w:pStyle w:val="nTable"/>
              <w:spacing w:after="40"/>
              <w:rPr>
                <w:i/>
              </w:rPr>
            </w:pPr>
            <w:r>
              <w:rPr>
                <w:i/>
              </w:rPr>
              <w:t>Road Traffic (Written-Off Vehicles Register) Amendment Regulations 2011</w:t>
            </w:r>
          </w:p>
        </w:tc>
        <w:tc>
          <w:tcPr>
            <w:tcW w:w="1276" w:type="dxa"/>
          </w:tcPr>
          <w:p>
            <w:pPr>
              <w:pStyle w:val="nTable"/>
              <w:spacing w:after="40"/>
            </w:pPr>
            <w:r>
              <w:t>5 Aug 2011 p. 3186</w:t>
            </w:r>
            <w:r>
              <w:noBreakHyphen/>
              <w:t>7</w:t>
            </w:r>
          </w:p>
        </w:tc>
        <w:tc>
          <w:tcPr>
            <w:tcW w:w="2693" w:type="dxa"/>
          </w:tcPr>
          <w:p>
            <w:pPr>
              <w:pStyle w:val="nTable"/>
              <w:spacing w:after="40"/>
            </w:pPr>
            <w:r>
              <w:rPr>
                <w:snapToGrid w:val="0"/>
                <w:spacing w:val="-2"/>
              </w:rPr>
              <w:t>r. 1 and 2: 5 Aug 2011 (see r. 2(a));</w:t>
            </w:r>
            <w:r>
              <w:rPr>
                <w:snapToGrid w:val="0"/>
                <w:spacing w:val="-2"/>
              </w:rPr>
              <w:br/>
              <w:t>Regulations other than r. 1 and 2: 6 Aug 2011 (see r. 2(b))</w:t>
            </w:r>
          </w:p>
        </w:tc>
      </w:tr>
      <w:tr>
        <w:tc>
          <w:tcPr>
            <w:tcW w:w="3118" w:type="dxa"/>
          </w:tcPr>
          <w:p>
            <w:pPr>
              <w:pStyle w:val="nTable"/>
              <w:spacing w:after="40"/>
              <w:rPr>
                <w:i/>
              </w:rPr>
            </w:pPr>
            <w:r>
              <w:rPr>
                <w:i/>
              </w:rPr>
              <w:t>Road Traffic (Written Off Vehicle Register) Amendment Regulations 2012</w:t>
            </w:r>
          </w:p>
        </w:tc>
        <w:tc>
          <w:tcPr>
            <w:tcW w:w="1276" w:type="dxa"/>
          </w:tcPr>
          <w:p>
            <w:pPr>
              <w:pStyle w:val="nTable"/>
              <w:spacing w:after="40"/>
            </w:pPr>
            <w:r>
              <w:t>14 Dec 2012 p. 6205</w:t>
            </w:r>
            <w:r>
              <w:noBreakHyphen/>
              <w:t>7</w:t>
            </w:r>
          </w:p>
        </w:tc>
        <w:tc>
          <w:tcPr>
            <w:tcW w:w="2693" w:type="dxa"/>
          </w:tcPr>
          <w:p>
            <w:pPr>
              <w:pStyle w:val="nTable"/>
              <w:spacing w:after="40"/>
              <w:rPr>
                <w:snapToGrid w:val="0"/>
                <w:spacing w:val="-2"/>
              </w:rPr>
            </w:pPr>
            <w:r>
              <w:rPr>
                <w:snapToGrid w:val="0"/>
                <w:spacing w:val="-2"/>
              </w:rPr>
              <w:t>r. 1 and 2: 14 Dec 2012 (see r. 2(a));</w:t>
            </w:r>
            <w:r>
              <w:rPr>
                <w:snapToGrid w:val="0"/>
                <w:spacing w:val="-2"/>
              </w:rPr>
              <w:br/>
              <w:t>Regulations other than r. 1 and 2: 15 Dec 2012 (see r. 2(b))</w:t>
            </w:r>
          </w:p>
        </w:tc>
      </w:tr>
      <w:tr>
        <w:tc>
          <w:tcPr>
            <w:tcW w:w="7087" w:type="dxa"/>
            <w:gridSpan w:val="3"/>
            <w:tcBorders>
              <w:bottom w:val="single" w:sz="4" w:space="0" w:color="auto"/>
            </w:tcBorders>
            <w:shd w:val="clear" w:color="auto" w:fill="auto"/>
          </w:tcPr>
          <w:p>
            <w:pPr>
              <w:pStyle w:val="nTable"/>
              <w:spacing w:after="40"/>
              <w:rPr>
                <w:snapToGrid w:val="0"/>
                <w:spacing w:val="-2"/>
              </w:rPr>
            </w:pPr>
            <w:r>
              <w:rPr>
                <w:b/>
                <w:snapToGrid w:val="0"/>
                <w:spacing w:val="-2"/>
              </w:rPr>
              <w:t xml:space="preserve">Reprint 1:  The </w:t>
            </w:r>
            <w:r>
              <w:rPr>
                <w:b/>
                <w:i/>
              </w:rPr>
              <w:t>Road Traffic (Written-Off Vehicle Register) Regulations 2003 </w:t>
            </w:r>
            <w:r>
              <w:rPr>
                <w:b/>
                <w:snapToGrid w:val="0"/>
                <w:spacing w:val="-2"/>
              </w:rPr>
              <w:t>as at 21 Feb 2014</w:t>
            </w:r>
            <w:r>
              <w:rPr>
                <w:snapToGrid w:val="0"/>
                <w:spacing w:val="-2"/>
              </w:rPr>
              <w:t xml:space="preserve"> (includes amendments listed above)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407625611"/>
      <w:bookmarkStart w:id="53" w:name="_Toc417033995"/>
      <w:r>
        <w:t>Provisions that have not come into operation</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2</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trPr>
        <w:tc>
          <w:tcPr>
            <w:tcW w:w="3034" w:type="dxa"/>
          </w:tcPr>
          <w:p>
            <w:pPr>
              <w:pStyle w:val="TableNAm"/>
            </w:pPr>
            <w:r>
              <w:rPr>
                <w:i/>
              </w:rPr>
              <w:t>Road Traffic (Written</w:t>
            </w:r>
            <w:r>
              <w:rPr>
                <w:i/>
              </w:rPr>
              <w:noBreakHyphen/>
              <w:t>Off Vehicle Register) Regulations 2003</w:t>
            </w:r>
          </w:p>
        </w:tc>
      </w:tr>
    </w:tbl>
    <w:p>
      <w:pPr>
        <w:pStyle w:val="BlankOpen"/>
      </w:pPr>
    </w:p>
    <w:p>
      <w:pPr>
        <w:pStyle w:val="BlankOpen"/>
      </w:pPr>
    </w:p>
    <w:p/>
    <w:p>
      <w:pPr>
        <w:pStyle w:val="DefinedTerms"/>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5" w:name="_Toc417033996"/>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assessor</w:t>
      </w:r>
      <w:r>
        <w:tab/>
        <w:t>2</w:t>
      </w:r>
    </w:p>
    <w:p>
      <w:pPr>
        <w:pStyle w:val="DefinedTerms"/>
      </w:pPr>
      <w:r>
        <w:t>Australian Design Rules</w:t>
      </w:r>
      <w:r>
        <w:tab/>
        <w:t>2</w:t>
      </w:r>
    </w:p>
    <w:p>
      <w:pPr>
        <w:pStyle w:val="DefinedTerms"/>
      </w:pPr>
      <w:r>
        <w:t>compliance period</w:t>
      </w:r>
      <w:r>
        <w:tab/>
        <w:t>2</w:t>
      </w:r>
    </w:p>
    <w:p>
      <w:pPr>
        <w:pStyle w:val="DefinedTerms"/>
      </w:pPr>
      <w:r>
        <w:t>corresponding administrator</w:t>
      </w:r>
      <w:r>
        <w:tab/>
        <w:t>2</w:t>
      </w:r>
    </w:p>
    <w:p>
      <w:pPr>
        <w:pStyle w:val="DefinedTerms"/>
      </w:pPr>
      <w:r>
        <w:t>corresponding law</w:t>
      </w:r>
      <w:r>
        <w:tab/>
        <w:t>2</w:t>
      </w:r>
    </w:p>
    <w:p>
      <w:pPr>
        <w:pStyle w:val="DefinedTerms"/>
      </w:pPr>
      <w:r>
        <w:t>corresponding WOVR</w:t>
      </w:r>
      <w:r>
        <w:tab/>
        <w:t>2</w:t>
      </w:r>
    </w:p>
    <w:p>
      <w:pPr>
        <w:pStyle w:val="DefinedTerms"/>
      </w:pPr>
      <w:r>
        <w:t>damaged vehicle</w:t>
      </w:r>
      <w:r>
        <w:tab/>
        <w:t>2</w:t>
      </w:r>
    </w:p>
    <w:p>
      <w:pPr>
        <w:pStyle w:val="DefinedTerms"/>
      </w:pPr>
      <w:r>
        <w:t>dealer</w:t>
      </w:r>
      <w:r>
        <w:tab/>
        <w:t>2</w:t>
      </w:r>
    </w:p>
    <w:p>
      <w:pPr>
        <w:pStyle w:val="DefinedTerms"/>
      </w:pPr>
      <w:r>
        <w:t>hire purchase agreement</w:t>
      </w:r>
      <w:r>
        <w:tab/>
        <w:t>2</w:t>
      </w:r>
    </w:p>
    <w:p>
      <w:pPr>
        <w:pStyle w:val="DefinedTerms"/>
      </w:pPr>
      <w:r>
        <w:t>identifier</w:t>
      </w:r>
      <w:r>
        <w:tab/>
        <w:t>2</w:t>
      </w:r>
    </w:p>
    <w:p>
      <w:pPr>
        <w:pStyle w:val="DefinedTerms"/>
      </w:pPr>
      <w:r>
        <w:t>insurer</w:t>
      </w:r>
      <w:r>
        <w:tab/>
        <w:t>2</w:t>
      </w:r>
    </w:p>
    <w:p>
      <w:pPr>
        <w:pStyle w:val="DefinedTerms"/>
      </w:pPr>
      <w:r>
        <w:t>MRC</w:t>
      </w:r>
      <w:r>
        <w:tab/>
        <w:t>2</w:t>
      </w:r>
    </w:p>
    <w:p>
      <w:pPr>
        <w:pStyle w:val="DefinedTerms"/>
      </w:pPr>
      <w:r>
        <w:t>notifiable</w:t>
      </w:r>
      <w:r>
        <w:tab/>
        <w:t>2</w:t>
      </w:r>
    </w:p>
    <w:p>
      <w:pPr>
        <w:pStyle w:val="DefinedTerms"/>
      </w:pPr>
      <w:r>
        <w:t>number</w:t>
      </w:r>
      <w:r>
        <w:tab/>
        <w:t>2</w:t>
      </w:r>
    </w:p>
    <w:p>
      <w:pPr>
        <w:pStyle w:val="DefinedTerms"/>
      </w:pPr>
      <w:r>
        <w:t>number plate</w:t>
      </w:r>
      <w:r>
        <w:tab/>
        <w:t>2</w:t>
      </w:r>
    </w:p>
    <w:p>
      <w:pPr>
        <w:pStyle w:val="DefinedTerms"/>
      </w:pPr>
      <w:r>
        <w:t>repair</w:t>
      </w:r>
      <w:r>
        <w:tab/>
        <w:t>2</w:t>
      </w:r>
    </w:p>
    <w:p>
      <w:pPr>
        <w:pStyle w:val="DefinedTerms"/>
      </w:pPr>
      <w:r>
        <w:t>repairable write</w:t>
      </w:r>
      <w:r>
        <w:noBreakHyphen/>
        <w:t>off</w:t>
      </w:r>
      <w:r>
        <w:tab/>
        <w:t>2</w:t>
      </w:r>
    </w:p>
    <w:p>
      <w:pPr>
        <w:pStyle w:val="DefinedTerms"/>
      </w:pPr>
      <w:r>
        <w:t>statutory write</w:t>
      </w:r>
      <w:r>
        <w:noBreakHyphen/>
        <w:t>off</w:t>
      </w:r>
      <w:r>
        <w:tab/>
        <w:t>2</w:t>
      </w:r>
    </w:p>
    <w:p>
      <w:pPr>
        <w:pStyle w:val="DefinedTerms"/>
      </w:pPr>
      <w:r>
        <w:t>Technical Guide</w:t>
      </w:r>
      <w:r>
        <w:tab/>
        <w:t>7(3)</w:t>
      </w:r>
    </w:p>
    <w:p>
      <w:pPr>
        <w:pStyle w:val="DefinedTerms"/>
      </w:pPr>
      <w:r>
        <w:t>total loss</w:t>
      </w:r>
      <w:r>
        <w:tab/>
        <w:t>2</w:t>
      </w:r>
    </w:p>
    <w:p>
      <w:pPr>
        <w:pStyle w:val="DefinedTerms"/>
      </w:pPr>
      <w:r>
        <w:t>Vehicle Standards</w:t>
      </w:r>
      <w:r>
        <w:tab/>
        <w:t>2</w:t>
      </w:r>
    </w:p>
    <w:p>
      <w:pPr>
        <w:pStyle w:val="DefinedTerms"/>
      </w:pPr>
      <w:r>
        <w:t>WOVR</w:t>
      </w:r>
      <w:r>
        <w:tab/>
        <w:t>2</w:t>
      </w:r>
    </w:p>
    <w:p>
      <w:pPr>
        <w:pStyle w:val="DefinedTerms"/>
      </w:pPr>
      <w:r>
        <w:t>wrecker</w:t>
      </w:r>
      <w:r>
        <w:tab/>
        <w:t>2</w:t>
      </w:r>
    </w:p>
    <w:p>
      <w:pPr>
        <w:pStyle w:val="DefinedTerms"/>
      </w:pPr>
      <w:r>
        <w:t>written</w:t>
      </w:r>
      <w:r>
        <w:noBreakHyphen/>
        <w:t>off</w:t>
      </w:r>
      <w:r>
        <w:tab/>
        <w:t>2</w:t>
      </w:r>
    </w:p>
    <w:p>
      <w:pPr>
        <w:pStyle w:val="DefinedTerms"/>
      </w:pPr>
      <w:r>
        <w:t>written</w:t>
      </w:r>
      <w:r>
        <w:noBreakHyphen/>
        <w:t>off vehicle notice</w:t>
      </w:r>
      <w:r>
        <w:tab/>
        <w:t>2</w:t>
      </w:r>
    </w:p>
    <w:p>
      <w:pPr>
        <w:pStyle w:val="DefinedTerms"/>
      </w:pPr>
      <w:r>
        <w:t>written</w:t>
      </w:r>
      <w:r>
        <w:noBreakHyphen/>
        <w:t>off warning label</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334"/>
    <w:docVar w:name="WAFER_20140102162534" w:val="RemoveTocBookmarks,RemoveUnusedBookmarks,RemoveLanguageTags,UsedStyles,ResetPageSize,UpdateArrangement"/>
    <w:docVar w:name="WAFER_20140102162534_GUID" w:val="01686ce9-5b5c-4f49-8271-e9c361a5ac9c"/>
    <w:docVar w:name="WAFER_20140205122321" w:val="RemoveTocBookmarks,RemoveLanguageTags,RemoveTrackChanges,RunningHeaders"/>
    <w:docVar w:name="WAFER_20140205122321_GUID" w:val="48f19fbf-96d4-417a-aab4-3a8a0904b685"/>
    <w:docVar w:name="WAFER_20140205122355" w:val="RemoveTocBookmarks,RemoveLanguageTags,RemoveTrackChanges,RunningHeaders"/>
    <w:docVar w:name="WAFER_20140205122355_GUID" w:val="320a5681-7e9f-4f1d-ae02-d6ab7ac1925a"/>
    <w:docVar w:name="WAFER_20140306140242" w:val="RemoveTocBookmarks,RemoveUnusedBookmarks,RemoveLanguageTags,UsedStyles,ResetPageSize"/>
    <w:docVar w:name="WAFER_20140306140242_GUID" w:val="558cd860-f6b4-43f4-8586-0119c5e955b5"/>
    <w:docVar w:name="WAFER_20140306141000" w:val="RemoveTocBookmarks,RunningHeaders"/>
    <w:docVar w:name="WAFER_20140306141000_GUID" w:val="94b169d7-a84f-4596-aedc-058794376225"/>
    <w:docVar w:name="WAFER_20141224101701" w:val="RemoveTocBookmarks,RemoveUnusedBookmarks,RemoveLanguageTags,UsedStyles,ResetPageSize,UpdateArrangement"/>
    <w:docVar w:name="WAFER_20141224101701_GUID" w:val="a8ad8104-84e5-401e-9075-bb553efeb6d3"/>
    <w:docVar w:name="WAFER_20141229140146" w:val="RemoveTocBookmarks,RunningHeaders"/>
    <w:docVar w:name="WAFER_20141229140146_GUID" w:val="975cb31d-317a-499d-b25a-e6311a582957"/>
    <w:docVar w:name="WAFER_20150417105334" w:val="ResetPageSize,UpdateArrangement,UpdateNTable"/>
    <w:docVar w:name="WAFER_20150417105334_GUID" w:val="21e68a05-e0ba-4867-a55d-8554976243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4DAE-1458-4F48-8D78-A2469AD8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3260</Words>
  <Characters>16435</Characters>
  <Application>Microsoft Office Word</Application>
  <DocSecurity>0</DocSecurity>
  <Lines>530</Lines>
  <Paragraphs>328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2003 - 01-b0-01</dc:title>
  <dc:creator>Matthew Pether</dc:creator>
  <cp:keywords>Brought into Production 7 June 2002</cp:keywords>
  <cp:lastModifiedBy>svcMRProcess</cp:lastModifiedBy>
  <cp:revision>4</cp:revision>
  <cp:lastPrinted>2014-02-17T02:52:00Z</cp:lastPrinted>
  <dcterms:created xsi:type="dcterms:W3CDTF">2015-04-17T03:40:00Z</dcterms:created>
  <dcterms:modified xsi:type="dcterms:W3CDTF">2015-04-17T03:40:00Z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9835</vt:i4>
  </property>
  <property fmtid="{D5CDD505-2E9C-101B-9397-08002B2CF9AE}" pid="6" name="ReprintNo">
    <vt:lpwstr>1</vt:lpwstr>
  </property>
  <property fmtid="{D5CDD505-2E9C-101B-9397-08002B2CF9AE}" pid="7" name="ReprintedAsAt">
    <vt:filetime>2014-02-20T16:00:00Z</vt:filetime>
  </property>
  <property fmtid="{D5CDD505-2E9C-101B-9397-08002B2CF9AE}" pid="8" name="AsAtDate">
    <vt:lpwstr>23 Dec 2014</vt:lpwstr>
  </property>
  <property fmtid="{D5CDD505-2E9C-101B-9397-08002B2CF9AE}" pid="9" name="Suffix">
    <vt:lpwstr>01-b0-01</vt:lpwstr>
  </property>
</Properties>
</file>