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Economic Regulation Authority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Economic Regulation Authority (Licensing Funding)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(Licensing Funding) Regulations 2014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_Toc416685398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_Toc416685399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_Toc416685400 \h </w:instrText>
      </w:r>
      <w:r>
        <w:fldChar w:fldCharType="separate"/>
      </w:r>
      <w:r>
        <w:t>1</w:t>
      </w:r>
      <w:r>
        <w:fldChar w:fldCharType="end"/>
      </w:r>
    </w:p>
    <w:p>
      <w:pPr>
        <w:pStyle w:val="TOC8"/>
        <w:rPr>
          <w:rFonts w:asciiTheme="minorHAnsi" w:eastAsiaTheme="minorEastAsia" w:hAnsiTheme="minorHAnsi" w:cstheme="minorBidi"/>
          <w:szCs w:val="22"/>
        </w:rPr>
      </w:pPr>
      <w:r>
        <w:t>4.</w:t>
      </w:r>
      <w:r>
        <w:tab/>
        <w:t>Specific charges: liability and amount</w:t>
      </w:r>
      <w:r>
        <w:tab/>
      </w:r>
      <w:r>
        <w:fldChar w:fldCharType="begin"/>
      </w:r>
      <w:r>
        <w:instrText xml:space="preserve"> PAGEREF _Toc416685401 \h </w:instrText>
      </w:r>
      <w:r>
        <w:fldChar w:fldCharType="separate"/>
      </w:r>
      <w:r>
        <w:t>3</w:t>
      </w:r>
      <w:r>
        <w:fldChar w:fldCharType="end"/>
      </w:r>
    </w:p>
    <w:p>
      <w:pPr>
        <w:pStyle w:val="TOC8"/>
        <w:rPr>
          <w:rFonts w:asciiTheme="minorHAnsi" w:eastAsiaTheme="minorEastAsia" w:hAnsiTheme="minorHAnsi" w:cstheme="minorBidi"/>
          <w:szCs w:val="22"/>
        </w:rPr>
      </w:pPr>
      <w:r>
        <w:t>5.</w:t>
      </w:r>
      <w:r>
        <w:tab/>
        <w:t>Specific charges: estimates</w:t>
      </w:r>
      <w:r>
        <w:tab/>
      </w:r>
      <w:r>
        <w:fldChar w:fldCharType="begin"/>
      </w:r>
      <w:r>
        <w:instrText xml:space="preserve"> PAGEREF _Toc416685402 \h </w:instrText>
      </w:r>
      <w:r>
        <w:fldChar w:fldCharType="separate"/>
      </w:r>
      <w:r>
        <w:t>5</w:t>
      </w:r>
      <w:r>
        <w:fldChar w:fldCharType="end"/>
      </w:r>
    </w:p>
    <w:p>
      <w:pPr>
        <w:pStyle w:val="TOC8"/>
        <w:rPr>
          <w:rFonts w:asciiTheme="minorHAnsi" w:eastAsiaTheme="minorEastAsia" w:hAnsiTheme="minorHAnsi" w:cstheme="minorBidi"/>
          <w:szCs w:val="22"/>
        </w:rPr>
      </w:pPr>
      <w:r>
        <w:t>6.</w:t>
      </w:r>
      <w:r>
        <w:tab/>
        <w:t>Annual licence charges: liability and amount</w:t>
      </w:r>
      <w:r>
        <w:tab/>
      </w:r>
      <w:r>
        <w:fldChar w:fldCharType="begin"/>
      </w:r>
      <w:r>
        <w:instrText xml:space="preserve"> PAGEREF _Toc416685403 \h </w:instrText>
      </w:r>
      <w:r>
        <w:fldChar w:fldCharType="separate"/>
      </w:r>
      <w:r>
        <w:t>5</w:t>
      </w:r>
      <w:r>
        <w:fldChar w:fldCharType="end"/>
      </w:r>
    </w:p>
    <w:p>
      <w:pPr>
        <w:pStyle w:val="TOC8"/>
        <w:rPr>
          <w:rFonts w:asciiTheme="minorHAnsi" w:eastAsiaTheme="minorEastAsia" w:hAnsiTheme="minorHAnsi" w:cstheme="minorBidi"/>
          <w:szCs w:val="22"/>
        </w:rPr>
      </w:pPr>
      <w:r>
        <w:t>7.</w:t>
      </w:r>
      <w:r>
        <w:tab/>
        <w:t>Standing charges: liability and amount</w:t>
      </w:r>
      <w:r>
        <w:tab/>
      </w:r>
      <w:r>
        <w:fldChar w:fldCharType="begin"/>
      </w:r>
      <w:r>
        <w:instrText xml:space="preserve"> PAGEREF _Toc416685404 \h </w:instrText>
      </w:r>
      <w:r>
        <w:fldChar w:fldCharType="separate"/>
      </w:r>
      <w:r>
        <w:t>6</w:t>
      </w:r>
      <w:r>
        <w:fldChar w:fldCharType="end"/>
      </w:r>
    </w:p>
    <w:p>
      <w:pPr>
        <w:pStyle w:val="TOC8"/>
        <w:rPr>
          <w:rFonts w:asciiTheme="minorHAnsi" w:eastAsiaTheme="minorEastAsia" w:hAnsiTheme="minorHAnsi" w:cstheme="minorBidi"/>
          <w:szCs w:val="22"/>
        </w:rPr>
      </w:pPr>
      <w:r>
        <w:t>8.</w:t>
      </w:r>
      <w:r>
        <w:tab/>
        <w:t>Standing charges: assessment and payment</w:t>
      </w:r>
      <w:r>
        <w:tab/>
      </w:r>
      <w:r>
        <w:fldChar w:fldCharType="begin"/>
      </w:r>
      <w:r>
        <w:instrText xml:space="preserve"> PAGEREF _Toc416685405 \h </w:instrText>
      </w:r>
      <w:r>
        <w:fldChar w:fldCharType="separate"/>
      </w:r>
      <w:r>
        <w:t>8</w:t>
      </w:r>
      <w:r>
        <w:fldChar w:fldCharType="end"/>
      </w:r>
    </w:p>
    <w:p>
      <w:pPr>
        <w:pStyle w:val="TOC8"/>
        <w:rPr>
          <w:rFonts w:asciiTheme="minorHAnsi" w:eastAsiaTheme="minorEastAsia" w:hAnsiTheme="minorHAnsi" w:cstheme="minorBidi"/>
          <w:szCs w:val="22"/>
        </w:rPr>
      </w:pPr>
      <w:r>
        <w:t>9.</w:t>
      </w:r>
      <w:r>
        <w:tab/>
        <w:t>Recovery of unpaid amounts</w:t>
      </w:r>
      <w:r>
        <w:tab/>
      </w:r>
      <w:r>
        <w:fldChar w:fldCharType="begin"/>
      </w:r>
      <w:r>
        <w:instrText xml:space="preserve"> PAGEREF _Toc416685406 \h </w:instrText>
      </w:r>
      <w:r>
        <w:fldChar w:fldCharType="separate"/>
      </w:r>
      <w:r>
        <w:t>9</w:t>
      </w:r>
      <w:r>
        <w:fldChar w:fldCharType="end"/>
      </w:r>
    </w:p>
    <w:p>
      <w:pPr>
        <w:pStyle w:val="TOC8"/>
        <w:rPr>
          <w:rFonts w:asciiTheme="minorHAnsi" w:eastAsiaTheme="minorEastAsia" w:hAnsiTheme="minorHAnsi" w:cstheme="minorBidi"/>
          <w:szCs w:val="22"/>
        </w:rPr>
      </w:pPr>
      <w:r>
        <w:t>10.</w:t>
      </w:r>
      <w:r>
        <w:tab/>
        <w:t>Exemptions</w:t>
      </w:r>
      <w:r>
        <w:tab/>
      </w:r>
      <w:r>
        <w:fldChar w:fldCharType="begin"/>
      </w:r>
      <w:r>
        <w:instrText xml:space="preserve"> PAGEREF _Toc416685407 \h </w:instrText>
      </w:r>
      <w:r>
        <w:fldChar w:fldCharType="separate"/>
      </w:r>
      <w:r>
        <w:t>9</w:t>
      </w:r>
      <w:r>
        <w:fldChar w:fldCharType="end"/>
      </w:r>
    </w:p>
    <w:p>
      <w:pPr>
        <w:pStyle w:val="TOC8"/>
        <w:rPr>
          <w:rFonts w:asciiTheme="minorHAnsi" w:eastAsiaTheme="minorEastAsia" w:hAnsiTheme="minorHAnsi" w:cstheme="minorBidi"/>
          <w:szCs w:val="22"/>
        </w:rPr>
      </w:pPr>
      <w:r>
        <w:t>11.</w:t>
      </w:r>
      <w:r>
        <w:tab/>
        <w:t>Extension of time within which to pay</w:t>
      </w:r>
      <w:r>
        <w:tab/>
      </w:r>
      <w:r>
        <w:fldChar w:fldCharType="begin"/>
      </w:r>
      <w:r>
        <w:instrText xml:space="preserve"> PAGEREF _Toc416685408 \h </w:instrText>
      </w:r>
      <w:r>
        <w:fldChar w:fldCharType="separate"/>
      </w:r>
      <w:r>
        <w:t>9</w:t>
      </w:r>
      <w:r>
        <w:fldChar w:fldCharType="end"/>
      </w:r>
    </w:p>
    <w:p>
      <w:pPr>
        <w:pStyle w:val="TOC8"/>
        <w:rPr>
          <w:rFonts w:asciiTheme="minorHAnsi" w:eastAsiaTheme="minorEastAsia" w:hAnsiTheme="minorHAnsi" w:cstheme="minorBidi"/>
          <w:szCs w:val="22"/>
        </w:rPr>
      </w:pPr>
      <w:r>
        <w:t>12.</w:t>
      </w:r>
      <w:r>
        <w:tab/>
        <w:t>Authority’s annual report</w:t>
      </w:r>
      <w:r>
        <w:tab/>
      </w:r>
      <w:r>
        <w:fldChar w:fldCharType="begin"/>
      </w:r>
      <w:r>
        <w:instrText xml:space="preserve"> PAGEREF _Toc416685409 \h </w:instrText>
      </w:r>
      <w:r>
        <w:fldChar w:fldCharType="separate"/>
      </w:r>
      <w:r>
        <w:t>10</w:t>
      </w:r>
      <w:r>
        <w:fldChar w:fldCharType="end"/>
      </w:r>
    </w:p>
    <w:p>
      <w:pPr>
        <w:pStyle w:val="TOC8"/>
        <w:rPr>
          <w:rFonts w:asciiTheme="minorHAnsi" w:eastAsiaTheme="minorEastAsia" w:hAnsiTheme="minorHAnsi" w:cstheme="minorBidi"/>
          <w:szCs w:val="22"/>
        </w:rPr>
      </w:pPr>
      <w:r>
        <w:t>13.</w:t>
      </w:r>
      <w:r>
        <w:tab/>
        <w:t>Review</w:t>
      </w:r>
      <w:r>
        <w:tab/>
      </w:r>
      <w:r>
        <w:fldChar w:fldCharType="begin"/>
      </w:r>
      <w:r>
        <w:instrText xml:space="preserve"> PAGEREF _Toc416685410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_Toc416685412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Economic Regulation Authority Act 2003</w:t>
      </w:r>
    </w:p>
    <w:p>
      <w:pPr>
        <w:pStyle w:val="NameofActReg"/>
      </w:pPr>
      <w:r>
        <w:t>Economic Regulation Authority (Licensing Funding) Regulations 2014</w:t>
      </w:r>
    </w:p>
    <w:p>
      <w:pPr>
        <w:pStyle w:val="Heading5"/>
      </w:pPr>
      <w:bookmarkStart w:id="3" w:name="_Toc407608167"/>
      <w:bookmarkStart w:id="4" w:name="_Toc416685398"/>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Economic Regulation Authority (Licensing Funding) Regulations 2014</w:t>
      </w:r>
      <w:r>
        <w:t>.</w:t>
      </w:r>
    </w:p>
    <w:p>
      <w:pPr>
        <w:pStyle w:val="Heading5"/>
        <w:rPr>
          <w:spacing w:val="-2"/>
        </w:rPr>
      </w:pPr>
      <w:bookmarkStart w:id="6" w:name="_Toc407608168"/>
      <w:bookmarkStart w:id="7" w:name="_Toc416685399"/>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2015.</w:t>
      </w:r>
    </w:p>
    <w:p>
      <w:pPr>
        <w:pStyle w:val="Heading5"/>
      </w:pPr>
      <w:bookmarkStart w:id="8" w:name="_Toc407608169"/>
      <w:bookmarkStart w:id="9" w:name="_Toc416685400"/>
      <w:r>
        <w:rPr>
          <w:rStyle w:val="CharSectno"/>
        </w:rPr>
        <w:t>3</w:t>
      </w:r>
      <w:r>
        <w:t>.</w:t>
      </w:r>
      <w:r>
        <w:tab/>
        <w:t>Terms used</w:t>
      </w:r>
      <w:bookmarkEnd w:id="8"/>
      <w:bookmarkEnd w:id="9"/>
    </w:p>
    <w:p>
      <w:pPr>
        <w:pStyle w:val="Subsection"/>
      </w:pPr>
      <w:r>
        <w:tab/>
        <w:t>(1)</w:t>
      </w:r>
      <w:r>
        <w:tab/>
        <w:t xml:space="preserve">In these regulations — </w:t>
      </w:r>
    </w:p>
    <w:p>
      <w:pPr>
        <w:pStyle w:val="Defstart"/>
      </w:pPr>
      <w:r>
        <w:tab/>
      </w:r>
      <w:r>
        <w:rPr>
          <w:rStyle w:val="CharDefText"/>
        </w:rPr>
        <w:t>allowed period</w:t>
      </w:r>
      <w:r>
        <w:t>, in relation to the payment of a charge under these regulations, means the period referred to in regulation 4(4), 6(3) or 8(2) (whichever is relevant) or that period as extended by the Authority under regulation 11;</w:t>
      </w:r>
    </w:p>
    <w:p>
      <w:pPr>
        <w:pStyle w:val="Defstart"/>
      </w:pPr>
      <w:r>
        <w:tab/>
      </w:r>
      <w:r>
        <w:rPr>
          <w:rStyle w:val="CharDefText"/>
        </w:rPr>
        <w:t>annual licence charge</w:t>
      </w:r>
      <w:r>
        <w:t xml:space="preserve"> means a charge payable under regulation 6(1);</w:t>
      </w:r>
    </w:p>
    <w:p>
      <w:pPr>
        <w:pStyle w:val="Defstart"/>
      </w:pPr>
      <w:r>
        <w:tab/>
      </w:r>
      <w:r>
        <w:rPr>
          <w:rStyle w:val="CharDefText"/>
        </w:rPr>
        <w:t>core function costs</w:t>
      </w:r>
      <w:r>
        <w:t xml:space="preserve">, for a quarter, means costs that — </w:t>
      </w:r>
    </w:p>
    <w:p>
      <w:pPr>
        <w:pStyle w:val="Defpara"/>
      </w:pPr>
      <w:r>
        <w:tab/>
        <w:t>(a)</w:t>
      </w:r>
      <w:r>
        <w:tab/>
        <w:t>are incurred by the Authority in the quarter in connection with the performance of its licensing functions; and</w:t>
      </w:r>
    </w:p>
    <w:p>
      <w:pPr>
        <w:pStyle w:val="Defpara"/>
      </w:pPr>
      <w:r>
        <w:tab/>
        <w:t>(b)</w:t>
      </w:r>
      <w:r>
        <w:tab/>
        <w:t>cannot be recovered through the imposition of specific charges or annual licence charges;</w:t>
      </w:r>
    </w:p>
    <w:p>
      <w:pPr>
        <w:pStyle w:val="Defstart"/>
      </w:pPr>
      <w:r>
        <w:tab/>
      </w:r>
      <w:r>
        <w:rPr>
          <w:rStyle w:val="CharDefText"/>
        </w:rPr>
        <w:t>electricity distribution licence</w:t>
      </w:r>
      <w:r>
        <w:t xml:space="preserve"> means a distribution licence as defined in the </w:t>
      </w:r>
      <w:r>
        <w:rPr>
          <w:i/>
        </w:rPr>
        <w:t>Electricity Industry Act 2004</w:t>
      </w:r>
      <w:r>
        <w:t xml:space="preserve"> section 3;</w:t>
      </w:r>
    </w:p>
    <w:p>
      <w:pPr>
        <w:pStyle w:val="Defstart"/>
      </w:pPr>
      <w:r>
        <w:tab/>
      </w:r>
      <w:r>
        <w:rPr>
          <w:rStyle w:val="CharDefText"/>
        </w:rPr>
        <w:t>electricity generation licence</w:t>
      </w:r>
      <w:r>
        <w:t xml:space="preserve"> means a generation licence as defined in the </w:t>
      </w:r>
      <w:r>
        <w:rPr>
          <w:i/>
        </w:rPr>
        <w:t>Electricity Industry Act 2004</w:t>
      </w:r>
      <w:r>
        <w:t xml:space="preserve"> section 3;</w:t>
      </w:r>
    </w:p>
    <w:p>
      <w:pPr>
        <w:pStyle w:val="Defstart"/>
      </w:pPr>
      <w:r>
        <w:tab/>
      </w:r>
      <w:r>
        <w:rPr>
          <w:rStyle w:val="CharDefText"/>
        </w:rPr>
        <w:t>electricity retail licence</w:t>
      </w:r>
      <w:r>
        <w:t xml:space="preserve"> means a retail licence as defined in the </w:t>
      </w:r>
      <w:r>
        <w:rPr>
          <w:i/>
        </w:rPr>
        <w:t>Electricity Industry Act 2004</w:t>
      </w:r>
      <w:r>
        <w:t xml:space="preserve"> section 3;</w:t>
      </w:r>
    </w:p>
    <w:p>
      <w:pPr>
        <w:pStyle w:val="Defstart"/>
      </w:pPr>
      <w:r>
        <w:tab/>
      </w:r>
      <w:r>
        <w:rPr>
          <w:rStyle w:val="CharDefText"/>
        </w:rPr>
        <w:t>electricity transmission licence</w:t>
      </w:r>
      <w:r>
        <w:t xml:space="preserve"> means a transmission licence as defined in the </w:t>
      </w:r>
      <w:r>
        <w:rPr>
          <w:i/>
        </w:rPr>
        <w:t>Electricity Industry Act 2004</w:t>
      </w:r>
      <w:r>
        <w:t xml:space="preserve"> section 3;</w:t>
      </w:r>
    </w:p>
    <w:p>
      <w:pPr>
        <w:pStyle w:val="Defstart"/>
      </w:pPr>
      <w:r>
        <w:tab/>
      </w:r>
      <w:r>
        <w:rPr>
          <w:rStyle w:val="CharDefText"/>
        </w:rPr>
        <w:t>gas distribution licence</w:t>
      </w:r>
      <w:r>
        <w:t xml:space="preserve"> means a distribution licence as defined in the </w:t>
      </w:r>
      <w:r>
        <w:rPr>
          <w:i/>
        </w:rPr>
        <w:t>Energy Coordination Act 1994</w:t>
      </w:r>
      <w:r>
        <w:t xml:space="preserve"> section 3(1);</w:t>
      </w:r>
    </w:p>
    <w:p>
      <w:pPr>
        <w:pStyle w:val="Defstart"/>
      </w:pPr>
      <w:r>
        <w:tab/>
      </w:r>
      <w:r>
        <w:rPr>
          <w:rStyle w:val="CharDefText"/>
        </w:rPr>
        <w:t>gas trading licence</w:t>
      </w:r>
      <w:r>
        <w:t xml:space="preserve"> means a trading licence as defined in the </w:t>
      </w:r>
      <w:r>
        <w:rPr>
          <w:i/>
        </w:rPr>
        <w:t>Energy Coordination Act 1994</w:t>
      </w:r>
      <w:r>
        <w:t xml:space="preserve"> section 3(1);</w:t>
      </w:r>
    </w:p>
    <w:p>
      <w:pPr>
        <w:pStyle w:val="Defstart"/>
      </w:pPr>
      <w:r>
        <w:tab/>
      </w:r>
      <w:r>
        <w:rPr>
          <w:rStyle w:val="CharDefText"/>
        </w:rPr>
        <w:t>integrated regional licence</w:t>
      </w:r>
      <w:r>
        <w:t xml:space="preserve"> has the meaning given in the </w:t>
      </w:r>
      <w:r>
        <w:rPr>
          <w:i/>
        </w:rPr>
        <w:t>Electricity Industry Act 2004</w:t>
      </w:r>
      <w:r>
        <w:t xml:space="preserve"> section 3;</w:t>
      </w:r>
    </w:p>
    <w:p>
      <w:pPr>
        <w:pStyle w:val="Defstart"/>
      </w:pPr>
      <w:r>
        <w:tab/>
      </w:r>
      <w:r>
        <w:rPr>
          <w:rStyle w:val="CharDefText"/>
        </w:rPr>
        <w:t>licence</w:t>
      </w:r>
      <w:r>
        <w:t xml:space="preserve"> means one of the following — </w:t>
      </w:r>
    </w:p>
    <w:p>
      <w:pPr>
        <w:pStyle w:val="Defpara"/>
      </w:pPr>
      <w:r>
        <w:tab/>
        <w:t>(a)</w:t>
      </w:r>
      <w:r>
        <w:tab/>
        <w:t>an electricity distribution licence;</w:t>
      </w:r>
    </w:p>
    <w:p>
      <w:pPr>
        <w:pStyle w:val="Defpara"/>
      </w:pPr>
      <w:r>
        <w:tab/>
        <w:t>(b)</w:t>
      </w:r>
      <w:r>
        <w:tab/>
        <w:t>an electricity generation licence;</w:t>
      </w:r>
    </w:p>
    <w:p>
      <w:pPr>
        <w:pStyle w:val="Defpara"/>
      </w:pPr>
      <w:r>
        <w:tab/>
        <w:t>(c)</w:t>
      </w:r>
      <w:r>
        <w:tab/>
        <w:t>an electricity retail licence;</w:t>
      </w:r>
    </w:p>
    <w:p>
      <w:pPr>
        <w:pStyle w:val="Defpara"/>
      </w:pPr>
      <w:r>
        <w:tab/>
        <w:t>(d)</w:t>
      </w:r>
      <w:r>
        <w:tab/>
        <w:t>an electricity transmission licence;</w:t>
      </w:r>
    </w:p>
    <w:p>
      <w:pPr>
        <w:pStyle w:val="Defpara"/>
      </w:pPr>
      <w:r>
        <w:tab/>
        <w:t>(e)</w:t>
      </w:r>
      <w:r>
        <w:tab/>
        <w:t>an integrated regional licence;</w:t>
      </w:r>
    </w:p>
    <w:p>
      <w:pPr>
        <w:pStyle w:val="Defpara"/>
      </w:pPr>
      <w:r>
        <w:tab/>
        <w:t>(f)</w:t>
      </w:r>
      <w:r>
        <w:tab/>
        <w:t>a gas distribution licence;</w:t>
      </w:r>
    </w:p>
    <w:p>
      <w:pPr>
        <w:pStyle w:val="Defpara"/>
      </w:pPr>
      <w:r>
        <w:tab/>
        <w:t>(g)</w:t>
      </w:r>
      <w:r>
        <w:tab/>
        <w:t>a gas trading licence;</w:t>
      </w:r>
    </w:p>
    <w:p>
      <w:pPr>
        <w:pStyle w:val="Defpara"/>
      </w:pPr>
      <w:r>
        <w:tab/>
        <w:t>(h)</w:t>
      </w:r>
      <w:r>
        <w:tab/>
        <w:t>a water services licence;</w:t>
      </w:r>
    </w:p>
    <w:p>
      <w:pPr>
        <w:pStyle w:val="Defstart"/>
      </w:pPr>
      <w:r>
        <w:tab/>
      </w:r>
      <w:r>
        <w:rPr>
          <w:rStyle w:val="CharDefText"/>
        </w:rPr>
        <w:t>licensee</w:t>
      </w:r>
      <w:r>
        <w:t xml:space="preserve"> means the person who holds a licence;</w:t>
      </w:r>
    </w:p>
    <w:p>
      <w:pPr>
        <w:pStyle w:val="Defstart"/>
      </w:pPr>
      <w:r>
        <w:tab/>
      </w:r>
      <w:r>
        <w:rPr>
          <w:rStyle w:val="CharDefText"/>
        </w:rPr>
        <w:t>licensing functions</w:t>
      </w:r>
      <w:r>
        <w:t xml:space="preserve"> means functions of the Authority under the </w:t>
      </w:r>
      <w:r>
        <w:rPr>
          <w:i/>
        </w:rPr>
        <w:t>Electricity Industry Act 2004</w:t>
      </w:r>
      <w:r>
        <w:t xml:space="preserve"> Part 2, the </w:t>
      </w:r>
      <w:r>
        <w:rPr>
          <w:i/>
        </w:rPr>
        <w:t>Energy Coordination Act 1994</w:t>
      </w:r>
      <w:r>
        <w:t xml:space="preserve"> Part 2A or the </w:t>
      </w:r>
      <w:r>
        <w:rPr>
          <w:i/>
        </w:rPr>
        <w:t>Water Services Act 2012</w:t>
      </w:r>
      <w:r>
        <w:t xml:space="preserve"> Part 2;</w:t>
      </w:r>
    </w:p>
    <w:p>
      <w:pPr>
        <w:pStyle w:val="Defstart"/>
      </w:pPr>
      <w:r>
        <w:tab/>
      </w:r>
      <w:r>
        <w:rPr>
          <w:rStyle w:val="CharDefText"/>
        </w:rPr>
        <w:t>prescribed rate</w:t>
      </w:r>
      <w:r>
        <w:t xml:space="preserve">, in relation to interest on amounts not paid within an allowed period, means the interest rate that is 5 percentage points higher than —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described in paragraph (a) — the rate determined by the Authority having regard to comparable indices then available;</w:t>
      </w:r>
    </w:p>
    <w:p>
      <w:pPr>
        <w:pStyle w:val="Defstart"/>
      </w:pPr>
      <w:r>
        <w:tab/>
      </w:r>
      <w:r>
        <w:rPr>
          <w:rStyle w:val="CharDefText"/>
        </w:rPr>
        <w:t>quarter</w:t>
      </w:r>
      <w:r>
        <w:t xml:space="preserve"> means the period of 3 months ending on 30 September, 31 December, 31 March or 30 June;</w:t>
      </w:r>
    </w:p>
    <w:p>
      <w:pPr>
        <w:pStyle w:val="Defstart"/>
      </w:pPr>
      <w:r>
        <w:tab/>
      </w:r>
      <w:r>
        <w:rPr>
          <w:rStyle w:val="CharDefText"/>
        </w:rPr>
        <w:t>specific charge</w:t>
      </w:r>
      <w:r>
        <w:t xml:space="preserve"> means a charge payable under regulation 4(2);</w:t>
      </w:r>
    </w:p>
    <w:p>
      <w:pPr>
        <w:pStyle w:val="Defstart"/>
      </w:pPr>
      <w:r>
        <w:tab/>
      </w:r>
      <w:r>
        <w:rPr>
          <w:rStyle w:val="CharDefText"/>
        </w:rPr>
        <w:t>standing charge</w:t>
      </w:r>
      <w:r>
        <w:t xml:space="preserve"> means a charge payable under regulation 7(2);</w:t>
      </w:r>
    </w:p>
    <w:p>
      <w:pPr>
        <w:pStyle w:val="Defstart"/>
      </w:pPr>
      <w:r>
        <w:tab/>
      </w:r>
      <w:r>
        <w:rPr>
          <w:rStyle w:val="CharDefText"/>
        </w:rPr>
        <w:t>water services licence</w:t>
      </w:r>
      <w:r>
        <w:t xml:space="preserve"> means a licence as defined in the </w:t>
      </w:r>
      <w:r>
        <w:rPr>
          <w:i/>
        </w:rPr>
        <w:t>Water Services Act 2012</w:t>
      </w:r>
      <w:r>
        <w:t xml:space="preserve"> section 3(1).</w:t>
      </w:r>
    </w:p>
    <w:p>
      <w:pPr>
        <w:pStyle w:val="Subsection"/>
      </w:pPr>
      <w:r>
        <w:tab/>
        <w:t>(2)</w:t>
      </w:r>
      <w:r>
        <w:tab/>
        <w:t xml:space="preserve">For the purposes of regulations 6 and 7, an integrated regional licence is to be treated as if it were separate licences, one for each activity (described in the </w:t>
      </w:r>
      <w:r>
        <w:rPr>
          <w:i/>
        </w:rPr>
        <w:t>Electricity Industry Act 2004</w:t>
      </w:r>
      <w:r>
        <w:t xml:space="preserve"> section 4(1)(a), (b), (c) or (d)) authorised under the licence.</w:t>
      </w:r>
    </w:p>
    <w:p>
      <w:pPr>
        <w:pStyle w:val="Heading5"/>
      </w:pPr>
      <w:bookmarkStart w:id="10" w:name="_Toc407608170"/>
      <w:bookmarkStart w:id="11" w:name="_Toc416685401"/>
      <w:r>
        <w:rPr>
          <w:rStyle w:val="CharSectno"/>
        </w:rPr>
        <w:t>4</w:t>
      </w:r>
      <w:r>
        <w:t>.</w:t>
      </w:r>
      <w:r>
        <w:tab/>
        <w:t>Specific charges: liability and amount</w:t>
      </w:r>
      <w:bookmarkEnd w:id="10"/>
      <w:bookmarkEnd w:id="11"/>
    </w:p>
    <w:p>
      <w:pPr>
        <w:pStyle w:val="Subsection"/>
      </w:pPr>
      <w:r>
        <w:tab/>
        <w:t>(1)</w:t>
      </w:r>
      <w:r>
        <w:tab/>
        <w:t xml:space="preserve">The following functions of the Authority are listed for the purposes of this regulation — </w:t>
      </w:r>
    </w:p>
    <w:p>
      <w:pPr>
        <w:pStyle w:val="Indenta"/>
      </w:pPr>
      <w:r>
        <w:tab/>
        <w:t>(a)</w:t>
      </w:r>
      <w:r>
        <w:tab/>
        <w:t xml:space="preserve">dealing with an application under the </w:t>
      </w:r>
      <w:r>
        <w:rPr>
          <w:i/>
        </w:rPr>
        <w:t>Electricity Industry Act 2004</w:t>
      </w:r>
      <w:r>
        <w:t xml:space="preserve"> for the grant, renewal or amendment of a licence or approval to transfer a licence;</w:t>
      </w:r>
    </w:p>
    <w:p>
      <w:pPr>
        <w:pStyle w:val="Indenta"/>
      </w:pPr>
      <w:r>
        <w:tab/>
        <w:t>(b)</w:t>
      </w:r>
      <w:r>
        <w:tab/>
        <w:t xml:space="preserve">dealing with an application under the </w:t>
      </w:r>
      <w:r>
        <w:rPr>
          <w:i/>
        </w:rPr>
        <w:t>Energy Coordination Act 1994</w:t>
      </w:r>
      <w:r>
        <w:t xml:space="preserve"> for the grant, renewal or amendment of a licence or approval to transfer a licence;</w:t>
      </w:r>
    </w:p>
    <w:p>
      <w:pPr>
        <w:pStyle w:val="Indenta"/>
      </w:pPr>
      <w:r>
        <w:tab/>
        <w:t>(c)</w:t>
      </w:r>
      <w:r>
        <w:tab/>
        <w:t xml:space="preserve">dealing with an application under the </w:t>
      </w:r>
      <w:r>
        <w:rPr>
          <w:i/>
        </w:rPr>
        <w:t>Water Services Act 2012</w:t>
      </w:r>
      <w:r>
        <w:t xml:space="preserve"> for the grant, renewal, amendment or cancellation of a licence or the approval of the transfer of a licence.</w:t>
      </w:r>
    </w:p>
    <w:p>
      <w:pPr>
        <w:pStyle w:val="Subsection"/>
      </w:pPr>
      <w:r>
        <w:tab/>
        <w:t>(2)</w:t>
      </w:r>
      <w:r>
        <w:tab/>
        <w:t>If the Authority performs a function listed in subregulation (1), the applicant is liable to pay a charge for the performance of the function.</w:t>
      </w:r>
    </w:p>
    <w:p>
      <w:pPr>
        <w:pStyle w:val="Subsection"/>
      </w:pPr>
      <w:r>
        <w:tab/>
        <w:t>(3)</w:t>
      </w:r>
      <w:r>
        <w:tab/>
        <w:t>The Authority must give the applicant a notice that specifies —</w:t>
      </w:r>
    </w:p>
    <w:p>
      <w:pPr>
        <w:pStyle w:val="Indenta"/>
      </w:pPr>
      <w:r>
        <w:tab/>
        <w:t>(a)</w:t>
      </w:r>
      <w:r>
        <w:tab/>
        <w:t>the amount of the charge; and</w:t>
      </w:r>
    </w:p>
    <w:p>
      <w:pPr>
        <w:pStyle w:val="Indenta"/>
      </w:pPr>
      <w:r>
        <w:tab/>
        <w:t>(b)</w:t>
      </w:r>
      <w:r>
        <w:tab/>
        <w:t>the day on which the notice was issued.</w:t>
      </w:r>
    </w:p>
    <w:p>
      <w:pPr>
        <w:pStyle w:val="Subsection"/>
      </w:pPr>
      <w:r>
        <w:tab/>
        <w:t>(4)</w:t>
      </w:r>
      <w:r>
        <w:tab/>
        <w:t>The amount specified in the notice is payable to the Authority within 30 days after the day on which the notice was issued.</w:t>
      </w:r>
    </w:p>
    <w:p>
      <w:pPr>
        <w:pStyle w:val="Subsection"/>
      </w:pPr>
      <w:r>
        <w:tab/>
        <w:t>(5)</w:t>
      </w:r>
      <w:r>
        <w:tab/>
        <w:t>The amount of the charge is an amount equivalent to the costs described in subregulation (6) that —</w:t>
      </w:r>
    </w:p>
    <w:p>
      <w:pPr>
        <w:pStyle w:val="Indenta"/>
      </w:pPr>
      <w:r>
        <w:tab/>
        <w:t>(a)</w:t>
      </w:r>
      <w:r>
        <w:tab/>
        <w:t>have been incurred by the Authority; and</w:t>
      </w:r>
    </w:p>
    <w:p>
      <w:pPr>
        <w:pStyle w:val="Indenta"/>
      </w:pPr>
      <w:r>
        <w:tab/>
        <w:t>(b)</w:t>
      </w:r>
      <w:r>
        <w:tab/>
        <w:t>are directly attributable to the performance of the function or to the doing of anything that was necessary or convenient to be done for or in connection with the performance of the function.</w:t>
      </w:r>
    </w:p>
    <w:p>
      <w:pPr>
        <w:pStyle w:val="Subsection"/>
      </w:pPr>
      <w:r>
        <w:tab/>
        <w:t>(6)</w:t>
      </w:r>
      <w:r>
        <w:tab/>
        <w:t xml:space="preserve">For the purposes of subregulation (5), the costs are — </w:t>
      </w:r>
    </w:p>
    <w:p>
      <w:pPr>
        <w:pStyle w:val="Indenta"/>
      </w:pPr>
      <w:r>
        <w:tab/>
        <w:t>(a)</w:t>
      </w:r>
      <w:r>
        <w:tab/>
        <w:t>costs of consultants or contractors engaged by the Authority including accommodation costs, travel costs and equipment costs; and</w:t>
      </w:r>
    </w:p>
    <w:p>
      <w:pPr>
        <w:pStyle w:val="Indenta"/>
      </w:pPr>
      <w:r>
        <w:tab/>
        <w:t>(b)</w:t>
      </w:r>
      <w:r>
        <w:tab/>
        <w:t>photocopying, mailing, publishing and advertising costs; and</w:t>
      </w:r>
    </w:p>
    <w:p>
      <w:pPr>
        <w:pStyle w:val="Indenta"/>
      </w:pPr>
      <w:r>
        <w:tab/>
        <w:t>(c)</w:t>
      </w:r>
      <w:r>
        <w:tab/>
        <w:t>costs associated with public consultation conducted under the Act under which the application was made; and</w:t>
      </w:r>
    </w:p>
    <w:p>
      <w:pPr>
        <w:pStyle w:val="Indenta"/>
      </w:pPr>
      <w:r>
        <w:tab/>
        <w:t>(d)</w:t>
      </w:r>
      <w:r>
        <w:tab/>
        <w:t>costs associated with producing or amending maps of areas to which the licence, or proposed licence, relates.</w:t>
      </w:r>
    </w:p>
    <w:p>
      <w:pPr>
        <w:pStyle w:val="Subsection"/>
      </w:pPr>
      <w:r>
        <w:tab/>
        <w:t>(7)</w:t>
      </w:r>
      <w:r>
        <w:tab/>
        <w:t>The Authority must, at the request of the applicant, give the applicant an itemised account of the costs covered by the charge.</w:t>
      </w:r>
    </w:p>
    <w:p>
      <w:pPr>
        <w:pStyle w:val="Subsection"/>
      </w:pPr>
      <w:r>
        <w:tab/>
        <w:t>(8)</w:t>
      </w:r>
      <w:r>
        <w:tab/>
        <w:t>If the applicant does not pay the amount of the charge in full within the allowed period, interest on any outstanding amount is payable to the Authority at the prescribed rate calculated daily.</w:t>
      </w:r>
    </w:p>
    <w:p>
      <w:pPr>
        <w:pStyle w:val="Heading5"/>
      </w:pPr>
      <w:bookmarkStart w:id="12" w:name="_Toc407608171"/>
      <w:bookmarkStart w:id="13" w:name="_Toc416685402"/>
      <w:r>
        <w:rPr>
          <w:rStyle w:val="CharSectno"/>
        </w:rPr>
        <w:t>5</w:t>
      </w:r>
      <w:r>
        <w:t>.</w:t>
      </w:r>
      <w:r>
        <w:tab/>
        <w:t>Specific charges: estimates</w:t>
      </w:r>
      <w:bookmarkEnd w:id="12"/>
      <w:bookmarkEnd w:id="13"/>
    </w:p>
    <w:p>
      <w:pPr>
        <w:pStyle w:val="Subsection"/>
      </w:pPr>
      <w:r>
        <w:tab/>
        <w:t>(1)</w:t>
      </w:r>
      <w:r>
        <w:tab/>
        <w:t xml:space="preserve">A person may, before making an application referred to in regulation 4(1) (the </w:t>
      </w:r>
      <w:r>
        <w:rPr>
          <w:rStyle w:val="CharDefText"/>
        </w:rPr>
        <w:t>proposed application</w:t>
      </w:r>
      <w:r>
        <w:t>), request from the Authority an estimate of the amount of the charge for dealing with the proposed application.</w:t>
      </w:r>
    </w:p>
    <w:p>
      <w:pPr>
        <w:pStyle w:val="Subsection"/>
      </w:pPr>
      <w:r>
        <w:tab/>
        <w:t>(2)</w:t>
      </w:r>
      <w:r>
        <w:tab/>
        <w:t>The Authority must, if there is sufficient information about the proposed application to make an estimate, give the person an estimate of the charge within 7 days after the day on which the request was made.</w:t>
      </w:r>
    </w:p>
    <w:p>
      <w:pPr>
        <w:pStyle w:val="Subsection"/>
      </w:pPr>
      <w:r>
        <w:tab/>
        <w:t>(3)</w:t>
      </w:r>
      <w:r>
        <w:tab/>
        <w:t>The Authority is not bound by an estimate.</w:t>
      </w:r>
    </w:p>
    <w:p>
      <w:pPr>
        <w:pStyle w:val="Heading5"/>
      </w:pPr>
      <w:bookmarkStart w:id="14" w:name="_Toc407608172"/>
      <w:bookmarkStart w:id="15" w:name="_Toc416685403"/>
      <w:r>
        <w:rPr>
          <w:rStyle w:val="CharSectno"/>
        </w:rPr>
        <w:t>6</w:t>
      </w:r>
      <w:r>
        <w:t>.</w:t>
      </w:r>
      <w:r>
        <w:tab/>
        <w:t>Annual licence charges: liability and amount</w:t>
      </w:r>
      <w:bookmarkEnd w:id="14"/>
      <w:bookmarkEnd w:id="15"/>
    </w:p>
    <w:p>
      <w:pPr>
        <w:pStyle w:val="Subsection"/>
      </w:pPr>
      <w:r>
        <w:tab/>
        <w:t>(1)</w:t>
      </w:r>
      <w:r>
        <w:tab/>
        <w:t>A licensee is liable to pay an annual licence charge, for each licence held by the licensee, in connection with the performance of the Authority’s licensing functions under the Act under which the licence is held.</w:t>
      </w:r>
    </w:p>
    <w:p>
      <w:pPr>
        <w:pStyle w:val="Subsection"/>
      </w:pPr>
      <w:r>
        <w:tab/>
        <w:t>(2)</w:t>
      </w:r>
      <w:r>
        <w:tab/>
        <w:t xml:space="preserve">The annual licence charge for a licence is — </w:t>
      </w:r>
    </w:p>
    <w:p>
      <w:pPr>
        <w:pStyle w:val="Indenta"/>
      </w:pPr>
      <w:r>
        <w:tab/>
        <w:t>(a)</w:t>
      </w:r>
      <w:r>
        <w:tab/>
        <w:t>for an electricity distribution licence — $2 732;</w:t>
      </w:r>
    </w:p>
    <w:p>
      <w:pPr>
        <w:pStyle w:val="Indenta"/>
      </w:pPr>
      <w:r>
        <w:tab/>
        <w:t>(b)</w:t>
      </w:r>
      <w:r>
        <w:tab/>
        <w:t>for an electricity generation licence — $2 406;</w:t>
      </w:r>
    </w:p>
    <w:p>
      <w:pPr>
        <w:pStyle w:val="Indenta"/>
      </w:pPr>
      <w:r>
        <w:tab/>
        <w:t>(c)</w:t>
      </w:r>
      <w:r>
        <w:tab/>
        <w:t>for an electricity retail licence — $3 416;</w:t>
      </w:r>
    </w:p>
    <w:p>
      <w:pPr>
        <w:pStyle w:val="Indenta"/>
      </w:pPr>
      <w:r>
        <w:tab/>
        <w:t>(d)</w:t>
      </w:r>
      <w:r>
        <w:tab/>
        <w:t>for an electricity transmission licence — $2 406;</w:t>
      </w:r>
    </w:p>
    <w:p>
      <w:pPr>
        <w:pStyle w:val="Indenta"/>
      </w:pPr>
      <w:r>
        <w:tab/>
        <w:t>(e)</w:t>
      </w:r>
      <w:r>
        <w:tab/>
        <w:t>for a gas distribution licence — $2 778;</w:t>
      </w:r>
    </w:p>
    <w:p>
      <w:pPr>
        <w:pStyle w:val="Indenta"/>
      </w:pPr>
      <w:r>
        <w:tab/>
        <w:t>(f)</w:t>
      </w:r>
      <w:r>
        <w:tab/>
        <w:t>for a gas trading licence — $3 105;</w:t>
      </w:r>
    </w:p>
    <w:p>
      <w:pPr>
        <w:pStyle w:val="Indenta"/>
      </w:pPr>
      <w:r>
        <w:tab/>
        <w:t>(g)</w:t>
      </w:r>
      <w:r>
        <w:tab/>
        <w:t>for a water services licence — $2 885.</w:t>
      </w:r>
    </w:p>
    <w:p>
      <w:pPr>
        <w:pStyle w:val="Subsection"/>
      </w:pPr>
      <w:r>
        <w:tab/>
        <w:t>(3)</w:t>
      </w:r>
      <w:r>
        <w:tab/>
        <w:t xml:space="preserve">The annual licence charge is payable to the Authority — </w:t>
      </w:r>
    </w:p>
    <w:p>
      <w:pPr>
        <w:pStyle w:val="Indenta"/>
      </w:pPr>
      <w:r>
        <w:tab/>
        <w:t>(a)</w:t>
      </w:r>
      <w:r>
        <w:tab/>
        <w:t>within one month after the day on which the licence was granted; and</w:t>
      </w:r>
    </w:p>
    <w:p>
      <w:pPr>
        <w:pStyle w:val="Indenta"/>
      </w:pPr>
      <w:r>
        <w:tab/>
        <w:t>(b)</w:t>
      </w:r>
      <w:r>
        <w:tab/>
        <w:t>within one month after each anniversary of that day.</w:t>
      </w:r>
    </w:p>
    <w:p>
      <w:pPr>
        <w:pStyle w:val="Subsection"/>
      </w:pPr>
      <w:r>
        <w:tab/>
        <w:t>(4)</w:t>
      </w:r>
      <w:r>
        <w:tab/>
        <w:t>If a licensee does not pay an annual licence charge in full within the allowed period, interest on any outstanding amount is payable to the Authority at the prescribed rate calculated daily.</w:t>
      </w:r>
    </w:p>
    <w:p>
      <w:pPr>
        <w:pStyle w:val="Heading5"/>
      </w:pPr>
      <w:bookmarkStart w:id="16" w:name="_Toc407608173"/>
      <w:bookmarkStart w:id="17" w:name="_Toc416685404"/>
      <w:r>
        <w:rPr>
          <w:rStyle w:val="CharSectno"/>
        </w:rPr>
        <w:t>7</w:t>
      </w:r>
      <w:r>
        <w:t>.</w:t>
      </w:r>
      <w:r>
        <w:tab/>
        <w:t>Standing charges: liability and amount</w:t>
      </w:r>
      <w:bookmarkEnd w:id="16"/>
      <w:bookmarkEnd w:id="17"/>
    </w:p>
    <w:p>
      <w:pPr>
        <w:pStyle w:val="Subsection"/>
      </w:pPr>
      <w:r>
        <w:tab/>
        <w:t>(1)</w:t>
      </w:r>
      <w:r>
        <w:tab/>
        <w:t xml:space="preserve">In this regulation — </w:t>
      </w:r>
    </w:p>
    <w:p>
      <w:pPr>
        <w:pStyle w:val="Defstart"/>
      </w:pPr>
      <w:r>
        <w:tab/>
      </w:r>
      <w:r>
        <w:rPr>
          <w:rStyle w:val="CharDefText"/>
        </w:rPr>
        <w:t>class</w:t>
      </w:r>
      <w:r>
        <w:t>, of licence, means a class specified in the Table;</w:t>
      </w:r>
    </w:p>
    <w:p>
      <w:pPr>
        <w:pStyle w:val="Defstart"/>
      </w:pPr>
      <w:r>
        <w:tab/>
      </w:r>
      <w:r>
        <w:rPr>
          <w:rStyle w:val="CharDefText"/>
        </w:rPr>
        <w:t>Table</w:t>
      </w:r>
      <w:r>
        <w:t xml:space="preserve"> means the Table to subregulation (4);</w:t>
      </w:r>
    </w:p>
    <w:p>
      <w:pPr>
        <w:pStyle w:val="Defstart"/>
      </w:pPr>
      <w:r>
        <w:tab/>
      </w:r>
      <w:r>
        <w:rPr>
          <w:rStyle w:val="CharDefText"/>
        </w:rPr>
        <w:t>units</w:t>
      </w:r>
      <w:r>
        <w:t>, in relation to a licence, means the type of units specified in the Table for licences of the class to which the licensee belongs.</w:t>
      </w:r>
    </w:p>
    <w:p>
      <w:pPr>
        <w:pStyle w:val="Subsection"/>
      </w:pPr>
      <w:r>
        <w:tab/>
        <w:t>(2)</w:t>
      </w:r>
      <w:r>
        <w:tab/>
        <w:t>For each quarter and for each licence in effect during any period in the quarter, a charge is payable in connection with the core function costs for the quarter.</w:t>
      </w:r>
    </w:p>
    <w:p>
      <w:pPr>
        <w:pStyle w:val="Subsection"/>
      </w:pPr>
      <w:r>
        <w:tab/>
        <w:t>(3)</w:t>
      </w:r>
      <w:r>
        <w:tab/>
        <w:t>The charge is payable by the licensee.</w:t>
      </w:r>
    </w:p>
    <w:p>
      <w:pPr>
        <w:pStyle w:val="Subsection"/>
      </w:pPr>
      <w:r>
        <w:tab/>
        <w:t>(4)</w:t>
      </w:r>
      <w:r>
        <w:tab/>
        <w:t xml:space="preserve">The amount of the charge is determined in accordance with the following formula — </w:t>
      </w:r>
    </w:p>
    <w:p>
      <w:pPr>
        <w:pStyle w:val="Subsection"/>
      </w:pPr>
      <w:r>
        <w:tab/>
      </w:r>
      <w:r>
        <w:tab/>
      </w: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3.75pt">
            <v:imagedata r:id="rId22" o:title=""/>
          </v:shape>
        </w:pict>
      </w:r>
    </w:p>
    <w:p>
      <w:pPr>
        <w:pStyle w:val="MiscellaneousBody"/>
        <w:ind w:left="1418" w:hanging="567"/>
      </w:pPr>
      <w:r>
        <w:t xml:space="preserve">where — </w:t>
      </w:r>
    </w:p>
    <w:p>
      <w:pPr>
        <w:pStyle w:val="MiscellaneousBody"/>
        <w:ind w:left="1418" w:hanging="567"/>
      </w:pPr>
      <w:r>
        <w:t>C</w:t>
      </w:r>
      <w:r>
        <w:tab/>
        <w:t>is the amount of the core function costs for the quarter attributable to the performance by the Authority of its licensing functions under the Act under which the licence is held;</w:t>
      </w:r>
    </w:p>
    <w:p>
      <w:pPr>
        <w:pStyle w:val="MiscellaneousBody"/>
        <w:ind w:left="1418" w:hanging="567"/>
      </w:pPr>
      <w:r>
        <w:t>P</w:t>
      </w:r>
      <w:r>
        <w:tab/>
        <w:t>is the percentage specified in the Table for licences of the class to which the licence belongs;</w:t>
      </w:r>
    </w:p>
    <w:p>
      <w:pPr>
        <w:pStyle w:val="MiscellaneousBody"/>
        <w:ind w:left="1418" w:hanging="567"/>
      </w:pPr>
      <w:r>
        <w:t>U</w:t>
      </w:r>
      <w:r>
        <w:rPr>
          <w:sz w:val="22"/>
          <w:szCs w:val="22"/>
          <w:vertAlign w:val="subscript"/>
        </w:rPr>
        <w:t>L</w:t>
      </w:r>
      <w:r>
        <w:tab/>
        <w:t>is the number of units reported to the Authority under the licence in respect of the financial year immediately preceding the quarter;</w:t>
      </w:r>
    </w:p>
    <w:p>
      <w:pPr>
        <w:pStyle w:val="MiscellaneousBody"/>
        <w:ind w:left="1418" w:hanging="567"/>
      </w:pPr>
      <w:r>
        <w:t>U</w:t>
      </w:r>
      <w:r>
        <w:rPr>
          <w:sz w:val="22"/>
          <w:szCs w:val="22"/>
          <w:vertAlign w:val="subscript"/>
        </w:rPr>
        <w:t>T</w:t>
      </w:r>
      <w:r>
        <w:tab/>
        <w:t>is the total number of units reported to the Authority, under all licences of the class to which the licence belongs, in respect of the financial year immediately preceding the quarter.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3"/>
        <w:gridCol w:w="1701"/>
        <w:gridCol w:w="1985"/>
      </w:tblGrid>
      <w:tr>
        <w:trPr>
          <w:tblHeader/>
        </w:trPr>
        <w:tc>
          <w:tcPr>
            <w:tcW w:w="2523" w:type="dxa"/>
          </w:tcPr>
          <w:p>
            <w:pPr>
              <w:pStyle w:val="TableNAm"/>
              <w:jc w:val="center"/>
              <w:rPr>
                <w:b/>
                <w:bCs/>
              </w:rPr>
            </w:pPr>
            <w:r>
              <w:rPr>
                <w:b/>
                <w:bCs/>
              </w:rPr>
              <w:t>Class of licence</w:t>
            </w:r>
          </w:p>
        </w:tc>
        <w:tc>
          <w:tcPr>
            <w:tcW w:w="1701" w:type="dxa"/>
          </w:tcPr>
          <w:p>
            <w:pPr>
              <w:pStyle w:val="TableNAm"/>
              <w:jc w:val="center"/>
              <w:rPr>
                <w:b/>
                <w:bCs/>
              </w:rPr>
            </w:pPr>
            <w:r>
              <w:rPr>
                <w:b/>
                <w:bCs/>
              </w:rPr>
              <w:t>Percentage</w:t>
            </w:r>
          </w:p>
        </w:tc>
        <w:tc>
          <w:tcPr>
            <w:tcW w:w="1985" w:type="dxa"/>
          </w:tcPr>
          <w:p>
            <w:pPr>
              <w:pStyle w:val="TableNAm"/>
              <w:jc w:val="center"/>
              <w:rPr>
                <w:b/>
                <w:bCs/>
              </w:rPr>
            </w:pPr>
            <w:r>
              <w:rPr>
                <w:b/>
                <w:bCs/>
              </w:rPr>
              <w:t>Units</w:t>
            </w:r>
          </w:p>
        </w:tc>
      </w:tr>
      <w:tr>
        <w:tc>
          <w:tcPr>
            <w:tcW w:w="2523" w:type="dxa"/>
          </w:tcPr>
          <w:p>
            <w:pPr>
              <w:pStyle w:val="TableNAm"/>
            </w:pPr>
            <w:r>
              <w:t>electricity distribution licence</w:t>
            </w:r>
          </w:p>
        </w:tc>
        <w:tc>
          <w:tcPr>
            <w:tcW w:w="1701" w:type="dxa"/>
          </w:tcPr>
          <w:p>
            <w:pPr>
              <w:pStyle w:val="TableNAm"/>
              <w:jc w:val="center"/>
            </w:pPr>
            <w:r>
              <w:t>25%</w:t>
            </w:r>
          </w:p>
        </w:tc>
        <w:tc>
          <w:tcPr>
            <w:tcW w:w="1985" w:type="dxa"/>
          </w:tcPr>
          <w:p>
            <w:pPr>
              <w:pStyle w:val="TableNAm"/>
            </w:pPr>
            <w:r>
              <w:t>kilometres of distribution line</w:t>
            </w:r>
          </w:p>
        </w:tc>
      </w:tr>
      <w:tr>
        <w:tc>
          <w:tcPr>
            <w:tcW w:w="2523" w:type="dxa"/>
          </w:tcPr>
          <w:p>
            <w:pPr>
              <w:pStyle w:val="TableNAm"/>
            </w:pPr>
            <w:r>
              <w:t>electricity generation licence</w:t>
            </w:r>
          </w:p>
        </w:tc>
        <w:tc>
          <w:tcPr>
            <w:tcW w:w="1701" w:type="dxa"/>
          </w:tcPr>
          <w:p>
            <w:pPr>
              <w:pStyle w:val="TableNAm"/>
              <w:jc w:val="center"/>
            </w:pPr>
            <w:r>
              <w:t>25%</w:t>
            </w:r>
          </w:p>
        </w:tc>
        <w:tc>
          <w:tcPr>
            <w:tcW w:w="1985" w:type="dxa"/>
          </w:tcPr>
          <w:p>
            <w:pPr>
              <w:pStyle w:val="TableNAm"/>
              <w:rPr>
                <w:i/>
                <w:sz w:val="22"/>
                <w:szCs w:val="22"/>
              </w:rPr>
            </w:pPr>
            <w:r>
              <w:t>megawatts of generation capacity</w:t>
            </w:r>
          </w:p>
        </w:tc>
      </w:tr>
      <w:tr>
        <w:tc>
          <w:tcPr>
            <w:tcW w:w="2523" w:type="dxa"/>
          </w:tcPr>
          <w:p>
            <w:pPr>
              <w:pStyle w:val="TableNAm"/>
            </w:pPr>
            <w:r>
              <w:t>electricity retail licence</w:t>
            </w:r>
          </w:p>
        </w:tc>
        <w:tc>
          <w:tcPr>
            <w:tcW w:w="1701" w:type="dxa"/>
          </w:tcPr>
          <w:p>
            <w:pPr>
              <w:pStyle w:val="TableNAm"/>
              <w:jc w:val="center"/>
            </w:pPr>
            <w:r>
              <w:t>25%</w:t>
            </w:r>
          </w:p>
        </w:tc>
        <w:tc>
          <w:tcPr>
            <w:tcW w:w="1985" w:type="dxa"/>
          </w:tcPr>
          <w:p>
            <w:pPr>
              <w:pStyle w:val="TableNAm"/>
            </w:pPr>
            <w:r>
              <w:t>customers</w:t>
            </w:r>
          </w:p>
        </w:tc>
      </w:tr>
      <w:tr>
        <w:tc>
          <w:tcPr>
            <w:tcW w:w="2523" w:type="dxa"/>
          </w:tcPr>
          <w:p>
            <w:pPr>
              <w:pStyle w:val="TableNAm"/>
            </w:pPr>
            <w:r>
              <w:t>electricity transmission licence</w:t>
            </w:r>
          </w:p>
        </w:tc>
        <w:tc>
          <w:tcPr>
            <w:tcW w:w="1701" w:type="dxa"/>
          </w:tcPr>
          <w:p>
            <w:pPr>
              <w:pStyle w:val="TableNAm"/>
              <w:jc w:val="center"/>
            </w:pPr>
            <w:r>
              <w:t>25%</w:t>
            </w:r>
          </w:p>
        </w:tc>
        <w:tc>
          <w:tcPr>
            <w:tcW w:w="1985" w:type="dxa"/>
          </w:tcPr>
          <w:p>
            <w:pPr>
              <w:pStyle w:val="TableNAm"/>
            </w:pPr>
            <w:r>
              <w:t>kilometres of transmission line</w:t>
            </w:r>
          </w:p>
        </w:tc>
      </w:tr>
      <w:tr>
        <w:tc>
          <w:tcPr>
            <w:tcW w:w="2523" w:type="dxa"/>
          </w:tcPr>
          <w:p>
            <w:pPr>
              <w:pStyle w:val="TableNAm"/>
            </w:pPr>
            <w:r>
              <w:t>gas distribution licence</w:t>
            </w:r>
          </w:p>
        </w:tc>
        <w:tc>
          <w:tcPr>
            <w:tcW w:w="1701" w:type="dxa"/>
          </w:tcPr>
          <w:p>
            <w:pPr>
              <w:pStyle w:val="TableNAm"/>
              <w:jc w:val="center"/>
            </w:pPr>
            <w:r>
              <w:t>50%</w:t>
            </w:r>
          </w:p>
        </w:tc>
        <w:tc>
          <w:tcPr>
            <w:tcW w:w="1985" w:type="dxa"/>
          </w:tcPr>
          <w:p>
            <w:pPr>
              <w:pStyle w:val="TableNAm"/>
            </w:pPr>
            <w:r>
              <w:t>kilometres of gas distribution pipeline</w:t>
            </w:r>
          </w:p>
        </w:tc>
      </w:tr>
      <w:tr>
        <w:tc>
          <w:tcPr>
            <w:tcW w:w="2523" w:type="dxa"/>
          </w:tcPr>
          <w:p>
            <w:pPr>
              <w:pStyle w:val="TableNAm"/>
            </w:pPr>
            <w:r>
              <w:t>gas trading licence</w:t>
            </w:r>
          </w:p>
        </w:tc>
        <w:tc>
          <w:tcPr>
            <w:tcW w:w="1701" w:type="dxa"/>
          </w:tcPr>
          <w:p>
            <w:pPr>
              <w:pStyle w:val="TableNAm"/>
              <w:jc w:val="center"/>
            </w:pPr>
            <w:r>
              <w:t>50%</w:t>
            </w:r>
          </w:p>
        </w:tc>
        <w:tc>
          <w:tcPr>
            <w:tcW w:w="1985" w:type="dxa"/>
          </w:tcPr>
          <w:p>
            <w:pPr>
              <w:pStyle w:val="TableNAm"/>
            </w:pPr>
            <w:r>
              <w:t>customers</w:t>
            </w:r>
          </w:p>
        </w:tc>
      </w:tr>
      <w:tr>
        <w:tc>
          <w:tcPr>
            <w:tcW w:w="2523" w:type="dxa"/>
          </w:tcPr>
          <w:p>
            <w:pPr>
              <w:pStyle w:val="TableNAm"/>
            </w:pPr>
            <w:r>
              <w:t>water services licence</w:t>
            </w:r>
          </w:p>
        </w:tc>
        <w:tc>
          <w:tcPr>
            <w:tcW w:w="1701" w:type="dxa"/>
          </w:tcPr>
          <w:p>
            <w:pPr>
              <w:pStyle w:val="TableNAm"/>
              <w:jc w:val="center"/>
            </w:pPr>
            <w:r>
              <w:t>100%</w:t>
            </w:r>
          </w:p>
        </w:tc>
        <w:tc>
          <w:tcPr>
            <w:tcW w:w="1985" w:type="dxa"/>
          </w:tcPr>
          <w:p>
            <w:pPr>
              <w:pStyle w:val="TableNAm"/>
            </w:pPr>
            <w:r>
              <w:t>customers</w:t>
            </w:r>
          </w:p>
        </w:tc>
      </w:tr>
    </w:tbl>
    <w:p>
      <w:pPr>
        <w:pStyle w:val="Subsection"/>
      </w:pPr>
      <w:r>
        <w:tab/>
        <w:t>(5)</w:t>
      </w:r>
      <w:r>
        <w:tab/>
        <w:t>If the licensee did not hold the licence for the whole of the quarter, the charge is reduced by the proportion of the quarter during which the licensee did not hold the licence.</w:t>
      </w:r>
    </w:p>
    <w:p>
      <w:pPr>
        <w:pStyle w:val="Subsection"/>
      </w:pPr>
      <w:r>
        <w:tab/>
        <w:t>(6)</w:t>
      </w:r>
      <w:r>
        <w:tab/>
        <w:t xml:space="preserve">If — </w:t>
      </w:r>
    </w:p>
    <w:p>
      <w:pPr>
        <w:pStyle w:val="Indenta"/>
      </w:pPr>
      <w:r>
        <w:tab/>
        <w:t>(a)</w:t>
      </w:r>
      <w:r>
        <w:tab/>
        <w:t>the licence was granted, or ceased to have effect, during the quarter; and</w:t>
      </w:r>
    </w:p>
    <w:p>
      <w:pPr>
        <w:pStyle w:val="Indenta"/>
      </w:pPr>
      <w:r>
        <w:tab/>
        <w:t>(b)</w:t>
      </w:r>
      <w:r>
        <w:tab/>
        <w:t>the charge payable for the licence is reduced under subregulation (5),</w:t>
      </w:r>
    </w:p>
    <w:p>
      <w:pPr>
        <w:pStyle w:val="Subsection"/>
      </w:pPr>
      <w:r>
        <w:tab/>
      </w:r>
      <w:r>
        <w:tab/>
        <w:t>the amount of the charge payable for the quarter by each licensee, for a relevant licence held for the whole of the quarter, is increased by the amount worked out by applying subregulation (4) as if the reference to core function costs were a reference to the amount by which the charge referred to in paragraph (b) is reduced.</w:t>
      </w:r>
    </w:p>
    <w:p>
      <w:pPr>
        <w:pStyle w:val="Subsection"/>
      </w:pPr>
      <w:r>
        <w:tab/>
        <w:t>(7)</w:t>
      </w:r>
      <w:r>
        <w:tab/>
        <w:t xml:space="preserve">In subregulation (6) — </w:t>
      </w:r>
    </w:p>
    <w:p>
      <w:pPr>
        <w:pStyle w:val="Defstart"/>
      </w:pPr>
      <w:r>
        <w:tab/>
      </w:r>
      <w:r>
        <w:rPr>
          <w:rStyle w:val="CharDefText"/>
        </w:rPr>
        <w:t>relevant licence</w:t>
      </w:r>
      <w:r>
        <w:t xml:space="preserve"> means a licence held under the Act under which the licence referred to in subregulation (6)(a) is held.</w:t>
      </w:r>
    </w:p>
    <w:p>
      <w:pPr>
        <w:pStyle w:val="Subsection"/>
      </w:pPr>
      <w:r>
        <w:tab/>
        <w:t>(8)</w:t>
      </w:r>
      <w:r>
        <w:tab/>
        <w:t>If the licence was granted after the end of the financial year immediately preceding the quarter, the number of units to be used for the purposes of the variables U</w:t>
      </w:r>
      <w:r>
        <w:rPr>
          <w:sz w:val="22"/>
          <w:szCs w:val="22"/>
          <w:vertAlign w:val="subscript"/>
        </w:rPr>
        <w:t>L</w:t>
      </w:r>
      <w:r>
        <w:t xml:space="preserve"> and U</w:t>
      </w:r>
      <w:r>
        <w:rPr>
          <w:sz w:val="22"/>
          <w:szCs w:val="22"/>
          <w:vertAlign w:val="subscript"/>
        </w:rPr>
        <w:t>T</w:t>
      </w:r>
      <w:r>
        <w:t xml:space="preserve"> in subregulation (4) is the number specified in the licence.</w:t>
      </w:r>
    </w:p>
    <w:p>
      <w:pPr>
        <w:pStyle w:val="Heading5"/>
      </w:pPr>
      <w:bookmarkStart w:id="18" w:name="_Toc407608174"/>
      <w:bookmarkStart w:id="19" w:name="_Toc416685405"/>
      <w:r>
        <w:rPr>
          <w:rStyle w:val="CharSectno"/>
        </w:rPr>
        <w:t>8</w:t>
      </w:r>
      <w:r>
        <w:t>.</w:t>
      </w:r>
      <w:r>
        <w:tab/>
        <w:t>Standing charges: assessment and payment</w:t>
      </w:r>
      <w:bookmarkEnd w:id="18"/>
      <w:bookmarkEnd w:id="19"/>
    </w:p>
    <w:p>
      <w:pPr>
        <w:pStyle w:val="Subsection"/>
      </w:pPr>
      <w:r>
        <w:tab/>
        <w:t>(1)</w:t>
      </w:r>
      <w:r>
        <w:tab/>
        <w:t xml:space="preserve">As soon as is practicable after the end of each quarter the Authority must — </w:t>
      </w:r>
    </w:p>
    <w:p>
      <w:pPr>
        <w:pStyle w:val="Indenta"/>
      </w:pPr>
      <w:r>
        <w:tab/>
        <w:t>(a)</w:t>
      </w:r>
      <w:r>
        <w:tab/>
        <w:t>assess the standing charge payable by a licensee for the quarter in respect of a licence; and</w:t>
      </w:r>
    </w:p>
    <w:p>
      <w:pPr>
        <w:pStyle w:val="Indenta"/>
      </w:pPr>
      <w:r>
        <w:tab/>
        <w:t>(b)</w:t>
      </w:r>
      <w:r>
        <w:tab/>
        <w:t xml:space="preserve">give a notice of assessment to the licensee specifying — </w:t>
      </w:r>
    </w:p>
    <w:p>
      <w:pPr>
        <w:pStyle w:val="Indenti"/>
      </w:pPr>
      <w:r>
        <w:tab/>
        <w:t>(i)</w:t>
      </w:r>
      <w:r>
        <w:tab/>
        <w:t>the amount of the charge payable; and</w:t>
      </w:r>
    </w:p>
    <w:p>
      <w:pPr>
        <w:pStyle w:val="Indenti"/>
      </w:pPr>
      <w:r>
        <w:tab/>
        <w:t>(ii)</w:t>
      </w:r>
      <w:r>
        <w:tab/>
        <w:t>the amount of the core function costs used in calculating the charge; and</w:t>
      </w:r>
    </w:p>
    <w:p>
      <w:pPr>
        <w:pStyle w:val="Indenti"/>
      </w:pPr>
      <w:r>
        <w:tab/>
        <w:t>(iii)</w:t>
      </w:r>
      <w:r>
        <w:tab/>
        <w:t>the day on which the notice of assessment was issued.</w:t>
      </w:r>
    </w:p>
    <w:p>
      <w:pPr>
        <w:pStyle w:val="Subsection"/>
      </w:pPr>
      <w:r>
        <w:tab/>
        <w:t>(2)</w:t>
      </w:r>
      <w:r>
        <w:tab/>
        <w:t>The amount specified in the notice is payable to the Authority within 30 days after the day on which the notice was issued.</w:t>
      </w:r>
    </w:p>
    <w:p>
      <w:pPr>
        <w:pStyle w:val="Subsection"/>
      </w:pPr>
      <w:r>
        <w:tab/>
        <w:t>(3)</w:t>
      </w:r>
      <w:r>
        <w:tab/>
        <w:t>If the licensee does not pay the amount specified in the notice in full within the allowed period, interest on the outstanding amount is payable to the Authority at the prescribed rate calculated daily.</w:t>
      </w:r>
    </w:p>
    <w:p>
      <w:pPr>
        <w:pStyle w:val="Subsection"/>
      </w:pPr>
      <w:r>
        <w:tab/>
        <w:t>(4)</w:t>
      </w:r>
      <w:r>
        <w:tab/>
        <w:t>The Authority must, at the request of the licensee, give the licensee a written explanation of how the core function costs specified in the notice were calculated, including reasonable details of what the core function costs relate to.</w:t>
      </w:r>
    </w:p>
    <w:p>
      <w:pPr>
        <w:pStyle w:val="Heading5"/>
      </w:pPr>
      <w:bookmarkStart w:id="20" w:name="_Toc407608175"/>
      <w:bookmarkStart w:id="21" w:name="_Toc416685406"/>
      <w:r>
        <w:rPr>
          <w:rStyle w:val="CharSectno"/>
        </w:rPr>
        <w:t>9</w:t>
      </w:r>
      <w:r>
        <w:t>.</w:t>
      </w:r>
      <w:r>
        <w:tab/>
        <w:t>Recovery of unpaid amounts</w:t>
      </w:r>
      <w:bookmarkEnd w:id="20"/>
      <w:bookmarkEnd w:id="21"/>
    </w:p>
    <w:p>
      <w:pPr>
        <w:pStyle w:val="Subsection"/>
      </w:pPr>
      <w:r>
        <w:tab/>
        <w:t>(1)</w:t>
      </w:r>
      <w:r>
        <w:tab/>
        <w:t>The Authority may recover a charge that is unpaid in whole or in part, together with any interest payable, in a court of competent jurisdiction as a debt due to the Authority.</w:t>
      </w:r>
    </w:p>
    <w:p>
      <w:pPr>
        <w:pStyle w:val="Subsection"/>
      </w:pPr>
      <w:r>
        <w:tab/>
        <w:t>(2)</w:t>
      </w:r>
      <w:r>
        <w:tab/>
        <w:t xml:space="preserve">In proceedings under subregulation (1) a certificate — </w:t>
      </w:r>
    </w:p>
    <w:p>
      <w:pPr>
        <w:pStyle w:val="Indenta"/>
      </w:pPr>
      <w:r>
        <w:tab/>
        <w:t>(a)</w:t>
      </w:r>
      <w:r>
        <w:tab/>
        <w:t>purporting to be signed by the chairman; and</w:t>
      </w:r>
    </w:p>
    <w:p>
      <w:pPr>
        <w:pStyle w:val="Indenta"/>
      </w:pPr>
      <w:r>
        <w:tab/>
        <w:t>(b)</w:t>
      </w:r>
      <w:r>
        <w:tab/>
        <w:t>specifying an amount as being all or part of a specific charge, annual licence charge or standing charge; and</w:t>
      </w:r>
    </w:p>
    <w:p>
      <w:pPr>
        <w:pStyle w:val="Indenta"/>
      </w:pPr>
      <w:r>
        <w:tab/>
        <w:t>(c)</w:t>
      </w:r>
      <w:r>
        <w:tab/>
        <w:t>specifying an amount as being interest payable under regulation 4(8), 6(4) or 8(3);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chairman or of the authenticity of the signature, sufficient evidence of the matters specified or stated.</w:t>
      </w:r>
    </w:p>
    <w:p>
      <w:pPr>
        <w:pStyle w:val="Heading5"/>
      </w:pPr>
      <w:bookmarkStart w:id="22" w:name="_Toc407608176"/>
      <w:bookmarkStart w:id="23" w:name="_Toc416685407"/>
      <w:r>
        <w:rPr>
          <w:rStyle w:val="CharSectno"/>
        </w:rPr>
        <w:t>10</w:t>
      </w:r>
      <w:r>
        <w:t>.</w:t>
      </w:r>
      <w:r>
        <w:tab/>
        <w:t>Exemptions</w:t>
      </w:r>
      <w:bookmarkEnd w:id="22"/>
      <w:bookmarkEnd w:id="23"/>
    </w:p>
    <w:p>
      <w:pPr>
        <w:pStyle w:val="Subsection"/>
        <w:keepNext/>
      </w:pPr>
      <w:r>
        <w:tab/>
      </w:r>
      <w:r>
        <w:tab/>
        <w:t>The Minister may, with the concurrence of the Treasurer, exempt a person from liability to pay a charge for a period specified in the exemption or for an indefinite period.</w:t>
      </w:r>
    </w:p>
    <w:p>
      <w:pPr>
        <w:pStyle w:val="Heading5"/>
      </w:pPr>
      <w:bookmarkStart w:id="24" w:name="_Toc407608177"/>
      <w:bookmarkStart w:id="25" w:name="_Toc416685408"/>
      <w:r>
        <w:rPr>
          <w:rStyle w:val="CharSectno"/>
        </w:rPr>
        <w:t>11</w:t>
      </w:r>
      <w:r>
        <w:t>.</w:t>
      </w:r>
      <w:r>
        <w:tab/>
        <w:t>Extension of time within which to pay</w:t>
      </w:r>
      <w:bookmarkEnd w:id="24"/>
      <w:bookmarkEnd w:id="25"/>
    </w:p>
    <w:p>
      <w:pPr>
        <w:pStyle w:val="Subsection"/>
      </w:pPr>
      <w:r>
        <w:tab/>
      </w:r>
      <w:r>
        <w:tab/>
        <w:t>The Authority may, in a particular case, extend the period referred to in regulation 4(4), 6(3) or 8(2) (whichever is relevant) if satisfied that it is appropriate to do so.</w:t>
      </w:r>
    </w:p>
    <w:p>
      <w:pPr>
        <w:pStyle w:val="Heading5"/>
      </w:pPr>
      <w:bookmarkStart w:id="26" w:name="_Toc407608178"/>
      <w:bookmarkStart w:id="27" w:name="_Toc416685409"/>
      <w:r>
        <w:rPr>
          <w:rStyle w:val="CharSectno"/>
        </w:rPr>
        <w:t>12</w:t>
      </w:r>
      <w:r>
        <w:t>.</w:t>
      </w:r>
      <w:r>
        <w:tab/>
        <w:t>Authority’s annual report</w:t>
      </w:r>
      <w:bookmarkEnd w:id="26"/>
      <w:bookmarkEnd w:id="27"/>
    </w:p>
    <w:p>
      <w:pPr>
        <w:pStyle w:val="Subsection"/>
      </w:pPr>
      <w:r>
        <w:tab/>
      </w:r>
      <w:r>
        <w:tab/>
        <w:t xml:space="preserve">The annual report submitted by the Authority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amount of specific charges paid or payable by each licensee;</w:t>
      </w:r>
    </w:p>
    <w:p>
      <w:pPr>
        <w:pStyle w:val="Indenta"/>
      </w:pPr>
      <w:r>
        <w:tab/>
        <w:t>(b)</w:t>
      </w:r>
      <w:r>
        <w:tab/>
        <w:t>the total amount of standing charges paid or payable by each licensee.</w:t>
      </w:r>
    </w:p>
    <w:p>
      <w:pPr>
        <w:pStyle w:val="Heading5"/>
      </w:pPr>
      <w:bookmarkStart w:id="28" w:name="_Toc407608179"/>
      <w:bookmarkStart w:id="29" w:name="_Toc416685410"/>
      <w:r>
        <w:rPr>
          <w:rStyle w:val="CharSectno"/>
        </w:rPr>
        <w:t>13</w:t>
      </w:r>
      <w:r>
        <w:t>.</w:t>
      </w:r>
      <w:r>
        <w:tab/>
        <w:t>Review</w:t>
      </w:r>
      <w:bookmarkEnd w:id="28"/>
      <w:bookmarkEnd w:id="29"/>
    </w:p>
    <w:p>
      <w:pPr>
        <w:pStyle w:val="Subsection"/>
      </w:pPr>
      <w:r>
        <w:tab/>
        <w:t>(1)</w:t>
      </w:r>
      <w:r>
        <w:tab/>
        <w:t xml:space="preserve">The Authority must carry out reviews of the Authority’s costs of administering the licensing schemes under the </w:t>
      </w:r>
      <w:r>
        <w:rPr>
          <w:i/>
        </w:rPr>
        <w:t>Electricity Industry Act 2004</w:t>
      </w:r>
      <w:r>
        <w:t xml:space="preserve">, the </w:t>
      </w:r>
      <w:r>
        <w:rPr>
          <w:i/>
        </w:rPr>
        <w:t>Energy Coordination Act 1994</w:t>
      </w:r>
      <w:r>
        <w:t xml:space="preserve"> and the </w:t>
      </w:r>
      <w:r>
        <w:rPr>
          <w:i/>
        </w:rPr>
        <w:t>Water Services Act 2012</w:t>
      </w:r>
      <w:r>
        <w:t xml:space="preserve"> and of the extent to which the charges paid to the Authority under these regulations are sufficient to meet those costs.</w:t>
      </w:r>
    </w:p>
    <w:p>
      <w:pPr>
        <w:pStyle w:val="Subsection"/>
      </w:pPr>
      <w:r>
        <w:tab/>
        <w:t>(2)</w:t>
      </w:r>
      <w:r>
        <w:tab/>
        <w:t xml:space="preserve">The Authority must — </w:t>
      </w:r>
    </w:p>
    <w:p>
      <w:pPr>
        <w:pStyle w:val="Indenta"/>
      </w:pPr>
      <w:r>
        <w:tab/>
        <w:t>(a)</w:t>
      </w:r>
      <w:r>
        <w:tab/>
        <w:t>carry out the first review, and give the Minister a written report based on it, before 1 January 2020; and</w:t>
      </w:r>
    </w:p>
    <w:p>
      <w:pPr>
        <w:pStyle w:val="Indenta"/>
        <w:keepNext/>
      </w:pPr>
      <w:r>
        <w:tab/>
        <w:t>(b)</w:t>
      </w:r>
      <w:r>
        <w:tab/>
        <w:t>carry out subsequent reviews, and give the Minister written reports based on them, as soon as practicable after each 3</w:t>
      </w:r>
      <w:r>
        <w:rPr>
          <w:vertAlign w:val="superscript"/>
        </w:rPr>
        <w:t>rd</w:t>
      </w:r>
      <w:r>
        <w:t xml:space="preserve"> anniversary of the first report.</w:t>
      </w:r>
    </w:p>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0" w:name="_Toc407031780"/>
      <w:bookmarkStart w:id="31" w:name="_Toc407188089"/>
      <w:bookmarkStart w:id="32" w:name="_Toc407608180"/>
      <w:bookmarkStart w:id="33" w:name="_Toc416685387"/>
      <w:bookmarkStart w:id="34" w:name="_Toc416685411"/>
      <w:r>
        <w:t>Notes</w:t>
      </w:r>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rPr>
        <w:t>Economic Regulation Authority (Licensing Funding) Regulations 2014.</w:t>
      </w:r>
      <w:r>
        <w:t xml:space="preserve">  </w:t>
      </w:r>
      <w:r>
        <w:rPr>
          <w:snapToGrid w:val="0"/>
        </w:rPr>
        <w:t>The following table contains information about those regulations.</w:t>
      </w:r>
    </w:p>
    <w:p>
      <w:pPr>
        <w:pStyle w:val="nHeading3"/>
      </w:pPr>
      <w:bookmarkStart w:id="35" w:name="_Toc407608181"/>
      <w:bookmarkStart w:id="36" w:name="_Toc416685412"/>
      <w:r>
        <w:t>Compilation table</w:t>
      </w:r>
      <w:bookmarkEnd w:id="35"/>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4" w:space="0" w:color="auto"/>
            </w:tcBorders>
            <w:shd w:val="clear" w:color="auto" w:fill="auto"/>
          </w:tcPr>
          <w:p>
            <w:pPr>
              <w:pStyle w:val="nTable"/>
              <w:spacing w:after="40"/>
            </w:pPr>
            <w:r>
              <w:rPr>
                <w:i/>
              </w:rPr>
              <w:t>Economic Regulation Authority (Licensing Funding) Regulations 2014</w:t>
            </w:r>
          </w:p>
        </w:tc>
        <w:tc>
          <w:tcPr>
            <w:tcW w:w="1276" w:type="dxa"/>
            <w:tcBorders>
              <w:top w:val="single" w:sz="8" w:space="0" w:color="auto"/>
              <w:bottom w:val="single" w:sz="4" w:space="0" w:color="auto"/>
            </w:tcBorders>
            <w:shd w:val="clear" w:color="auto" w:fill="auto"/>
          </w:tcPr>
          <w:p>
            <w:pPr>
              <w:pStyle w:val="nTable"/>
              <w:spacing w:after="40"/>
            </w:pPr>
            <w:r>
              <w:t>30 Dec 2014 p. 5479</w:t>
            </w:r>
            <w:r>
              <w:noBreakHyphen/>
              <w:t>94</w:t>
            </w:r>
          </w:p>
        </w:tc>
        <w:tc>
          <w:tcPr>
            <w:tcW w:w="2693" w:type="dxa"/>
            <w:tcBorders>
              <w:top w:val="single" w:sz="8" w:space="0" w:color="auto"/>
              <w:bottom w:val="single" w:sz="4" w:space="0" w:color="auto"/>
            </w:tcBorders>
            <w:shd w:val="clear" w:color="auto" w:fill="auto"/>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1 Jan 2015 (see r. 2(b))</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8" w:name="_Toc416685413"/>
      <w:r>
        <w:rPr>
          <w:sz w:val="28"/>
        </w:rPr>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allowed period</w:t>
      </w:r>
      <w:r>
        <w:tab/>
        <w:t>3(1)</w:t>
      </w:r>
    </w:p>
    <w:p>
      <w:pPr>
        <w:pStyle w:val="DefinedTerms"/>
      </w:pPr>
      <w:r>
        <w:t>annual licence charge</w:t>
      </w:r>
      <w:r>
        <w:tab/>
        <w:t>3(1)</w:t>
      </w:r>
    </w:p>
    <w:p>
      <w:pPr>
        <w:pStyle w:val="DefinedTerms"/>
      </w:pPr>
      <w:r>
        <w:t>class</w:t>
      </w:r>
      <w:r>
        <w:tab/>
        <w:t>7(1)</w:t>
      </w:r>
    </w:p>
    <w:p>
      <w:pPr>
        <w:pStyle w:val="DefinedTerms"/>
      </w:pPr>
      <w:r>
        <w:t>core function costs</w:t>
      </w:r>
      <w:r>
        <w:tab/>
        <w:t>3(1)</w:t>
      </w:r>
    </w:p>
    <w:p>
      <w:pPr>
        <w:pStyle w:val="DefinedTerms"/>
      </w:pPr>
      <w:r>
        <w:t>electricity distribution licence</w:t>
      </w:r>
      <w:r>
        <w:tab/>
        <w:t>3(1)</w:t>
      </w:r>
    </w:p>
    <w:p>
      <w:pPr>
        <w:pStyle w:val="DefinedTerms"/>
      </w:pPr>
      <w:r>
        <w:t>electricity generation licence</w:t>
      </w:r>
      <w:r>
        <w:tab/>
        <w:t>3(1)</w:t>
      </w:r>
    </w:p>
    <w:p>
      <w:pPr>
        <w:pStyle w:val="DefinedTerms"/>
      </w:pPr>
      <w:r>
        <w:t>electricity retail licence</w:t>
      </w:r>
      <w:r>
        <w:tab/>
        <w:t>3(1)</w:t>
      </w:r>
    </w:p>
    <w:p>
      <w:pPr>
        <w:pStyle w:val="DefinedTerms"/>
      </w:pPr>
      <w:r>
        <w:t>electricity transmission licence</w:t>
      </w:r>
      <w:r>
        <w:tab/>
        <w:t>3(1)</w:t>
      </w:r>
    </w:p>
    <w:p>
      <w:pPr>
        <w:pStyle w:val="DefinedTerms"/>
      </w:pPr>
      <w:r>
        <w:t>gas distribution licence</w:t>
      </w:r>
      <w:r>
        <w:tab/>
        <w:t>3(1)</w:t>
      </w:r>
    </w:p>
    <w:p>
      <w:pPr>
        <w:pStyle w:val="DefinedTerms"/>
      </w:pPr>
      <w:r>
        <w:t>gas trading licence</w:t>
      </w:r>
      <w:r>
        <w:tab/>
        <w:t>3(1)</w:t>
      </w:r>
    </w:p>
    <w:p>
      <w:pPr>
        <w:pStyle w:val="DefinedTerms"/>
      </w:pPr>
      <w:r>
        <w:t>integrated regional licence</w:t>
      </w:r>
      <w:r>
        <w:tab/>
        <w:t>3(1)</w:t>
      </w:r>
    </w:p>
    <w:p>
      <w:pPr>
        <w:pStyle w:val="DefinedTerms"/>
      </w:pPr>
      <w:r>
        <w:t>licence</w:t>
      </w:r>
      <w:r>
        <w:tab/>
        <w:t>3(1)</w:t>
      </w:r>
    </w:p>
    <w:p>
      <w:pPr>
        <w:pStyle w:val="DefinedTerms"/>
      </w:pPr>
      <w:r>
        <w:t>licensee</w:t>
      </w:r>
      <w:r>
        <w:tab/>
        <w:t>3(1)</w:t>
      </w:r>
    </w:p>
    <w:p>
      <w:pPr>
        <w:pStyle w:val="DefinedTerms"/>
      </w:pPr>
      <w:r>
        <w:t>licensing functions</w:t>
      </w:r>
      <w:r>
        <w:tab/>
        <w:t>3(1)</w:t>
      </w:r>
    </w:p>
    <w:p>
      <w:pPr>
        <w:pStyle w:val="DefinedTerms"/>
      </w:pPr>
      <w:r>
        <w:t>prescribed rate</w:t>
      </w:r>
      <w:r>
        <w:tab/>
        <w:t>3(1)</w:t>
      </w:r>
    </w:p>
    <w:p>
      <w:pPr>
        <w:pStyle w:val="DefinedTerms"/>
      </w:pPr>
      <w:r>
        <w:t>proposed application</w:t>
      </w:r>
      <w:r>
        <w:tab/>
        <w:t>5(1)</w:t>
      </w:r>
    </w:p>
    <w:p>
      <w:pPr>
        <w:pStyle w:val="DefinedTerms"/>
      </w:pPr>
      <w:r>
        <w:t>quarter</w:t>
      </w:r>
      <w:r>
        <w:tab/>
        <w:t>3(1)</w:t>
      </w:r>
    </w:p>
    <w:p>
      <w:pPr>
        <w:pStyle w:val="DefinedTerms"/>
      </w:pPr>
      <w:r>
        <w:t>relevant licence</w:t>
      </w:r>
      <w:r>
        <w:tab/>
        <w:t>7(7)</w:t>
      </w:r>
    </w:p>
    <w:p>
      <w:pPr>
        <w:pStyle w:val="DefinedTerms"/>
      </w:pPr>
      <w:r>
        <w:t>specific charge</w:t>
      </w:r>
      <w:r>
        <w:tab/>
        <w:t>3(1)</w:t>
      </w:r>
    </w:p>
    <w:p>
      <w:pPr>
        <w:pStyle w:val="DefinedTerms"/>
      </w:pPr>
      <w:r>
        <w:t>standing charge</w:t>
      </w:r>
      <w:r>
        <w:tab/>
        <w:t>3(1)</w:t>
      </w:r>
    </w:p>
    <w:p>
      <w:pPr>
        <w:pStyle w:val="DefinedTerms"/>
      </w:pPr>
      <w:r>
        <w:t>Table</w:t>
      </w:r>
      <w:r>
        <w:tab/>
        <w:t>7(1)</w:t>
      </w:r>
    </w:p>
    <w:p>
      <w:pPr>
        <w:pStyle w:val="DefinedTerms"/>
      </w:pPr>
      <w:r>
        <w:t>units</w:t>
      </w:r>
      <w:r>
        <w:tab/>
        <w:t>7(1)</w:t>
      </w:r>
    </w:p>
    <w:p>
      <w:pPr>
        <w:pStyle w:val="DefinedTerms"/>
      </w:pPr>
      <w:r>
        <w:t>water services licence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(Licensing Funding)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(Licensing Funding)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(Licensing Funding)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Economic Regulation Authority (Licensing Funding)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(Licensing Funding)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(Licensing Funding)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(Licensing Funding)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(Licensing Funding)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3832"/>
    <w:docVar w:name="WAFER_20141222170944" w:val="RemoveTocBookmarks,RemoveUnusedBookmarks,RemoveLanguageTags,UsedStyles,ResetPageSize,UpdateArrangement"/>
    <w:docVar w:name="WAFER_20141222170944_GUID" w:val="52ec78e8-26f5-464a-81e9-4fadb9a504fa"/>
    <w:docVar w:name="WAFER_20150413093606" w:val="ResetPageSize,UpdateArrangement,UpdateNTable"/>
    <w:docVar w:name="WAFER_20150413093606_GUID" w:val="3c8c837e-e23e-4cf8-b811-1598dddbede0"/>
    <w:docVar w:name="WAFER_20151105113832" w:val="UpdateStyles,UsedStyles"/>
    <w:docVar w:name="WAFER_20151105113832_GUID" w:val="9f3ff4af-c008-4461-80cf-89958f7c82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2B6A-1E4B-472C-B443-DE5162F6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2615</Words>
  <Characters>13315</Characters>
  <Application>Microsoft Office Word</Application>
  <DocSecurity>0</DocSecurity>
  <Lines>403</Lines>
  <Paragraphs>274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(Licensing Funding) Regulations 2014 - 00-a0-03</dc:title>
  <dc:subject/>
  <dc:creator/>
  <cp:keywords/>
  <dc:description/>
  <cp:lastModifiedBy>svcMRProcess</cp:lastModifiedBy>
  <cp:revision>4</cp:revision>
  <cp:lastPrinted>2014-11-11T09:00:00Z</cp:lastPrinted>
  <dcterms:created xsi:type="dcterms:W3CDTF">2020-02-20T09:44:00Z</dcterms:created>
  <dcterms:modified xsi:type="dcterms:W3CDTF">2020-02-20T09:44:00Z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2014 p 5479-94</vt:lpwstr>
  </property>
  <property fmtid="{D5CDD505-2E9C-101B-9397-08002B2CF9AE}" pid="3" name="CommencementDate">
    <vt:lpwstr>20150101</vt:lpwstr>
  </property>
  <property fmtid="{D5CDD505-2E9C-101B-9397-08002B2CF9AE}" pid="4" name="DocumentType">
    <vt:lpwstr>Reg</vt:lpwstr>
  </property>
  <property fmtid="{D5CDD505-2E9C-101B-9397-08002B2CF9AE}" pid="5" name="AsAtDate">
    <vt:lpwstr>01 Jan 2015</vt:lpwstr>
  </property>
  <property fmtid="{D5CDD505-2E9C-101B-9397-08002B2CF9AE}" pid="6" name="Suffix">
    <vt:lpwstr>00-a0-03</vt:lpwstr>
  </property>
</Properties>
</file>