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Superannuation Act 2000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_Toc146034133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_Toc146034134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_Toc146034135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_Toc146034136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2A — Employer contribution obligation</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_Toc146034138 \h </w:instrText>
      </w:r>
      <w:r>
        <w:fldChar w:fldCharType="separate"/>
      </w:r>
      <w:r>
        <w:t>4</w:t>
      </w:r>
      <w:r>
        <w:fldChar w:fldCharType="end"/>
      </w:r>
    </w:p>
    <w:p>
      <w:pPr>
        <w:pStyle w:val="TOC8"/>
        <w:rPr>
          <w:rFonts w:asciiTheme="minorHAnsi" w:eastAsiaTheme="minorEastAsia" w:hAnsiTheme="minorHAnsi" w:cstheme="minorBidi"/>
          <w:szCs w:val="22"/>
        </w:rPr>
      </w:pPr>
      <w:r>
        <w:t>4B.</w:t>
      </w:r>
      <w:r>
        <w:tab/>
        <w:t>Employer contributions, duty to make etc.</w:t>
      </w:r>
      <w:r>
        <w:tab/>
      </w:r>
      <w:r>
        <w:fldChar w:fldCharType="begin"/>
      </w:r>
      <w:r>
        <w:instrText xml:space="preserve"> PAGEREF _Toc146034139 \h </w:instrText>
      </w:r>
      <w:r>
        <w:fldChar w:fldCharType="separate"/>
      </w:r>
      <w:r>
        <w:t>5</w:t>
      </w:r>
      <w:r>
        <w:fldChar w:fldCharType="end"/>
      </w:r>
    </w:p>
    <w:p>
      <w:pPr>
        <w:pStyle w:val="TOC8"/>
        <w:rPr>
          <w:rFonts w:asciiTheme="minorHAnsi" w:eastAsiaTheme="minorEastAsia" w:hAnsiTheme="minorHAnsi" w:cstheme="minorBidi"/>
          <w:szCs w:val="22"/>
        </w:rPr>
      </w:pPr>
      <w:r>
        <w:t>4C.</w:t>
      </w:r>
      <w:r>
        <w:tab/>
        <w:t>Regulations may require extra contributions</w:t>
      </w:r>
      <w:r>
        <w:tab/>
      </w:r>
      <w:r>
        <w:fldChar w:fldCharType="begin"/>
      </w:r>
      <w:r>
        <w:instrText xml:space="preserve"> PAGEREF _Toc146034140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Government Employees Superannuation Board</w:t>
      </w:r>
    </w:p>
    <w:p>
      <w:pPr>
        <w:pStyle w:val="TOC8"/>
        <w:rPr>
          <w:rFonts w:asciiTheme="minorHAnsi" w:eastAsiaTheme="minorEastAsia" w:hAnsiTheme="minorHAnsi" w:cstheme="minorBidi"/>
          <w:szCs w:val="22"/>
        </w:rPr>
      </w:pPr>
      <w:r>
        <w:t>5.</w:t>
      </w:r>
      <w:r>
        <w:tab/>
        <w:t>Board established and nature of</w:t>
      </w:r>
      <w:r>
        <w:tab/>
      </w:r>
      <w:r>
        <w:fldChar w:fldCharType="begin"/>
      </w:r>
      <w:r>
        <w:instrText xml:space="preserve"> PAGEREF _Toc146034142 \h </w:instrText>
      </w:r>
      <w:r>
        <w:fldChar w:fldCharType="separate"/>
      </w:r>
      <w:r>
        <w:t>7</w:t>
      </w:r>
      <w:r>
        <w:fldChar w:fldCharType="end"/>
      </w:r>
    </w:p>
    <w:p>
      <w:pPr>
        <w:pStyle w:val="TOC8"/>
        <w:rPr>
          <w:rFonts w:asciiTheme="minorHAnsi" w:eastAsiaTheme="minorEastAsia" w:hAnsiTheme="minorHAnsi" w:cstheme="minorBidi"/>
          <w:szCs w:val="22"/>
        </w:rPr>
      </w:pPr>
      <w:r>
        <w:t>6.</w:t>
      </w:r>
      <w:r>
        <w:tab/>
        <w:t>Functions</w:t>
      </w:r>
      <w:r>
        <w:tab/>
      </w:r>
      <w:r>
        <w:fldChar w:fldCharType="begin"/>
      </w:r>
      <w:r>
        <w:instrText xml:space="preserve"> PAGEREF _Toc146034143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w:t>
      </w:r>
      <w:r>
        <w:tab/>
      </w:r>
      <w:r>
        <w:fldChar w:fldCharType="begin"/>
      </w:r>
      <w:r>
        <w:instrText xml:space="preserve"> PAGEREF _Toc146034144 \h </w:instrText>
      </w:r>
      <w:r>
        <w:fldChar w:fldCharType="separate"/>
      </w:r>
      <w:r>
        <w:t>8</w:t>
      </w:r>
      <w:r>
        <w:fldChar w:fldCharType="end"/>
      </w:r>
    </w:p>
    <w:p>
      <w:pPr>
        <w:pStyle w:val="TOC8"/>
        <w:rPr>
          <w:rFonts w:asciiTheme="minorHAnsi" w:eastAsiaTheme="minorEastAsia" w:hAnsiTheme="minorHAnsi" w:cstheme="minorBidi"/>
          <w:szCs w:val="22"/>
        </w:rPr>
      </w:pPr>
      <w:r>
        <w:t>7A.</w:t>
      </w:r>
      <w:r>
        <w:tab/>
        <w:t>Subsidiary, formation or acquisition of</w:t>
      </w:r>
      <w:r>
        <w:tab/>
      </w:r>
      <w:r>
        <w:fldChar w:fldCharType="begin"/>
      </w:r>
      <w:r>
        <w:instrText xml:space="preserve"> PAGEREF _Toc146034145 \h </w:instrText>
      </w:r>
      <w:r>
        <w:fldChar w:fldCharType="separate"/>
      </w:r>
      <w:r>
        <w:t>9</w:t>
      </w:r>
      <w:r>
        <w:fldChar w:fldCharType="end"/>
      </w:r>
    </w:p>
    <w:p>
      <w:pPr>
        <w:pStyle w:val="TOC8"/>
        <w:rPr>
          <w:rFonts w:asciiTheme="minorHAnsi" w:eastAsiaTheme="minorEastAsia" w:hAnsiTheme="minorHAnsi" w:cstheme="minorBidi"/>
          <w:szCs w:val="22"/>
        </w:rPr>
      </w:pPr>
      <w:r>
        <w:t>7B.</w:t>
      </w:r>
      <w:r>
        <w:tab/>
        <w:t>Subsidiary, constitution of etc.</w:t>
      </w:r>
      <w:r>
        <w:tab/>
      </w:r>
      <w:r>
        <w:fldChar w:fldCharType="begin"/>
      </w:r>
      <w:r>
        <w:instrText xml:space="preserve"> PAGEREF _Toc146034146 \h </w:instrText>
      </w:r>
      <w:r>
        <w:fldChar w:fldCharType="separate"/>
      </w:r>
      <w:r>
        <w:t>10</w:t>
      </w:r>
      <w:r>
        <w:fldChar w:fldCharType="end"/>
      </w:r>
    </w:p>
    <w:p>
      <w:pPr>
        <w:pStyle w:val="TOC8"/>
        <w:rPr>
          <w:rFonts w:asciiTheme="minorHAnsi" w:eastAsiaTheme="minorEastAsia" w:hAnsiTheme="minorHAnsi" w:cstheme="minorBidi"/>
          <w:szCs w:val="22"/>
        </w:rPr>
      </w:pPr>
      <w:r>
        <w:t>8.</w:t>
      </w:r>
      <w:r>
        <w:tab/>
        <w:t>Board, composition of etc. (Sch. 1)</w:t>
      </w:r>
      <w:r>
        <w:tab/>
      </w:r>
      <w:r>
        <w:fldChar w:fldCharType="begin"/>
      </w:r>
      <w:r>
        <w:instrText xml:space="preserve"> PAGEREF _Toc146034147 \h </w:instrText>
      </w:r>
      <w:r>
        <w:fldChar w:fldCharType="separate"/>
      </w:r>
      <w:r>
        <w:t>11</w:t>
      </w:r>
      <w:r>
        <w:fldChar w:fldCharType="end"/>
      </w:r>
    </w:p>
    <w:p>
      <w:pPr>
        <w:pStyle w:val="TOC8"/>
        <w:rPr>
          <w:rFonts w:asciiTheme="minorHAnsi" w:eastAsiaTheme="minorEastAsia" w:hAnsiTheme="minorHAnsi" w:cstheme="minorBidi"/>
          <w:szCs w:val="22"/>
        </w:rPr>
      </w:pPr>
      <w:r>
        <w:t>9.</w:t>
      </w:r>
      <w:r>
        <w:tab/>
        <w:t>Protection from personal liability</w:t>
      </w:r>
      <w:r>
        <w:tab/>
      </w:r>
      <w:r>
        <w:fldChar w:fldCharType="begin"/>
      </w:r>
      <w:r>
        <w:instrText xml:space="preserve"> PAGEREF _Toc146034148 \h </w:instrText>
      </w:r>
      <w:r>
        <w:fldChar w:fldCharType="separate"/>
      </w:r>
      <w:r>
        <w:t>11</w:t>
      </w:r>
      <w:r>
        <w:fldChar w:fldCharType="end"/>
      </w:r>
    </w:p>
    <w:p>
      <w:pPr>
        <w:pStyle w:val="TOC8"/>
        <w:rPr>
          <w:rFonts w:asciiTheme="minorHAnsi" w:eastAsiaTheme="minorEastAsia" w:hAnsiTheme="minorHAnsi" w:cstheme="minorBidi"/>
          <w:szCs w:val="22"/>
        </w:rPr>
      </w:pPr>
      <w:r>
        <w:t>10.</w:t>
      </w:r>
      <w:r>
        <w:tab/>
        <w:t>Meetings and procedures (Sch. 2) and common seal</w:t>
      </w:r>
      <w:r>
        <w:tab/>
      </w:r>
      <w:r>
        <w:fldChar w:fldCharType="begin"/>
      </w:r>
      <w:r>
        <w:instrText xml:space="preserve"> PAGEREF _Toc146034149 \h </w:instrText>
      </w:r>
      <w:r>
        <w:fldChar w:fldCharType="separate"/>
      </w:r>
      <w:r>
        <w:t>12</w:t>
      </w:r>
      <w:r>
        <w:fldChar w:fldCharType="end"/>
      </w:r>
    </w:p>
    <w:p>
      <w:pPr>
        <w:pStyle w:val="TOC8"/>
        <w:rPr>
          <w:rFonts w:asciiTheme="minorHAnsi" w:eastAsiaTheme="minorEastAsia" w:hAnsiTheme="minorHAnsi" w:cstheme="minorBidi"/>
          <w:szCs w:val="22"/>
        </w:rPr>
      </w:pPr>
      <w:r>
        <w:t>11.</w:t>
      </w:r>
      <w:r>
        <w:tab/>
        <w:t>Staff</w:t>
      </w:r>
      <w:r>
        <w:tab/>
      </w:r>
      <w:r>
        <w:fldChar w:fldCharType="begin"/>
      </w:r>
      <w:r>
        <w:instrText xml:space="preserve"> PAGEREF _Toc146034150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 by Board</w:t>
      </w:r>
      <w:r>
        <w:tab/>
      </w:r>
      <w:r>
        <w:fldChar w:fldCharType="begin"/>
      </w:r>
      <w:r>
        <w:instrText xml:space="preserve"> PAGEREF _Toc146034151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Board decisions, review of</w:t>
      </w:r>
      <w:r>
        <w:tab/>
      </w:r>
      <w:r>
        <w:fldChar w:fldCharType="begin"/>
      </w:r>
      <w:r>
        <w:instrText xml:space="preserve"> PAGEREF _Toc146034152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Government Employees Superannuation Fund</w:t>
      </w:r>
    </w:p>
    <w:p>
      <w:pPr>
        <w:pStyle w:val="TOC8"/>
        <w:rPr>
          <w:rFonts w:asciiTheme="minorHAnsi" w:eastAsiaTheme="minorEastAsia" w:hAnsiTheme="minorHAnsi" w:cstheme="minorBidi"/>
          <w:szCs w:val="22"/>
        </w:rPr>
      </w:pPr>
      <w:r>
        <w:t>14.</w:t>
      </w:r>
      <w:r>
        <w:tab/>
        <w:t>Fund established and nature of</w:t>
      </w:r>
      <w:r>
        <w:tab/>
      </w:r>
      <w:r>
        <w:fldChar w:fldCharType="begin"/>
      </w:r>
      <w:r>
        <w:instrText xml:space="preserve"> PAGEREF _Toc146034154 \h </w:instrText>
      </w:r>
      <w:r>
        <w:fldChar w:fldCharType="separate"/>
      </w:r>
      <w:r>
        <w:t>15</w:t>
      </w:r>
      <w:r>
        <w:fldChar w:fldCharType="end"/>
      </w:r>
    </w:p>
    <w:p>
      <w:pPr>
        <w:pStyle w:val="TOC8"/>
        <w:rPr>
          <w:rFonts w:asciiTheme="minorHAnsi" w:eastAsiaTheme="minorEastAsia" w:hAnsiTheme="minorHAnsi" w:cstheme="minorBidi"/>
          <w:szCs w:val="22"/>
        </w:rPr>
      </w:pPr>
      <w:r>
        <w:t>15.</w:t>
      </w:r>
      <w:r>
        <w:tab/>
        <w:t>Fund, content and purposes of</w:t>
      </w:r>
      <w:r>
        <w:tab/>
      </w:r>
      <w:r>
        <w:fldChar w:fldCharType="begin"/>
      </w:r>
      <w:r>
        <w:instrText xml:space="preserve"> PAGEREF _Toc146034155 \h </w:instrText>
      </w:r>
      <w:r>
        <w:fldChar w:fldCharType="separate"/>
      </w:r>
      <w:r>
        <w:t>15</w:t>
      </w:r>
      <w:r>
        <w:fldChar w:fldCharType="end"/>
      </w:r>
    </w:p>
    <w:p>
      <w:pPr>
        <w:pStyle w:val="TOC8"/>
        <w:rPr>
          <w:rFonts w:asciiTheme="minorHAnsi" w:eastAsiaTheme="minorEastAsia" w:hAnsiTheme="minorHAnsi" w:cstheme="minorBidi"/>
          <w:szCs w:val="22"/>
        </w:rPr>
      </w:pPr>
      <w:r>
        <w:t>16.</w:t>
      </w:r>
      <w:r>
        <w:tab/>
        <w:t>Accounting records, Board to keep etc.</w:t>
      </w:r>
      <w:r>
        <w:tab/>
      </w:r>
      <w:r>
        <w:fldChar w:fldCharType="begin"/>
      </w:r>
      <w:r>
        <w:instrText xml:space="preserve"> PAGEREF _Toc146034156 \h </w:instrText>
      </w:r>
      <w:r>
        <w:fldChar w:fldCharType="separate"/>
      </w:r>
      <w:r>
        <w:t>16</w:t>
      </w:r>
      <w:r>
        <w:fldChar w:fldCharType="end"/>
      </w:r>
    </w:p>
    <w:p>
      <w:pPr>
        <w:pStyle w:val="TOC8"/>
        <w:rPr>
          <w:rFonts w:asciiTheme="minorHAnsi" w:eastAsiaTheme="minorEastAsia" w:hAnsiTheme="minorHAnsi" w:cstheme="minorBidi"/>
          <w:szCs w:val="22"/>
        </w:rPr>
      </w:pPr>
      <w:r>
        <w:t>17.</w:t>
      </w:r>
      <w:r>
        <w:tab/>
        <w:t>Actuarial investigations, Board to obtain periodically</w:t>
      </w:r>
      <w:r>
        <w:tab/>
      </w:r>
      <w:r>
        <w:fldChar w:fldCharType="begin"/>
      </w:r>
      <w:r>
        <w:instrText xml:space="preserve"> PAGEREF _Toc146034157 \h </w:instrText>
      </w:r>
      <w:r>
        <w:fldChar w:fldCharType="separate"/>
      </w:r>
      <w:r>
        <w:t>16</w:t>
      </w:r>
      <w:r>
        <w:fldChar w:fldCharType="end"/>
      </w:r>
    </w:p>
    <w:p>
      <w:pPr>
        <w:pStyle w:val="TOC8"/>
        <w:rPr>
          <w:rFonts w:asciiTheme="minorHAnsi" w:eastAsiaTheme="minorEastAsia" w:hAnsiTheme="minorHAnsi" w:cstheme="minorBidi"/>
          <w:szCs w:val="22"/>
        </w:rPr>
      </w:pPr>
      <w:r>
        <w:t>18.</w:t>
      </w:r>
      <w:r>
        <w:tab/>
        <w:t>Investing Fund’s assets, powers as to</w:t>
      </w:r>
      <w:r>
        <w:tab/>
      </w:r>
      <w:r>
        <w:fldChar w:fldCharType="begin"/>
      </w:r>
      <w:r>
        <w:instrText xml:space="preserve"> PAGEREF _Toc146034158 \h </w:instrText>
      </w:r>
      <w:r>
        <w:fldChar w:fldCharType="separate"/>
      </w:r>
      <w:r>
        <w:t>16</w:t>
      </w:r>
      <w:r>
        <w:fldChar w:fldCharType="end"/>
      </w:r>
    </w:p>
    <w:p>
      <w:pPr>
        <w:pStyle w:val="TOC8"/>
        <w:rPr>
          <w:rFonts w:asciiTheme="minorHAnsi" w:eastAsiaTheme="minorEastAsia" w:hAnsiTheme="minorHAnsi" w:cstheme="minorBidi"/>
          <w:szCs w:val="22"/>
        </w:rPr>
      </w:pPr>
      <w:r>
        <w:t>19.</w:t>
      </w:r>
      <w:r>
        <w:tab/>
        <w:t>Investment strategy for Fund, Board’s duties as to</w:t>
      </w:r>
      <w:r>
        <w:tab/>
      </w:r>
      <w:r>
        <w:fldChar w:fldCharType="begin"/>
      </w:r>
      <w:r>
        <w:instrText xml:space="preserve"> PAGEREF _Toc146034159 \h </w:instrText>
      </w:r>
      <w:r>
        <w:fldChar w:fldCharType="separate"/>
      </w:r>
      <w:r>
        <w:t>17</w:t>
      </w:r>
      <w:r>
        <w:fldChar w:fldCharType="end"/>
      </w:r>
    </w:p>
    <w:p>
      <w:pPr>
        <w:pStyle w:val="TOC8"/>
        <w:rPr>
          <w:rFonts w:asciiTheme="minorHAnsi" w:eastAsiaTheme="minorEastAsia" w:hAnsiTheme="minorHAnsi" w:cstheme="minorBidi"/>
          <w:szCs w:val="22"/>
        </w:rPr>
      </w:pPr>
      <w:r>
        <w:t>20A.</w:t>
      </w:r>
      <w:r>
        <w:tab/>
        <w:t>Reserves in Fund and reserving strategy, Board’s functions as to</w:t>
      </w:r>
      <w:r>
        <w:tab/>
      </w:r>
      <w:r>
        <w:fldChar w:fldCharType="begin"/>
      </w:r>
      <w:r>
        <w:instrText xml:space="preserve"> PAGEREF _Toc146034160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investments, restrictions on making</w:t>
      </w:r>
      <w:r>
        <w:tab/>
      </w:r>
      <w:r>
        <w:fldChar w:fldCharType="begin"/>
      </w:r>
      <w:r>
        <w:instrText xml:space="preserve"> PAGEREF _Toc146034161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Loans to Members prohibited</w:t>
      </w:r>
      <w:r>
        <w:tab/>
      </w:r>
      <w:r>
        <w:fldChar w:fldCharType="begin"/>
      </w:r>
      <w:r>
        <w:instrText xml:space="preserve"> PAGEREF _Toc146034162 \h </w:instrText>
      </w:r>
      <w:r>
        <w:fldChar w:fldCharType="separate"/>
      </w:r>
      <w:r>
        <w:t>19</w:t>
      </w:r>
      <w:r>
        <w:fldChar w:fldCharType="end"/>
      </w:r>
    </w:p>
    <w:p>
      <w:pPr>
        <w:pStyle w:val="TOC8"/>
        <w:rPr>
          <w:rFonts w:asciiTheme="minorHAnsi" w:eastAsiaTheme="minorEastAsia" w:hAnsiTheme="minorHAnsi" w:cstheme="minorBidi"/>
          <w:szCs w:val="22"/>
        </w:rPr>
      </w:pPr>
      <w:r>
        <w:t>22.</w:t>
      </w:r>
      <w:r>
        <w:tab/>
        <w:t>Allocation of Fund’s earnings and costs</w:t>
      </w:r>
      <w:r>
        <w:tab/>
      </w:r>
      <w:r>
        <w:fldChar w:fldCharType="begin"/>
      </w:r>
      <w:r>
        <w:instrText xml:space="preserve"> PAGEREF _Toc146034163 \h </w:instrText>
      </w:r>
      <w:r>
        <w:fldChar w:fldCharType="separate"/>
      </w:r>
      <w:r>
        <w:t>19</w:t>
      </w:r>
      <w:r>
        <w:fldChar w:fldCharType="end"/>
      </w:r>
    </w:p>
    <w:p>
      <w:pPr>
        <w:pStyle w:val="TOC8"/>
        <w:rPr>
          <w:rFonts w:asciiTheme="minorHAnsi" w:eastAsiaTheme="minorEastAsia" w:hAnsiTheme="minorHAnsi" w:cstheme="minorBidi"/>
          <w:szCs w:val="22"/>
        </w:rPr>
      </w:pPr>
      <w:r>
        <w:t>23.</w:t>
      </w:r>
      <w:r>
        <w:tab/>
        <w:t>Investment manager, appointment of etc.</w:t>
      </w:r>
      <w:r>
        <w:tab/>
      </w:r>
      <w:r>
        <w:fldChar w:fldCharType="begin"/>
      </w:r>
      <w:r>
        <w:instrText xml:space="preserve"> PAGEREF _Toc146034164 \h </w:instrText>
      </w:r>
      <w:r>
        <w:fldChar w:fldCharType="separate"/>
      </w:r>
      <w:r>
        <w:t>19</w:t>
      </w:r>
      <w:r>
        <w:fldChar w:fldCharType="end"/>
      </w:r>
    </w:p>
    <w:p>
      <w:pPr>
        <w:pStyle w:val="TOC8"/>
        <w:rPr>
          <w:rFonts w:asciiTheme="minorHAnsi" w:eastAsiaTheme="minorEastAsia" w:hAnsiTheme="minorHAnsi" w:cstheme="minorBidi"/>
          <w:szCs w:val="22"/>
        </w:rPr>
      </w:pPr>
      <w:r>
        <w:t>24.</w:t>
      </w:r>
      <w:r>
        <w:tab/>
        <w:t>Borrowing by Board</w:t>
      </w:r>
      <w:r>
        <w:tab/>
      </w:r>
      <w:r>
        <w:fldChar w:fldCharType="begin"/>
      </w:r>
      <w:r>
        <w:instrText xml:space="preserve"> PAGEREF _Toc146034165 \h </w:instrText>
      </w:r>
      <w:r>
        <w:fldChar w:fldCharType="separate"/>
      </w:r>
      <w:r>
        <w:t>20</w:t>
      </w:r>
      <w:r>
        <w:fldChar w:fldCharType="end"/>
      </w:r>
    </w:p>
    <w:p>
      <w:pPr>
        <w:pStyle w:val="TOC8"/>
        <w:rPr>
          <w:rFonts w:asciiTheme="minorHAnsi" w:eastAsiaTheme="minorEastAsia" w:hAnsiTheme="minorHAnsi" w:cstheme="minorBidi"/>
          <w:szCs w:val="22"/>
        </w:rPr>
      </w:pPr>
      <w:r>
        <w:t>25.</w:t>
      </w:r>
      <w:r>
        <w:tab/>
        <w:t>Interest on money owed to Fund</w:t>
      </w:r>
      <w:r>
        <w:tab/>
      </w:r>
      <w:r>
        <w:fldChar w:fldCharType="begin"/>
      </w:r>
      <w:r>
        <w:instrText xml:space="preserve"> PAGEREF _Toc146034166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Recovering money owed to Fund</w:t>
      </w:r>
      <w:r>
        <w:tab/>
      </w:r>
      <w:r>
        <w:fldChar w:fldCharType="begin"/>
      </w:r>
      <w:r>
        <w:instrText xml:space="preserve"> PAGEREF _Toc146034167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r>
      <w:r>
        <w:rPr>
          <w:i/>
          <w:snapToGrid w:val="0"/>
        </w:rPr>
        <w:t>Unclaimed Money Act 1990</w:t>
      </w:r>
      <w:r>
        <w:rPr>
          <w:snapToGrid w:val="0"/>
        </w:rPr>
        <w:t xml:space="preserve"> does not apply to unclaimed benefits</w:t>
      </w:r>
      <w:r>
        <w:tab/>
      </w:r>
      <w:r>
        <w:fldChar w:fldCharType="begin"/>
      </w:r>
      <w:r>
        <w:instrText xml:space="preserve"> PAGEREF _Toc146034168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Superannuation schemes</w:t>
      </w:r>
    </w:p>
    <w:p>
      <w:pPr>
        <w:pStyle w:val="TOC8"/>
        <w:rPr>
          <w:rFonts w:asciiTheme="minorHAnsi" w:eastAsiaTheme="minorEastAsia" w:hAnsiTheme="minorHAnsi" w:cstheme="minorBidi"/>
          <w:szCs w:val="22"/>
        </w:rPr>
      </w:pPr>
      <w:r>
        <w:t>28.</w:t>
      </w:r>
      <w:r>
        <w:tab/>
        <w:t>Superannuation schemes, establishing by regulations etc.</w:t>
      </w:r>
      <w:r>
        <w:tab/>
      </w:r>
      <w:r>
        <w:fldChar w:fldCharType="begin"/>
      </w:r>
      <w:r>
        <w:instrText xml:space="preserve"> PAGEREF _Toc146034170 \h </w:instrText>
      </w:r>
      <w:r>
        <w:fldChar w:fldCharType="separate"/>
      </w:r>
      <w:r>
        <w:t>22</w:t>
      </w:r>
      <w:r>
        <w:fldChar w:fldCharType="end"/>
      </w:r>
    </w:p>
    <w:p>
      <w:pPr>
        <w:pStyle w:val="TOC8"/>
        <w:rPr>
          <w:rFonts w:asciiTheme="minorHAnsi" w:eastAsiaTheme="minorEastAsia" w:hAnsiTheme="minorHAnsi" w:cstheme="minorBidi"/>
          <w:szCs w:val="22"/>
        </w:rPr>
      </w:pPr>
      <w:r>
        <w:t>29.</w:t>
      </w:r>
      <w:r>
        <w:tab/>
        <w:t>Certain schemes become superannuation schemes under this Act on 17 Feb 2001</w:t>
      </w:r>
      <w:r>
        <w:tab/>
      </w:r>
      <w:r>
        <w:fldChar w:fldCharType="begin"/>
      </w:r>
      <w:r>
        <w:instrText xml:space="preserve"> PAGEREF _Toc146034171 \h </w:instrText>
      </w:r>
      <w:r>
        <w:fldChar w:fldCharType="separate"/>
      </w:r>
      <w:r>
        <w:t>22</w:t>
      </w:r>
      <w:r>
        <w:fldChar w:fldCharType="end"/>
      </w:r>
    </w:p>
    <w:p>
      <w:pPr>
        <w:pStyle w:val="TOC8"/>
        <w:rPr>
          <w:rFonts w:asciiTheme="minorHAnsi" w:eastAsiaTheme="minorEastAsia" w:hAnsiTheme="minorHAnsi" w:cstheme="minorBidi"/>
          <w:szCs w:val="22"/>
        </w:rPr>
      </w:pPr>
      <w:r>
        <w:t>30.</w:t>
      </w:r>
      <w:r>
        <w:tab/>
        <w:t>S</w:t>
      </w:r>
      <w:r>
        <w:rPr>
          <w:snapToGrid w:val="0"/>
        </w:rPr>
        <w:t>uperannuation schemes etc., establishment of etc. by Employer</w:t>
      </w:r>
      <w:r>
        <w:tab/>
      </w:r>
      <w:r>
        <w:fldChar w:fldCharType="begin"/>
      </w:r>
      <w:r>
        <w:instrText xml:space="preserve"> PAGEREF _Toc146034172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Government guarantees and appropriation of the Consolidated Account</w:t>
      </w:r>
    </w:p>
    <w:p>
      <w:pPr>
        <w:pStyle w:val="TOC8"/>
        <w:rPr>
          <w:rFonts w:asciiTheme="minorHAnsi" w:eastAsiaTheme="minorEastAsia" w:hAnsiTheme="minorHAnsi" w:cstheme="minorBidi"/>
          <w:szCs w:val="22"/>
        </w:rPr>
      </w:pPr>
      <w:r>
        <w:t>31.</w:t>
      </w:r>
      <w:r>
        <w:tab/>
        <w:t>Guarantee by Crown of scheme benefits etc.</w:t>
      </w:r>
      <w:r>
        <w:tab/>
      </w:r>
      <w:r>
        <w:fldChar w:fldCharType="begin"/>
      </w:r>
      <w:r>
        <w:instrText xml:space="preserve"> PAGEREF _Toc146034174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Appropriation to meet contribution etc. obligations</w:t>
      </w:r>
      <w:r>
        <w:tab/>
      </w:r>
      <w:r>
        <w:fldChar w:fldCharType="begin"/>
      </w:r>
      <w:r>
        <w:instrText xml:space="preserve"> PAGEREF _Toc146034175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33.</w:t>
      </w:r>
      <w:r>
        <w:tab/>
        <w:t>Treasurer’s approvals and guidelines</w:t>
      </w:r>
      <w:r>
        <w:tab/>
      </w:r>
      <w:r>
        <w:fldChar w:fldCharType="begin"/>
      </w:r>
      <w:r>
        <w:instrText xml:space="preserve"> PAGEREF _Toc146034177 \h </w:instrText>
      </w:r>
      <w:r>
        <w:fldChar w:fldCharType="separate"/>
      </w:r>
      <w:r>
        <w:t>26</w:t>
      </w:r>
      <w:r>
        <w:fldChar w:fldCharType="end"/>
      </w:r>
    </w:p>
    <w:p>
      <w:pPr>
        <w:pStyle w:val="TOC8"/>
        <w:rPr>
          <w:rFonts w:asciiTheme="minorHAnsi" w:eastAsiaTheme="minorEastAsia" w:hAnsiTheme="minorHAnsi" w:cstheme="minorBidi"/>
          <w:szCs w:val="22"/>
        </w:rPr>
      </w:pPr>
      <w:r>
        <w:t>33A.</w:t>
      </w:r>
      <w:r>
        <w:tab/>
        <w:t>Board to observe certain policy instruments</w:t>
      </w:r>
      <w:r>
        <w:tab/>
      </w:r>
      <w:r>
        <w:fldChar w:fldCharType="begin"/>
      </w:r>
      <w:r>
        <w:instrText xml:space="preserve"> PAGEREF _Toc146034178 \h </w:instrText>
      </w:r>
      <w:r>
        <w:fldChar w:fldCharType="separate"/>
      </w:r>
      <w:r>
        <w:t>27</w:t>
      </w:r>
      <w:r>
        <w:fldChar w:fldCharType="end"/>
      </w:r>
    </w:p>
    <w:p>
      <w:pPr>
        <w:pStyle w:val="TOC8"/>
        <w:rPr>
          <w:rFonts w:asciiTheme="minorHAnsi" w:eastAsiaTheme="minorEastAsia" w:hAnsiTheme="minorHAnsi" w:cstheme="minorBidi"/>
          <w:szCs w:val="22"/>
        </w:rPr>
      </w:pPr>
      <w:r>
        <w:lastRenderedPageBreak/>
        <w:t>33B.</w:t>
      </w:r>
      <w:r>
        <w:tab/>
        <w:t>Strategic development plan and statement of corporate intent</w:t>
      </w:r>
      <w:r>
        <w:tab/>
      </w:r>
      <w:r>
        <w:fldChar w:fldCharType="begin"/>
      </w:r>
      <w:r>
        <w:instrText xml:space="preserve"> PAGEREF _Toc146034179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Directions to Employers as to practice and procedure</w:t>
      </w:r>
      <w:r>
        <w:tab/>
      </w:r>
      <w:r>
        <w:fldChar w:fldCharType="begin"/>
      </w:r>
      <w:r>
        <w:instrText xml:space="preserve"> PAGEREF _Toc146034180 \h </w:instrText>
      </w:r>
      <w:r>
        <w:fldChar w:fldCharType="separate"/>
      </w:r>
      <w:r>
        <w:t>29</w:t>
      </w:r>
      <w:r>
        <w:fldChar w:fldCharType="end"/>
      </w:r>
    </w:p>
    <w:p>
      <w:pPr>
        <w:pStyle w:val="TOC8"/>
        <w:rPr>
          <w:rFonts w:asciiTheme="minorHAnsi" w:eastAsiaTheme="minorEastAsia" w:hAnsiTheme="minorHAnsi" w:cstheme="minorBidi"/>
          <w:szCs w:val="22"/>
        </w:rPr>
      </w:pPr>
      <w:r>
        <w:t>35.</w:t>
      </w:r>
      <w:r>
        <w:tab/>
      </w:r>
      <w:r>
        <w:rPr>
          <w:snapToGrid w:val="0"/>
        </w:rPr>
        <w:t>Treasurer may give Board directions</w:t>
      </w:r>
      <w:r>
        <w:tab/>
      </w:r>
      <w:r>
        <w:fldChar w:fldCharType="begin"/>
      </w:r>
      <w:r>
        <w:instrText xml:space="preserve"> PAGEREF _Toc146034181 \h </w:instrText>
      </w:r>
      <w:r>
        <w:fldChar w:fldCharType="separate"/>
      </w:r>
      <w:r>
        <w:t>30</w:t>
      </w:r>
      <w:r>
        <w:fldChar w:fldCharType="end"/>
      </w:r>
    </w:p>
    <w:p>
      <w:pPr>
        <w:pStyle w:val="TOC8"/>
        <w:rPr>
          <w:rFonts w:asciiTheme="minorHAnsi" w:eastAsiaTheme="minorEastAsia" w:hAnsiTheme="minorHAnsi" w:cstheme="minorBidi"/>
          <w:szCs w:val="22"/>
        </w:rPr>
      </w:pPr>
      <w:r>
        <w:t>36A.</w:t>
      </w:r>
      <w:r>
        <w:tab/>
        <w:t>Laying documents before Parliament, procedure for if House not sitting etc.</w:t>
      </w:r>
      <w:r>
        <w:tab/>
      </w:r>
      <w:r>
        <w:fldChar w:fldCharType="begin"/>
      </w:r>
      <w:r>
        <w:instrText xml:space="preserve"> PAGEREF _Toc146034182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t>Treasurer</w:t>
      </w:r>
      <w:r>
        <w:rPr>
          <w:snapToGrid w:val="0"/>
        </w:rPr>
        <w:t xml:space="preserve"> to have access to information</w:t>
      </w:r>
      <w:r>
        <w:tab/>
      </w:r>
      <w:r>
        <w:fldChar w:fldCharType="begin"/>
      </w:r>
      <w:r>
        <w:instrText xml:space="preserve"> PAGEREF _Toc146034183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Regulations</w:t>
      </w:r>
      <w:r>
        <w:tab/>
      </w:r>
      <w:r>
        <w:fldChar w:fldCharType="begin"/>
      </w:r>
      <w:r>
        <w:instrText xml:space="preserve"> PAGEREF _Toc146034184 \h </w:instrText>
      </w:r>
      <w:r>
        <w:fldChar w:fldCharType="separate"/>
      </w:r>
      <w:r>
        <w:t>33</w:t>
      </w:r>
      <w:r>
        <w:fldChar w:fldCharType="end"/>
      </w:r>
    </w:p>
    <w:p>
      <w:pPr>
        <w:pStyle w:val="TOC8"/>
        <w:rPr>
          <w:rFonts w:asciiTheme="minorHAnsi" w:eastAsiaTheme="minorEastAsia" w:hAnsiTheme="minorHAnsi" w:cstheme="minorBidi"/>
          <w:szCs w:val="22"/>
        </w:rPr>
      </w:pPr>
      <w:r>
        <w:t>39.</w:t>
      </w:r>
      <w:r>
        <w:tab/>
        <w:t>Repeals</w:t>
      </w:r>
      <w:r>
        <w:tab/>
      </w:r>
      <w:r>
        <w:fldChar w:fldCharType="begin"/>
      </w:r>
      <w:r>
        <w:instrText xml:space="preserve"> PAGEREF _Toc146034185 \h </w:instrText>
      </w:r>
      <w:r>
        <w:fldChar w:fldCharType="separate"/>
      </w:r>
      <w:r>
        <w:t>38</w:t>
      </w:r>
      <w:r>
        <w:fldChar w:fldCharType="end"/>
      </w:r>
    </w:p>
    <w:p>
      <w:pPr>
        <w:pStyle w:val="TOC8"/>
        <w:rPr>
          <w:rFonts w:asciiTheme="minorHAnsi" w:eastAsiaTheme="minorEastAsia" w:hAnsiTheme="minorHAnsi" w:cstheme="minorBidi"/>
          <w:szCs w:val="22"/>
        </w:rPr>
      </w:pPr>
      <w:r>
        <w:t>40.</w:t>
      </w:r>
      <w:r>
        <w:tab/>
      </w:r>
      <w:r>
        <w:rPr>
          <w:i/>
          <w:iCs/>
        </w:rPr>
        <w:t>Administration Act 1903</w:t>
      </w:r>
      <w:r>
        <w:rPr>
          <w:iCs/>
        </w:rPr>
        <w:t xml:space="preserve"> s. 10 affected by this Act</w:t>
      </w:r>
      <w:r>
        <w:tab/>
      </w:r>
      <w:r>
        <w:fldChar w:fldCharType="begin"/>
      </w:r>
      <w:r>
        <w:instrText xml:space="preserve"> PAGEREF _Toc146034186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1 — Government Employees Superannuation Board</w:t>
      </w:r>
    </w:p>
    <w:p>
      <w:pPr>
        <w:pStyle w:val="TOC8"/>
        <w:rPr>
          <w:rFonts w:asciiTheme="minorHAnsi" w:eastAsiaTheme="minorEastAsia" w:hAnsiTheme="minorHAnsi" w:cstheme="minorBidi"/>
          <w:szCs w:val="22"/>
        </w:rPr>
      </w:pPr>
      <w:r>
        <w:t>1.</w:t>
      </w:r>
      <w:r>
        <w:tab/>
        <w:t>Chairman, nominating</w:t>
      </w:r>
      <w:r>
        <w:tab/>
      </w:r>
      <w:r>
        <w:fldChar w:fldCharType="begin"/>
      </w:r>
      <w:r>
        <w:instrText xml:space="preserve"> PAGEREF _Toc146034188 \h </w:instrText>
      </w:r>
      <w:r>
        <w:fldChar w:fldCharType="separate"/>
      </w:r>
      <w:r>
        <w:t>39</w:t>
      </w:r>
      <w:r>
        <w:fldChar w:fldCharType="end"/>
      </w:r>
    </w:p>
    <w:p>
      <w:pPr>
        <w:pStyle w:val="TOC8"/>
        <w:rPr>
          <w:rFonts w:asciiTheme="minorHAnsi" w:eastAsiaTheme="minorEastAsia" w:hAnsiTheme="minorHAnsi" w:cstheme="minorBidi"/>
          <w:szCs w:val="22"/>
        </w:rPr>
      </w:pPr>
      <w:r>
        <w:t>2.</w:t>
      </w:r>
      <w:r>
        <w:tab/>
        <w:t>Deputy chairman, appointment of etc.</w:t>
      </w:r>
      <w:r>
        <w:tab/>
      </w:r>
      <w:r>
        <w:fldChar w:fldCharType="begin"/>
      </w:r>
      <w:r>
        <w:instrText xml:space="preserve"> PAGEREF _Toc146034189 \h </w:instrText>
      </w:r>
      <w:r>
        <w:fldChar w:fldCharType="separate"/>
      </w:r>
      <w:r>
        <w:t>39</w:t>
      </w:r>
      <w:r>
        <w:fldChar w:fldCharType="end"/>
      </w:r>
    </w:p>
    <w:p>
      <w:pPr>
        <w:pStyle w:val="TOC8"/>
        <w:rPr>
          <w:rFonts w:asciiTheme="minorHAnsi" w:eastAsiaTheme="minorEastAsia" w:hAnsiTheme="minorHAnsi" w:cstheme="minorBidi"/>
          <w:szCs w:val="22"/>
        </w:rPr>
      </w:pPr>
      <w:r>
        <w:t>3.</w:t>
      </w:r>
      <w:r>
        <w:tab/>
        <w:t>Election of member directors</w:t>
      </w:r>
      <w:r>
        <w:tab/>
      </w:r>
      <w:r>
        <w:fldChar w:fldCharType="begin"/>
      </w:r>
      <w:r>
        <w:instrText xml:space="preserve"> PAGEREF _Toc146034190 \h </w:instrText>
      </w:r>
      <w:r>
        <w:fldChar w:fldCharType="separate"/>
      </w:r>
      <w:r>
        <w:t>39</w:t>
      </w:r>
      <w:r>
        <w:fldChar w:fldCharType="end"/>
      </w:r>
    </w:p>
    <w:p>
      <w:pPr>
        <w:pStyle w:val="TOC8"/>
        <w:rPr>
          <w:rFonts w:asciiTheme="minorHAnsi" w:eastAsiaTheme="minorEastAsia" w:hAnsiTheme="minorHAnsi" w:cstheme="minorBidi"/>
          <w:szCs w:val="22"/>
        </w:rPr>
      </w:pPr>
      <w:r>
        <w:t>4.</w:t>
      </w:r>
      <w:r>
        <w:tab/>
        <w:t>Term of office</w:t>
      </w:r>
      <w:r>
        <w:tab/>
      </w:r>
      <w:r>
        <w:fldChar w:fldCharType="begin"/>
      </w:r>
      <w:r>
        <w:instrText xml:space="preserve"> PAGEREF _Toc146034191 \h </w:instrText>
      </w:r>
      <w:r>
        <w:fldChar w:fldCharType="separate"/>
      </w:r>
      <w:r>
        <w:t>40</w:t>
      </w:r>
      <w:r>
        <w:fldChar w:fldCharType="end"/>
      </w:r>
    </w:p>
    <w:p>
      <w:pPr>
        <w:pStyle w:val="TOC8"/>
        <w:rPr>
          <w:rFonts w:asciiTheme="minorHAnsi" w:eastAsiaTheme="minorEastAsia" w:hAnsiTheme="minorHAnsi" w:cstheme="minorBidi"/>
          <w:szCs w:val="22"/>
        </w:rPr>
      </w:pPr>
      <w:r>
        <w:t>5.</w:t>
      </w:r>
      <w:r>
        <w:tab/>
        <w:t>Directors are part</w:t>
      </w:r>
      <w:r>
        <w:noBreakHyphen/>
        <w:t>time</w:t>
      </w:r>
      <w:r>
        <w:tab/>
      </w:r>
      <w:r>
        <w:fldChar w:fldCharType="begin"/>
      </w:r>
      <w:r>
        <w:instrText xml:space="preserve"> PAGEREF _Toc146034192 \h </w:instrText>
      </w:r>
      <w:r>
        <w:fldChar w:fldCharType="separate"/>
      </w:r>
      <w:r>
        <w:t>40</w:t>
      </w:r>
      <w:r>
        <w:fldChar w:fldCharType="end"/>
      </w:r>
    </w:p>
    <w:p>
      <w:pPr>
        <w:pStyle w:val="TOC8"/>
        <w:rPr>
          <w:rFonts w:asciiTheme="minorHAnsi" w:eastAsiaTheme="minorEastAsia" w:hAnsiTheme="minorHAnsi" w:cstheme="minorBidi"/>
          <w:szCs w:val="22"/>
        </w:rPr>
      </w:pPr>
      <w:r>
        <w:t>6.</w:t>
      </w:r>
      <w:r>
        <w:tab/>
        <w:t>Casual vacancies</w:t>
      </w:r>
      <w:r>
        <w:tab/>
      </w:r>
      <w:r>
        <w:fldChar w:fldCharType="begin"/>
      </w:r>
      <w:r>
        <w:instrText xml:space="preserve"> PAGEREF _Toc146034193 \h </w:instrText>
      </w:r>
      <w:r>
        <w:fldChar w:fldCharType="separate"/>
      </w:r>
      <w:r>
        <w:t>40</w:t>
      </w:r>
      <w:r>
        <w:fldChar w:fldCharType="end"/>
      </w:r>
    </w:p>
    <w:p>
      <w:pPr>
        <w:pStyle w:val="TOC8"/>
        <w:rPr>
          <w:rFonts w:asciiTheme="minorHAnsi" w:eastAsiaTheme="minorEastAsia" w:hAnsiTheme="minorHAnsi" w:cstheme="minorBidi"/>
          <w:szCs w:val="22"/>
        </w:rPr>
      </w:pPr>
      <w:r>
        <w:t>7.</w:t>
      </w:r>
      <w:r>
        <w:tab/>
        <w:t>Remuneration and allowances</w:t>
      </w:r>
      <w:r>
        <w:tab/>
      </w:r>
      <w:r>
        <w:fldChar w:fldCharType="begin"/>
      </w:r>
      <w:r>
        <w:instrText xml:space="preserve"> PAGEREF _Toc146034194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2 — Meetings and procedures</w:t>
      </w:r>
    </w:p>
    <w:p>
      <w:pPr>
        <w:pStyle w:val="TOC8"/>
        <w:rPr>
          <w:rFonts w:asciiTheme="minorHAnsi" w:eastAsiaTheme="minorEastAsia" w:hAnsiTheme="minorHAnsi" w:cstheme="minorBidi"/>
          <w:szCs w:val="22"/>
        </w:rPr>
      </w:pPr>
      <w:r>
        <w:t>1.</w:t>
      </w:r>
      <w:r>
        <w:tab/>
        <w:t>Board to determine own procedure</w:t>
      </w:r>
      <w:r>
        <w:tab/>
      </w:r>
      <w:r>
        <w:fldChar w:fldCharType="begin"/>
      </w:r>
      <w:r>
        <w:instrText xml:space="preserve"> PAGEREF _Toc146034196 \h </w:instrText>
      </w:r>
      <w:r>
        <w:fldChar w:fldCharType="separate"/>
      </w:r>
      <w:r>
        <w:t>42</w:t>
      </w:r>
      <w:r>
        <w:fldChar w:fldCharType="end"/>
      </w:r>
    </w:p>
    <w:p>
      <w:pPr>
        <w:pStyle w:val="TOC8"/>
        <w:rPr>
          <w:rFonts w:asciiTheme="minorHAnsi" w:eastAsiaTheme="minorEastAsia" w:hAnsiTheme="minorHAnsi" w:cstheme="minorBidi"/>
          <w:szCs w:val="22"/>
        </w:rPr>
      </w:pPr>
      <w:r>
        <w:t>2.</w:t>
      </w:r>
      <w:r>
        <w:tab/>
        <w:t>Quorum</w:t>
      </w:r>
      <w:r>
        <w:tab/>
      </w:r>
      <w:r>
        <w:fldChar w:fldCharType="begin"/>
      </w:r>
      <w:r>
        <w:instrText xml:space="preserve"> PAGEREF _Toc146034197 \h </w:instrText>
      </w:r>
      <w:r>
        <w:fldChar w:fldCharType="separate"/>
      </w:r>
      <w:r>
        <w:t>42</w:t>
      </w:r>
      <w:r>
        <w:fldChar w:fldCharType="end"/>
      </w:r>
    </w:p>
    <w:p>
      <w:pPr>
        <w:pStyle w:val="TOC8"/>
        <w:rPr>
          <w:rFonts w:asciiTheme="minorHAnsi" w:eastAsiaTheme="minorEastAsia" w:hAnsiTheme="minorHAnsi" w:cstheme="minorBidi"/>
          <w:szCs w:val="22"/>
        </w:rPr>
      </w:pPr>
      <w:r>
        <w:t>3.</w:t>
      </w:r>
      <w:r>
        <w:tab/>
        <w:t>Presiding director</w:t>
      </w:r>
      <w:r>
        <w:tab/>
      </w:r>
      <w:r>
        <w:fldChar w:fldCharType="begin"/>
      </w:r>
      <w:r>
        <w:instrText xml:space="preserve"> PAGEREF _Toc146034198 \h </w:instrText>
      </w:r>
      <w:r>
        <w:fldChar w:fldCharType="separate"/>
      </w:r>
      <w:r>
        <w:t>42</w:t>
      </w:r>
      <w:r>
        <w:fldChar w:fldCharType="end"/>
      </w:r>
    </w:p>
    <w:p>
      <w:pPr>
        <w:pStyle w:val="TOC8"/>
        <w:rPr>
          <w:rFonts w:asciiTheme="minorHAnsi" w:eastAsiaTheme="minorEastAsia" w:hAnsiTheme="minorHAnsi" w:cstheme="minorBidi"/>
          <w:szCs w:val="22"/>
        </w:rPr>
      </w:pPr>
      <w:r>
        <w:t>4.</w:t>
      </w:r>
      <w:r>
        <w:tab/>
        <w:t>Voting</w:t>
      </w:r>
      <w:r>
        <w:tab/>
      </w:r>
      <w:r>
        <w:fldChar w:fldCharType="begin"/>
      </w:r>
      <w:r>
        <w:instrText xml:space="preserve"> PAGEREF _Toc146034199 \h </w:instrText>
      </w:r>
      <w:r>
        <w:fldChar w:fldCharType="separate"/>
      </w:r>
      <w:r>
        <w:t>42</w:t>
      </w:r>
      <w:r>
        <w:fldChar w:fldCharType="end"/>
      </w:r>
    </w:p>
    <w:p>
      <w:pPr>
        <w:pStyle w:val="TOC8"/>
        <w:rPr>
          <w:rFonts w:asciiTheme="minorHAnsi" w:eastAsiaTheme="minorEastAsia" w:hAnsiTheme="minorHAnsi" w:cstheme="minorBidi"/>
          <w:szCs w:val="22"/>
        </w:rPr>
      </w:pPr>
      <w:r>
        <w:t>5.</w:t>
      </w:r>
      <w:r>
        <w:tab/>
        <w:t>Minutes</w:t>
      </w:r>
      <w:r>
        <w:tab/>
      </w:r>
      <w:r>
        <w:fldChar w:fldCharType="begin"/>
      </w:r>
      <w:r>
        <w:instrText xml:space="preserve"> PAGEREF _Toc146034200 \h </w:instrText>
      </w:r>
      <w:r>
        <w:fldChar w:fldCharType="separate"/>
      </w:r>
      <w:r>
        <w:t>42</w:t>
      </w:r>
      <w:r>
        <w:fldChar w:fldCharType="end"/>
      </w:r>
    </w:p>
    <w:p>
      <w:pPr>
        <w:pStyle w:val="TOC8"/>
        <w:rPr>
          <w:rFonts w:asciiTheme="minorHAnsi" w:eastAsiaTheme="minorEastAsia" w:hAnsiTheme="minorHAnsi" w:cstheme="minorBidi"/>
          <w:szCs w:val="22"/>
        </w:rPr>
      </w:pPr>
      <w:r>
        <w:t xml:space="preserve">6. </w:t>
      </w:r>
      <w:r>
        <w:tab/>
        <w:t>Resolution without meeting</w:t>
      </w:r>
      <w:r>
        <w:tab/>
      </w:r>
      <w:r>
        <w:fldChar w:fldCharType="begin"/>
      </w:r>
      <w:r>
        <w:instrText xml:space="preserve"> PAGEREF _Toc146034201 \h </w:instrText>
      </w:r>
      <w:r>
        <w:fldChar w:fldCharType="separate"/>
      </w:r>
      <w:r>
        <w:t>43</w:t>
      </w:r>
      <w:r>
        <w:fldChar w:fldCharType="end"/>
      </w:r>
    </w:p>
    <w:p>
      <w:pPr>
        <w:pStyle w:val="TOC8"/>
        <w:rPr>
          <w:rFonts w:asciiTheme="minorHAnsi" w:eastAsiaTheme="minorEastAsia" w:hAnsiTheme="minorHAnsi" w:cstheme="minorBidi"/>
          <w:szCs w:val="22"/>
        </w:rPr>
      </w:pPr>
      <w:r>
        <w:t xml:space="preserve">7. </w:t>
      </w:r>
      <w:r>
        <w:tab/>
        <w:t>Telephone or video attendance at meetings</w:t>
      </w:r>
      <w:r>
        <w:tab/>
      </w:r>
      <w:r>
        <w:fldChar w:fldCharType="begin"/>
      </w:r>
      <w:r>
        <w:instrText xml:space="preserve"> PAGEREF _Toc146034202 \h </w:instrText>
      </w:r>
      <w:r>
        <w:fldChar w:fldCharType="separate"/>
      </w:r>
      <w:r>
        <w:t>43</w:t>
      </w:r>
      <w:r>
        <w:fldChar w:fldCharType="end"/>
      </w:r>
    </w:p>
    <w:p>
      <w:pPr>
        <w:pStyle w:val="TOC8"/>
        <w:rPr>
          <w:rFonts w:asciiTheme="minorHAnsi" w:eastAsiaTheme="minorEastAsia" w:hAnsiTheme="minorHAnsi" w:cstheme="minorBidi"/>
          <w:szCs w:val="22"/>
        </w:rPr>
      </w:pPr>
      <w:r>
        <w:t xml:space="preserve">8. </w:t>
      </w:r>
      <w:r>
        <w:tab/>
        <w:t>Committees</w:t>
      </w:r>
      <w:r>
        <w:tab/>
      </w:r>
      <w:r>
        <w:fldChar w:fldCharType="begin"/>
      </w:r>
      <w:r>
        <w:instrText xml:space="preserve"> PAGEREF _Toc146034203 \h </w:instrText>
      </w:r>
      <w:r>
        <w:fldChar w:fldCharType="separate"/>
      </w:r>
      <w:r>
        <w:t>43</w:t>
      </w:r>
      <w:r>
        <w:fldChar w:fldCharType="end"/>
      </w:r>
    </w:p>
    <w:p>
      <w:pPr>
        <w:pStyle w:val="TOC8"/>
        <w:rPr>
          <w:rFonts w:asciiTheme="minorHAnsi" w:eastAsiaTheme="minorEastAsia" w:hAnsiTheme="minorHAnsi" w:cstheme="minorBidi"/>
          <w:szCs w:val="22"/>
        </w:rPr>
      </w:pPr>
      <w:r>
        <w:t>9.</w:t>
      </w:r>
      <w:r>
        <w:tab/>
        <w:t>Material interest, defined</w:t>
      </w:r>
      <w:r>
        <w:tab/>
      </w:r>
      <w:r>
        <w:fldChar w:fldCharType="begin"/>
      </w:r>
      <w:r>
        <w:instrText xml:space="preserve"> PAGEREF _Toc146034204 \h </w:instrText>
      </w:r>
      <w:r>
        <w:fldChar w:fldCharType="separate"/>
      </w:r>
      <w:r>
        <w:t>43</w:t>
      </w:r>
      <w:r>
        <w:fldChar w:fldCharType="end"/>
      </w:r>
    </w:p>
    <w:p>
      <w:pPr>
        <w:pStyle w:val="TOC8"/>
        <w:rPr>
          <w:rFonts w:asciiTheme="minorHAnsi" w:eastAsiaTheme="minorEastAsia" w:hAnsiTheme="minorHAnsi" w:cstheme="minorBidi"/>
          <w:szCs w:val="22"/>
        </w:rPr>
      </w:pPr>
      <w:r>
        <w:t>10.</w:t>
      </w:r>
      <w:r>
        <w:tab/>
        <w:t>Material interests to be disclosed etc.</w:t>
      </w:r>
      <w:r>
        <w:tab/>
      </w:r>
      <w:r>
        <w:fldChar w:fldCharType="begin"/>
      </w:r>
      <w:r>
        <w:instrText xml:space="preserve"> PAGEREF _Toc146034205 \h </w:instrText>
      </w:r>
      <w:r>
        <w:fldChar w:fldCharType="separate"/>
      </w:r>
      <w:r>
        <w:t>44</w:t>
      </w:r>
      <w:r>
        <w:fldChar w:fldCharType="end"/>
      </w:r>
    </w:p>
    <w:p>
      <w:pPr>
        <w:pStyle w:val="TOC8"/>
        <w:rPr>
          <w:rFonts w:asciiTheme="minorHAnsi" w:eastAsiaTheme="minorEastAsia" w:hAnsiTheme="minorHAnsi" w:cstheme="minorBidi"/>
          <w:szCs w:val="22"/>
        </w:rPr>
      </w:pPr>
      <w:r>
        <w:t>11</w:t>
      </w:r>
      <w:r>
        <w:rPr>
          <w:iCs/>
          <w:snapToGrid w:val="0"/>
        </w:rPr>
        <w:t>.</w:t>
      </w:r>
      <w:r>
        <w:rPr>
          <w:iCs/>
          <w:snapToGrid w:val="0"/>
        </w:rPr>
        <w:tab/>
        <w:t>Director etc. with material interest not to vote etc.</w:t>
      </w:r>
      <w:r>
        <w:tab/>
      </w:r>
      <w:r>
        <w:fldChar w:fldCharType="begin"/>
      </w:r>
      <w:r>
        <w:instrText xml:space="preserve"> PAGEREF _Toc146034206 \h </w:instrText>
      </w:r>
      <w:r>
        <w:fldChar w:fldCharType="separate"/>
      </w:r>
      <w:r>
        <w:t>45</w:t>
      </w:r>
      <w:r>
        <w:fldChar w:fldCharType="end"/>
      </w:r>
    </w:p>
    <w:p>
      <w:pPr>
        <w:pStyle w:val="TOC8"/>
        <w:rPr>
          <w:rFonts w:asciiTheme="minorHAnsi" w:eastAsiaTheme="minorEastAsia" w:hAnsiTheme="minorHAnsi" w:cstheme="minorBidi"/>
          <w:szCs w:val="22"/>
        </w:rPr>
      </w:pPr>
      <w:r>
        <w:t>12</w:t>
      </w:r>
      <w:r>
        <w:rPr>
          <w:iCs/>
          <w:snapToGrid w:val="0"/>
        </w:rPr>
        <w:t>.</w:t>
      </w:r>
      <w:r>
        <w:rPr>
          <w:iCs/>
          <w:snapToGrid w:val="0"/>
        </w:rPr>
        <w:tab/>
        <w:t>Clause 11 may be disapplied</w:t>
      </w:r>
      <w:r>
        <w:tab/>
      </w:r>
      <w:r>
        <w:fldChar w:fldCharType="begin"/>
      </w:r>
      <w:r>
        <w:instrText xml:space="preserve"> PAGEREF _Toc146034207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 — Provisions to be included in constitution of subsidiary</w:t>
      </w:r>
    </w:p>
    <w:p>
      <w:pPr>
        <w:pStyle w:val="TOC8"/>
        <w:rPr>
          <w:rFonts w:asciiTheme="minorHAnsi" w:eastAsiaTheme="minorEastAsia" w:hAnsiTheme="minorHAnsi" w:cstheme="minorBidi"/>
          <w:szCs w:val="22"/>
        </w:rPr>
      </w:pPr>
      <w:r>
        <w:t>1.</w:t>
      </w:r>
      <w:r>
        <w:tab/>
        <w:t>Term used: prior approval</w:t>
      </w:r>
      <w:r>
        <w:tab/>
      </w:r>
      <w:r>
        <w:fldChar w:fldCharType="begin"/>
      </w:r>
      <w:r>
        <w:instrText xml:space="preserve"> PAGEREF _Toc146034209 \h </w:instrText>
      </w:r>
      <w:r>
        <w:fldChar w:fldCharType="separate"/>
      </w:r>
      <w:r>
        <w:t>46</w:t>
      </w:r>
      <w:r>
        <w:fldChar w:fldCharType="end"/>
      </w:r>
    </w:p>
    <w:p>
      <w:pPr>
        <w:pStyle w:val="TOC8"/>
        <w:rPr>
          <w:rFonts w:asciiTheme="minorHAnsi" w:eastAsiaTheme="minorEastAsia" w:hAnsiTheme="minorHAnsi" w:cstheme="minorBidi"/>
          <w:szCs w:val="22"/>
        </w:rPr>
      </w:pPr>
      <w:r>
        <w:t>2.</w:t>
      </w:r>
      <w:r>
        <w:tab/>
        <w:t>Disposal of shares</w:t>
      </w:r>
      <w:r>
        <w:tab/>
      </w:r>
      <w:r>
        <w:fldChar w:fldCharType="begin"/>
      </w:r>
      <w:r>
        <w:instrText xml:space="preserve"> PAGEREF _Toc146034210 \h </w:instrText>
      </w:r>
      <w:r>
        <w:fldChar w:fldCharType="separate"/>
      </w:r>
      <w:r>
        <w:t>46</w:t>
      </w:r>
      <w:r>
        <w:fldChar w:fldCharType="end"/>
      </w:r>
    </w:p>
    <w:p>
      <w:pPr>
        <w:pStyle w:val="TOC8"/>
        <w:rPr>
          <w:rFonts w:asciiTheme="minorHAnsi" w:eastAsiaTheme="minorEastAsia" w:hAnsiTheme="minorHAnsi" w:cstheme="minorBidi"/>
          <w:szCs w:val="22"/>
        </w:rPr>
      </w:pPr>
      <w:r>
        <w:t>3.</w:t>
      </w:r>
      <w:r>
        <w:tab/>
        <w:t>Directors</w:t>
      </w:r>
      <w:r>
        <w:tab/>
      </w:r>
      <w:r>
        <w:fldChar w:fldCharType="begin"/>
      </w:r>
      <w:r>
        <w:instrText xml:space="preserve"> PAGEREF _Toc146034211 \h </w:instrText>
      </w:r>
      <w:r>
        <w:fldChar w:fldCharType="separate"/>
      </w:r>
      <w:r>
        <w:t>46</w:t>
      </w:r>
      <w:r>
        <w:fldChar w:fldCharType="end"/>
      </w:r>
    </w:p>
    <w:p>
      <w:pPr>
        <w:pStyle w:val="TOC8"/>
        <w:rPr>
          <w:rFonts w:asciiTheme="minorHAnsi" w:eastAsiaTheme="minorEastAsia" w:hAnsiTheme="minorHAnsi" w:cstheme="minorBidi"/>
          <w:szCs w:val="22"/>
        </w:rPr>
      </w:pPr>
      <w:r>
        <w:t>4.</w:t>
      </w:r>
      <w:r>
        <w:tab/>
        <w:t>Further shares</w:t>
      </w:r>
      <w:r>
        <w:tab/>
      </w:r>
      <w:r>
        <w:fldChar w:fldCharType="begin"/>
      </w:r>
      <w:r>
        <w:instrText xml:space="preserve"> PAGEREF _Toc146034212 \h </w:instrText>
      </w:r>
      <w:r>
        <w:fldChar w:fldCharType="separate"/>
      </w:r>
      <w:r>
        <w:t>46</w:t>
      </w:r>
      <w:r>
        <w:fldChar w:fldCharType="end"/>
      </w:r>
    </w:p>
    <w:p>
      <w:pPr>
        <w:pStyle w:val="TOC8"/>
        <w:rPr>
          <w:rFonts w:asciiTheme="minorHAnsi" w:eastAsiaTheme="minorEastAsia" w:hAnsiTheme="minorHAnsi" w:cstheme="minorBidi"/>
          <w:szCs w:val="22"/>
        </w:rPr>
      </w:pPr>
      <w:r>
        <w:t>5.</w:t>
      </w:r>
      <w:r>
        <w:tab/>
        <w:t>Alteration of constitution</w:t>
      </w:r>
      <w:r>
        <w:tab/>
      </w:r>
      <w:r>
        <w:fldChar w:fldCharType="begin"/>
      </w:r>
      <w:r>
        <w:instrText xml:space="preserve"> PAGEREF _Toc146034213 \h </w:instrText>
      </w:r>
      <w:r>
        <w:fldChar w:fldCharType="separate"/>
      </w:r>
      <w:r>
        <w:t>47</w:t>
      </w:r>
      <w:r>
        <w:fldChar w:fldCharType="end"/>
      </w:r>
    </w:p>
    <w:p>
      <w:pPr>
        <w:pStyle w:val="TOC8"/>
        <w:rPr>
          <w:rFonts w:asciiTheme="minorHAnsi" w:eastAsiaTheme="minorEastAsia" w:hAnsiTheme="minorHAnsi" w:cstheme="minorBidi"/>
          <w:szCs w:val="22"/>
        </w:rPr>
      </w:pPr>
      <w:r>
        <w:t>6.</w:t>
      </w:r>
      <w:r>
        <w:tab/>
        <w:t>Subsidiaries of subsidiary</w:t>
      </w:r>
      <w:r>
        <w:tab/>
      </w:r>
      <w:r>
        <w:fldChar w:fldCharType="begin"/>
      </w:r>
      <w:r>
        <w:instrText xml:space="preserve"> PAGEREF _Toc146034214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_Toc146034216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keepLines/>
        <w:suppressLineNumbers/>
        <w:spacing w:before="720"/>
        <w:ind w:right="284"/>
      </w:pPr>
      <w:r>
        <w:t>State Superannuation Act 2000</w:t>
      </w:r>
    </w:p>
    <w:p>
      <w:pPr>
        <w:pStyle w:val="LongTitle"/>
        <w:keepLines/>
        <w:suppressLineNumbers/>
        <w:spacing w:before="600"/>
        <w:outlineLvl w:val="0"/>
      </w:pPr>
      <w:r>
        <w:t>An Act to provide for superannuation contributions and superannuation schemes for and in respect of people working or formerly working in the public sector and for related purposes.</w:t>
      </w:r>
    </w:p>
    <w:p>
      <w:pPr>
        <w:pStyle w:val="Footnotelongtitle"/>
      </w:pPr>
      <w:r>
        <w:tab/>
        <w:t>[Long title inserted: No. 35 of 2011 s. 5.]</w:t>
      </w:r>
    </w:p>
    <w:p>
      <w:pPr>
        <w:pStyle w:val="Heading2"/>
        <w:keepLines/>
      </w:pPr>
      <w:bookmarkStart w:id="3" w:name="_Toc392508111"/>
      <w:bookmarkStart w:id="4" w:name="_Toc397337763"/>
      <w:bookmarkStart w:id="5" w:name="_Toc397954804"/>
      <w:bookmarkStart w:id="6" w:name="_Toc408233423"/>
      <w:bookmarkStart w:id="7" w:name="_Toc424548202"/>
      <w:bookmarkStart w:id="8" w:name="_Toc434856147"/>
      <w:bookmarkStart w:id="9" w:name="_Toc146034132"/>
      <w:r>
        <w:rPr>
          <w:rStyle w:val="CharPartNo"/>
        </w:rPr>
        <w:lastRenderedPageBreak/>
        <w:t>Part 1</w:t>
      </w:r>
      <w:r>
        <w:t xml:space="preserve"> — </w:t>
      </w:r>
      <w:r>
        <w:rPr>
          <w:rStyle w:val="CharPartText"/>
        </w:rPr>
        <w:t>Preliminary</w:t>
      </w:r>
      <w:bookmarkEnd w:id="3"/>
      <w:bookmarkEnd w:id="4"/>
      <w:bookmarkEnd w:id="5"/>
      <w:bookmarkEnd w:id="6"/>
      <w:bookmarkEnd w:id="7"/>
      <w:bookmarkEnd w:id="8"/>
      <w:bookmarkEnd w:id="9"/>
    </w:p>
    <w:p>
      <w:pPr>
        <w:pStyle w:val="Heading5"/>
        <w:suppressLineNumbers/>
      </w:pPr>
      <w:bookmarkStart w:id="10" w:name="_Toc408233424"/>
      <w:bookmarkStart w:id="11" w:name="_Toc146034133"/>
      <w:r>
        <w:rPr>
          <w:rStyle w:val="CharSectno"/>
        </w:rPr>
        <w:t>1</w:t>
      </w:r>
      <w:r>
        <w:t>.</w:t>
      </w:r>
      <w:r>
        <w:tab/>
        <w:t>Short title</w:t>
      </w:r>
      <w:bookmarkEnd w:id="10"/>
      <w:bookmarkEnd w:id="11"/>
    </w:p>
    <w:p>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pPr>
        <w:pStyle w:val="Heading5"/>
      </w:pPr>
      <w:bookmarkStart w:id="12" w:name="_Toc408233425"/>
      <w:bookmarkStart w:id="13" w:name="_Toc146034134"/>
      <w:r>
        <w:rPr>
          <w:rStyle w:val="CharSectno"/>
        </w:rPr>
        <w:t>2</w:t>
      </w:r>
      <w:r>
        <w:t>.</w:t>
      </w:r>
      <w:r>
        <w:tab/>
        <w:t>Commencement</w:t>
      </w:r>
      <w:bookmarkEnd w:id="12"/>
      <w:bookmarkEnd w:id="13"/>
    </w:p>
    <w:p>
      <w:pPr>
        <w:pStyle w:val="Subsection"/>
        <w:keepLines/>
      </w:pPr>
      <w:r>
        <w:tab/>
      </w:r>
      <w:r>
        <w:tab/>
        <w:t>This Act comes into operation on a day fixed by proclamation</w:t>
      </w:r>
      <w:r>
        <w:rPr>
          <w:vertAlign w:val="superscript"/>
        </w:rPr>
        <w:t> 1</w:t>
      </w:r>
      <w:r>
        <w:t>.</w:t>
      </w:r>
    </w:p>
    <w:p>
      <w:pPr>
        <w:pStyle w:val="Heading5"/>
      </w:pPr>
      <w:bookmarkStart w:id="14" w:name="_Toc408233426"/>
      <w:bookmarkStart w:id="15" w:name="_Toc146034135"/>
      <w:r>
        <w:rPr>
          <w:rStyle w:val="CharSectno"/>
        </w:rPr>
        <w:t>3</w:t>
      </w:r>
      <w:r>
        <w:t>.</w:t>
      </w:r>
      <w:r>
        <w:tab/>
        <w:t>Terms used</w:t>
      </w:r>
      <w:bookmarkEnd w:id="14"/>
      <w:bookmarkEnd w:id="15"/>
    </w:p>
    <w:p>
      <w:pPr>
        <w:pStyle w:val="Subsection"/>
      </w:pPr>
      <w:r>
        <w:tab/>
        <w:t>(1)</w:t>
      </w:r>
      <w:r>
        <w:tab/>
        <w:t>In this Act — </w:t>
      </w:r>
    </w:p>
    <w:p>
      <w:pPr>
        <w:pStyle w:val="Defstart"/>
      </w:pPr>
      <w:r>
        <w:tab/>
      </w:r>
      <w:r>
        <w:rPr>
          <w:rStyle w:val="CharDefText"/>
        </w:rPr>
        <w:t>actuary</w:t>
      </w:r>
      <w:r>
        <w:t xml:space="preserve"> means a fellow or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 xml:space="preserve">, or any other person with actuarial knowledge and experience who is approved by the </w:t>
      </w:r>
      <w:r>
        <w:rPr>
          <w:szCs w:val="24"/>
        </w:rPr>
        <w:t>Treasurer</w:t>
      </w:r>
      <w:r>
        <w:t xml:space="preserve">; </w:t>
      </w:r>
    </w:p>
    <w:p>
      <w:pPr>
        <w:pStyle w:val="Defstart"/>
      </w:pPr>
      <w:r>
        <w:tab/>
      </w:r>
      <w:r>
        <w:rPr>
          <w:rStyle w:val="CharDefText"/>
        </w:rPr>
        <w:t>benefit</w:t>
      </w:r>
      <w:r>
        <w:t xml:space="preserve"> means a benefit paid or payable under a scheme, whether paid or payable as a lump sum, pension, allowance or annuity or in any other form;</w:t>
      </w:r>
    </w:p>
    <w:p>
      <w:pPr>
        <w:pStyle w:val="Defstart"/>
      </w:pPr>
      <w:r>
        <w:tab/>
      </w:r>
      <w:r>
        <w:rPr>
          <w:rStyle w:val="CharDefText"/>
        </w:rPr>
        <w:t>Board</w:t>
      </w:r>
      <w:r>
        <w:t xml:space="preserve"> means the Government Employees Superannuation Board under section 5;</w:t>
      </w:r>
    </w:p>
    <w:p>
      <w:pPr>
        <w:pStyle w:val="Defstart"/>
      </w:pPr>
      <w:r>
        <w:tab/>
      </w:r>
      <w:r>
        <w:rPr>
          <w:rStyle w:val="CharDefText"/>
        </w:rPr>
        <w:t>Corporations Act</w:t>
      </w:r>
      <w:r>
        <w:t xml:space="preserve"> means the </w:t>
      </w:r>
      <w:r>
        <w:rPr>
          <w:i/>
          <w:iCs/>
        </w:rPr>
        <w:t>Corporations Act 2001</w:t>
      </w:r>
      <w:r>
        <w:t xml:space="preserve"> (Commonwealth);</w:t>
      </w:r>
    </w:p>
    <w:p>
      <w:pPr>
        <w:pStyle w:val="Defstart"/>
        <w:outlineLvl w:val="0"/>
      </w:pPr>
      <w:r>
        <w:tab/>
      </w:r>
      <w:r>
        <w:rPr>
          <w:rStyle w:val="CharDefText"/>
        </w:rPr>
        <w:t>Employer</w:t>
      </w:r>
      <w:r>
        <w:t xml:space="preserve"> means — </w:t>
      </w:r>
    </w:p>
    <w:p>
      <w:pPr>
        <w:pStyle w:val="Defpara"/>
      </w:pPr>
      <w:r>
        <w:tab/>
        <w:t>(a)</w:t>
      </w:r>
      <w:r>
        <w:tab/>
        <w:t>the Crown; or</w:t>
      </w:r>
    </w:p>
    <w:p>
      <w:pPr>
        <w:pStyle w:val="Defpara"/>
      </w:pPr>
      <w:r>
        <w:tab/>
        <w:t>(b)</w:t>
      </w:r>
      <w:r>
        <w:tab/>
        <w:t xml:space="preserve">the Government of </w:t>
      </w:r>
      <w:smartTag w:uri="urn:schemas-microsoft-com:office:smarttags" w:element="place">
        <w:smartTag w:uri="urn:schemas-microsoft-com:office:smarttags" w:element="State">
          <w:r>
            <w:t>Western Australia</w:t>
          </w:r>
        </w:smartTag>
      </w:smartTag>
      <w:r>
        <w:t>; or</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rStyle w:val="CharDefText"/>
        </w:rPr>
        <w:t>Fund</w:t>
      </w:r>
      <w:r>
        <w:t xml:space="preserve"> means the Government Employees Superannuation Fund under section 14;</w:t>
      </w:r>
    </w:p>
    <w:p>
      <w:pPr>
        <w:pStyle w:val="Defstart"/>
      </w:pPr>
      <w:r>
        <w:tab/>
      </w:r>
      <w:r>
        <w:rPr>
          <w:rStyle w:val="CharDefText"/>
        </w:rPr>
        <w:t>GES Act</w:t>
      </w:r>
      <w:r>
        <w:t xml:space="preserve"> means the </w:t>
      </w:r>
      <w:r>
        <w:rPr>
          <w:i/>
        </w:rPr>
        <w:t xml:space="preserve">Government Employees Superannuation Act 1987 </w:t>
      </w:r>
      <w:r>
        <w:t>as in force immediately before this Act came into operation;</w:t>
      </w:r>
    </w:p>
    <w:p>
      <w:pPr>
        <w:pStyle w:val="Defstart"/>
      </w:pPr>
      <w:r>
        <w:tab/>
      </w:r>
      <w:r>
        <w:rPr>
          <w:rStyle w:val="CharDefText"/>
        </w:rPr>
        <w:t>Member</w:t>
      </w:r>
      <w:r>
        <w:t xml:space="preserve"> means a member of a scheme;</w:t>
      </w:r>
    </w:p>
    <w:p>
      <w:pPr>
        <w:pStyle w:val="Defstart"/>
      </w:pPr>
      <w:r>
        <w:lastRenderedPageBreak/>
        <w:tab/>
      </w:r>
      <w:r>
        <w:rPr>
          <w:rStyle w:val="CharDefText"/>
        </w:rPr>
        <w:t>scheme</w:t>
      </w:r>
      <w:r>
        <w:t>, except in section 30, means a superannuation scheme established or continued under this Act;</w:t>
      </w:r>
    </w:p>
    <w:p>
      <w:pPr>
        <w:pStyle w:val="Defstart"/>
      </w:pPr>
      <w:r>
        <w:tab/>
      </w:r>
      <w:r>
        <w:rPr>
          <w:rStyle w:val="CharDefText"/>
        </w:rPr>
        <w:t>subsidiary</w:t>
      </w:r>
      <w:r>
        <w:t xml:space="preserve"> means a body determined under subsection (3) to be a subsidiary of the Board;</w:t>
      </w:r>
    </w:p>
    <w:p>
      <w:pPr>
        <w:pStyle w:val="Defstart"/>
      </w:pPr>
      <w:r>
        <w:tab/>
      </w:r>
      <w:r>
        <w:rPr>
          <w:rStyle w:val="CharDefText"/>
        </w:rPr>
        <w:t>Treasurer’s guidelines</w:t>
      </w:r>
      <w:r>
        <w:t xml:space="preserve"> means guidelines issued by the Treasurer under section 33(2).</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Subsection"/>
      </w:pPr>
      <w:r>
        <w:tab/>
        <w:t>(3)</w:t>
      </w:r>
      <w:r>
        <w:tab/>
        <w:t>Part 1.2 Division 6 of the Corporations Act applies for the purpose of determining whether a body is a subsidiary of the Board.</w:t>
      </w:r>
    </w:p>
    <w:p>
      <w:pPr>
        <w:pStyle w:val="Footnotesection"/>
      </w:pPr>
      <w:r>
        <w:tab/>
        <w:t>[Section 3 amended: No. 18 of 2006 s. 6; No. 25 of 2007 s. 5 and 19(2); No. 35 of 2011 s. 6 and 31.]</w:t>
      </w:r>
    </w:p>
    <w:p>
      <w:pPr>
        <w:pStyle w:val="Heading5"/>
      </w:pPr>
      <w:bookmarkStart w:id="16" w:name="_Toc408233427"/>
      <w:bookmarkStart w:id="17" w:name="_Toc146034136"/>
      <w:r>
        <w:rPr>
          <w:rStyle w:val="CharSectno"/>
        </w:rPr>
        <w:t>4</w:t>
      </w:r>
      <w:r>
        <w:t>.</w:t>
      </w:r>
      <w:r>
        <w:tab/>
        <w:t>Act binds Crown</w:t>
      </w:r>
      <w:bookmarkEnd w:id="16"/>
      <w:bookmarkEnd w:id="17"/>
    </w:p>
    <w:p>
      <w:pPr>
        <w:pStyle w:val="Subsection"/>
      </w:pPr>
      <w:r>
        <w:tab/>
      </w:r>
      <w:r>
        <w:tab/>
        <w:t>This Act binds the Crown.</w:t>
      </w:r>
    </w:p>
    <w:p>
      <w:pPr>
        <w:pStyle w:val="Heading2"/>
      </w:pPr>
      <w:bookmarkStart w:id="18" w:name="_Toc392508116"/>
      <w:bookmarkStart w:id="19" w:name="_Toc397337768"/>
      <w:bookmarkStart w:id="20" w:name="_Toc397954809"/>
      <w:bookmarkStart w:id="21" w:name="_Toc408233428"/>
      <w:bookmarkStart w:id="22" w:name="_Toc424548207"/>
      <w:bookmarkStart w:id="23" w:name="_Toc434856152"/>
      <w:bookmarkStart w:id="24" w:name="_Toc146034137"/>
      <w:r>
        <w:rPr>
          <w:rStyle w:val="CharPartNo"/>
        </w:rPr>
        <w:lastRenderedPageBreak/>
        <w:t>Part 2A</w:t>
      </w:r>
      <w:r>
        <w:rPr>
          <w:rStyle w:val="CharDivNo"/>
        </w:rPr>
        <w:t> </w:t>
      </w:r>
      <w:r>
        <w:t>—</w:t>
      </w:r>
      <w:r>
        <w:rPr>
          <w:rStyle w:val="CharDivText"/>
        </w:rPr>
        <w:t> </w:t>
      </w:r>
      <w:r>
        <w:rPr>
          <w:rStyle w:val="CharPartText"/>
        </w:rPr>
        <w:t>Employer contribution obligation</w:t>
      </w:r>
      <w:bookmarkEnd w:id="18"/>
      <w:bookmarkEnd w:id="19"/>
      <w:bookmarkEnd w:id="20"/>
      <w:bookmarkEnd w:id="21"/>
      <w:bookmarkEnd w:id="22"/>
      <w:bookmarkEnd w:id="23"/>
      <w:bookmarkEnd w:id="24"/>
    </w:p>
    <w:p>
      <w:pPr>
        <w:pStyle w:val="Footnoteheading"/>
      </w:pPr>
      <w:r>
        <w:tab/>
        <w:t>[Heading inserted: No. 35 of 2011 s. 50.]</w:t>
      </w:r>
    </w:p>
    <w:p>
      <w:pPr>
        <w:pStyle w:val="Heading5"/>
      </w:pPr>
      <w:bookmarkStart w:id="25" w:name="_Toc408233429"/>
      <w:bookmarkStart w:id="26" w:name="_Toc146034138"/>
      <w:r>
        <w:rPr>
          <w:rStyle w:val="CharSectno"/>
        </w:rPr>
        <w:t>4A</w:t>
      </w:r>
      <w:r>
        <w:t>.</w:t>
      </w:r>
      <w:r>
        <w:tab/>
        <w:t>Terms used</w:t>
      </w:r>
      <w:bookmarkEnd w:id="25"/>
      <w:bookmarkEnd w:id="26"/>
    </w:p>
    <w:p>
      <w:pPr>
        <w:pStyle w:val="Subsection"/>
      </w:pPr>
      <w:r>
        <w:tab/>
        <w:t>(1)</w:t>
      </w:r>
      <w:r>
        <w:tab/>
        <w:t>In this Part —</w:t>
      </w:r>
    </w:p>
    <w:p>
      <w:pPr>
        <w:pStyle w:val="Defstart"/>
      </w:pPr>
      <w:r>
        <w:tab/>
      </w:r>
      <w:r>
        <w:rPr>
          <w:rStyle w:val="CharDefText"/>
        </w:rPr>
        <w:t>chosen fund</w:t>
      </w:r>
      <w:r>
        <w:t xml:space="preserve"> means a fund chosen by an employee in accordance with the SGA Act Part 3A Division 4;</w:t>
      </w:r>
    </w:p>
    <w:p>
      <w:pPr>
        <w:pStyle w:val="Defstart"/>
      </w:pPr>
      <w:r>
        <w:tab/>
      </w:r>
      <w:r>
        <w:rPr>
          <w:rStyle w:val="CharDefText"/>
        </w:rPr>
        <w:t>default fund</w:t>
      </w:r>
      <w:r>
        <w:t xml:space="preserve"> means — </w:t>
      </w:r>
    </w:p>
    <w:p>
      <w:pPr>
        <w:pStyle w:val="Defpara"/>
      </w:pPr>
      <w:r>
        <w:tab/>
        <w:t>(a)</w:t>
      </w:r>
      <w:r>
        <w:tab/>
        <w:t>in relation to an employee who is not an exempt employee, a fund prescribed by the regulations as the default fund for that employee; and</w:t>
      </w:r>
    </w:p>
    <w:p>
      <w:pPr>
        <w:pStyle w:val="Defpara"/>
      </w:pPr>
      <w:r>
        <w:tab/>
        <w:t>(b)</w:t>
      </w:r>
      <w:r>
        <w:tab/>
        <w:t>in relation to an exempt employee, a fund named by the Employer of that employee, with the approval of the Treasurer, as the default fund for that employee;</w:t>
      </w:r>
    </w:p>
    <w:p>
      <w:pPr>
        <w:pStyle w:val="Defstart"/>
      </w:pPr>
      <w:r>
        <w:tab/>
      </w:r>
      <w:r>
        <w:rPr>
          <w:rStyle w:val="CharDefText"/>
        </w:rPr>
        <w:t>employee</w:t>
      </w:r>
      <w:r>
        <w:t xml:space="preserve"> has the meaning given in the SGA Act section 12;</w:t>
      </w:r>
    </w:p>
    <w:p>
      <w:pPr>
        <w:pStyle w:val="Defstart"/>
      </w:pPr>
      <w:r>
        <w:tab/>
      </w:r>
      <w:r>
        <w:rPr>
          <w:rStyle w:val="CharDefText"/>
        </w:rPr>
        <w:t>exempt employee</w:t>
      </w:r>
      <w:r>
        <w:t xml:space="preserve"> means an employee for whom an Employer, in accordance with section 30(1) or (2), makes or may make superannuation contributions to a fund that is not a scheme under this Act;</w:t>
      </w:r>
    </w:p>
    <w:p>
      <w:pPr>
        <w:pStyle w:val="Defstart"/>
      </w:pPr>
      <w:r>
        <w:tab/>
      </w:r>
      <w:r>
        <w:rPr>
          <w:rStyle w:val="CharDefText"/>
        </w:rPr>
        <w:t>fund</w:t>
      </w:r>
      <w:r>
        <w:t xml:space="preserve"> has the meaning given in the SGA Act section 32E;</w:t>
      </w:r>
    </w:p>
    <w:p>
      <w:pPr>
        <w:pStyle w:val="Defstart"/>
      </w:pPr>
      <w:r>
        <w:tab/>
      </w:r>
      <w:r>
        <w:rPr>
          <w:rStyle w:val="CharDefText"/>
        </w:rPr>
        <w:t>individual superannuation guarantee shortfall</w:t>
      </w:r>
      <w:r>
        <w:t xml:space="preserve"> has the meaning given in the SGA Act section 19;</w:t>
      </w:r>
    </w:p>
    <w:p>
      <w:pPr>
        <w:pStyle w:val="Defstart"/>
      </w:pPr>
      <w:r>
        <w:tab/>
      </w:r>
      <w:r>
        <w:rPr>
          <w:rStyle w:val="CharDefText"/>
        </w:rPr>
        <w:t>SGA Act</w:t>
      </w:r>
      <w:r>
        <w:t xml:space="preserve"> means the </w:t>
      </w:r>
      <w:r>
        <w:rPr>
          <w:i/>
          <w:iCs/>
        </w:rPr>
        <w:t xml:space="preserve">Superannuation Guarantee (Administration) Act 1992 </w:t>
      </w:r>
      <w:r>
        <w:t>(Commonwealth);</w:t>
      </w:r>
    </w:p>
    <w:p>
      <w:pPr>
        <w:pStyle w:val="Defstart"/>
      </w:pPr>
      <w:r>
        <w:tab/>
      </w:r>
      <w:r>
        <w:rPr>
          <w:rStyle w:val="CharDefText"/>
        </w:rPr>
        <w:t>superannuation guarantee charge</w:t>
      </w:r>
      <w:r>
        <w:t xml:space="preserve"> means the charge imposed by the </w:t>
      </w:r>
      <w:r>
        <w:rPr>
          <w:i/>
          <w:iCs/>
        </w:rPr>
        <w:t xml:space="preserve">Superannuation Guarantee Charge Act 1992 </w:t>
      </w:r>
      <w:r>
        <w:t>(Commonwealth).</w:t>
      </w:r>
    </w:p>
    <w:p>
      <w:pPr>
        <w:pStyle w:val="Subsection"/>
      </w:pPr>
      <w:r>
        <w:tab/>
        <w:t>(2)</w:t>
      </w:r>
      <w:r>
        <w:tab/>
        <w:t>For the purposes of this Part an employee is to be regarded as an employee of the person or body prescribed by the regulations for that employee.</w:t>
      </w:r>
    </w:p>
    <w:p>
      <w:pPr>
        <w:pStyle w:val="Footnotesection"/>
      </w:pPr>
      <w:r>
        <w:tab/>
        <w:t>[Section 4A inserted: No. 35 of 2011 s. 50.]</w:t>
      </w:r>
    </w:p>
    <w:p>
      <w:pPr>
        <w:pStyle w:val="Heading5"/>
      </w:pPr>
      <w:bookmarkStart w:id="27" w:name="_Toc408233430"/>
      <w:bookmarkStart w:id="28" w:name="_Toc146034139"/>
      <w:r>
        <w:rPr>
          <w:rStyle w:val="CharSectno"/>
        </w:rPr>
        <w:lastRenderedPageBreak/>
        <w:t>4B</w:t>
      </w:r>
      <w:r>
        <w:t>.</w:t>
      </w:r>
      <w:r>
        <w:tab/>
        <w:t>Employer contributions, duty to make etc.</w:t>
      </w:r>
      <w:bookmarkEnd w:id="27"/>
      <w:bookmarkEnd w:id="28"/>
    </w:p>
    <w:p>
      <w:pPr>
        <w:pStyle w:val="Subsection"/>
      </w:pPr>
      <w:r>
        <w:tab/>
        <w:t>(1)</w:t>
      </w:r>
      <w:r>
        <w:tab/>
        <w:t>An Employer must make superannuation contributions such that the Employer will avoid incurring an individual superannuation guarantee shortfall for any of its employees.</w:t>
      </w:r>
    </w:p>
    <w:p>
      <w:pPr>
        <w:pStyle w:val="Subsection"/>
      </w:pPr>
      <w:r>
        <w:tab/>
        <w:t>(2)</w:t>
      </w:r>
      <w:r>
        <w:tab/>
        <w:t>Where subsection (1) requires an Employer to make contributions for an employee, the Employer must pay the contributions to —</w:t>
      </w:r>
    </w:p>
    <w:p>
      <w:pPr>
        <w:pStyle w:val="Indenta"/>
      </w:pPr>
      <w:r>
        <w:tab/>
        <w:t>(a)</w:t>
      </w:r>
      <w:r>
        <w:tab/>
        <w:t>a chosen fund for the employee; or</w:t>
      </w:r>
    </w:p>
    <w:p>
      <w:pPr>
        <w:pStyle w:val="Indenta"/>
      </w:pPr>
      <w:r>
        <w:tab/>
        <w:t>(b)</w:t>
      </w:r>
      <w:r>
        <w:tab/>
        <w:t>if at the time the contribution is paid there is no chosen fund for the employee, the default fund.</w:t>
      </w:r>
    </w:p>
    <w:p>
      <w:pPr>
        <w:pStyle w:val="Subsection"/>
      </w:pPr>
      <w:r>
        <w:tab/>
        <w:t>(3)</w:t>
      </w:r>
      <w:r>
        <w:tab/>
        <w:t>Except as prescribed in the regulations, an Employer must comply with the requirements of the SGA Act Part 3A Division 6, even if it is not required by that Act to do so.</w:t>
      </w:r>
    </w:p>
    <w:p>
      <w:pPr>
        <w:pStyle w:val="Subsection"/>
      </w:pPr>
      <w:r>
        <w:tab/>
        <w:t>(4)</w:t>
      </w:r>
      <w:r>
        <w:tab/>
        <w:t>If an Employer becomes liable to pay the superannuation guarantee charge as a result of incurring an individual superannuation guarantee shortfall for an employee for a period, the Employer has no obligation under subsection (1) to make contributions in respect of that employee for that period.</w:t>
      </w:r>
    </w:p>
    <w:p>
      <w:pPr>
        <w:pStyle w:val="Subsection"/>
      </w:pPr>
      <w:r>
        <w:tab/>
        <w:t>(5)</w:t>
      </w:r>
      <w:r>
        <w:tab/>
        <w:t>This section does not apply in relation to an employee who is in a class of employees prescribed by the regulations.</w:t>
      </w:r>
    </w:p>
    <w:p>
      <w:pPr>
        <w:pStyle w:val="Footnotesection"/>
      </w:pPr>
      <w:r>
        <w:tab/>
        <w:t>[Section 4B inserted: No. 35 of 2011 s. 50.]</w:t>
      </w:r>
    </w:p>
    <w:p>
      <w:pPr>
        <w:pStyle w:val="Heading5"/>
      </w:pPr>
      <w:bookmarkStart w:id="29" w:name="_Toc408233431"/>
      <w:bookmarkStart w:id="30" w:name="_Toc146034140"/>
      <w:r>
        <w:rPr>
          <w:rStyle w:val="CharSectno"/>
        </w:rPr>
        <w:t>4C</w:t>
      </w:r>
      <w:r>
        <w:t>.</w:t>
      </w:r>
      <w:r>
        <w:tab/>
        <w:t>Regulations may require extra contributions</w:t>
      </w:r>
      <w:bookmarkEnd w:id="29"/>
      <w:bookmarkEnd w:id="30"/>
    </w:p>
    <w:p>
      <w:pPr>
        <w:pStyle w:val="Subsection"/>
      </w:pPr>
      <w:r>
        <w:tab/>
        <w:t>(1)</w:t>
      </w:r>
      <w:r>
        <w:tab/>
        <w:t>Subject to subsection (2), the regulations may require an Employer to make superannuation contributions which exceed any contributions the Employer is required to make under section 4B or any other written law.</w:t>
      </w:r>
    </w:p>
    <w:p>
      <w:pPr>
        <w:pStyle w:val="Subsection"/>
      </w:pPr>
      <w:r>
        <w:tab/>
        <w:t>(2)</w:t>
      </w:r>
      <w:r>
        <w:tab/>
        <w:t xml:space="preserve">Regulations which require an Employer to make contributions to a fund must either — </w:t>
      </w:r>
    </w:p>
    <w:p>
      <w:pPr>
        <w:pStyle w:val="Indenta"/>
      </w:pPr>
      <w:r>
        <w:tab/>
        <w:t>(a)</w:t>
      </w:r>
      <w:r>
        <w:tab/>
        <w:t>specify the amount or rate of contributions to be made; or</w:t>
      </w:r>
    </w:p>
    <w:p>
      <w:pPr>
        <w:pStyle w:val="Indenta"/>
      </w:pPr>
      <w:r>
        <w:lastRenderedPageBreak/>
        <w:tab/>
        <w:t>(b)</w:t>
      </w:r>
      <w:r>
        <w:tab/>
        <w:t>specify the way in which the amount or rate of contributions is to be determined, in which case the regulations must provide that the determination of the rate or amount of contributions is to be subject to the approval of the Treasurer.</w:t>
      </w:r>
    </w:p>
    <w:p>
      <w:pPr>
        <w:pStyle w:val="Footnotesection"/>
      </w:pPr>
      <w:r>
        <w:tab/>
        <w:t>[Section 4C inserted: No. 35 of 2011 s. 50.]</w:t>
      </w:r>
    </w:p>
    <w:p>
      <w:pPr>
        <w:pStyle w:val="Ednotepart"/>
      </w:pPr>
      <w:r>
        <w:t>[Heading deleted: No. 35 of 2011 s. 7.]</w:t>
      </w:r>
    </w:p>
    <w:p>
      <w:pPr>
        <w:pStyle w:val="Ednotepart"/>
      </w:pPr>
      <w:r>
        <w:t>[Division 1 (s. 4E) deleted: No. 35 of 2011 s. 8.]</w:t>
      </w:r>
    </w:p>
    <w:p>
      <w:pPr>
        <w:pStyle w:val="Heading2"/>
      </w:pPr>
      <w:bookmarkStart w:id="31" w:name="_Toc392508120"/>
      <w:bookmarkStart w:id="32" w:name="_Toc397337772"/>
      <w:bookmarkStart w:id="33" w:name="_Toc397954813"/>
      <w:bookmarkStart w:id="34" w:name="_Toc408233432"/>
      <w:bookmarkStart w:id="35" w:name="_Toc424548211"/>
      <w:bookmarkStart w:id="36" w:name="_Toc434856156"/>
      <w:bookmarkStart w:id="37" w:name="_Toc146034141"/>
      <w:r>
        <w:rPr>
          <w:rStyle w:val="CharPartNo"/>
        </w:rPr>
        <w:lastRenderedPageBreak/>
        <w:t>Part 2</w:t>
      </w:r>
      <w:r>
        <w:rPr>
          <w:rStyle w:val="CharDivNo"/>
        </w:rPr>
        <w:t> </w:t>
      </w:r>
      <w:r>
        <w:t>—</w:t>
      </w:r>
      <w:r>
        <w:rPr>
          <w:rStyle w:val="CharDivText"/>
        </w:rPr>
        <w:t> </w:t>
      </w:r>
      <w:r>
        <w:rPr>
          <w:rStyle w:val="CharPartText"/>
        </w:rPr>
        <w:t>Government Employees Superannuation Board</w:t>
      </w:r>
      <w:bookmarkEnd w:id="31"/>
      <w:bookmarkEnd w:id="32"/>
      <w:bookmarkEnd w:id="33"/>
      <w:bookmarkEnd w:id="34"/>
      <w:bookmarkEnd w:id="35"/>
      <w:bookmarkEnd w:id="36"/>
      <w:bookmarkEnd w:id="37"/>
    </w:p>
    <w:p>
      <w:pPr>
        <w:pStyle w:val="Footnoteheading"/>
      </w:pPr>
      <w:r>
        <w:tab/>
        <w:t>[Heading inserted: No. 35 of 2011 s. 9.]</w:t>
      </w:r>
    </w:p>
    <w:p>
      <w:pPr>
        <w:pStyle w:val="Heading5"/>
      </w:pPr>
      <w:bookmarkStart w:id="38" w:name="_Toc408233433"/>
      <w:bookmarkStart w:id="39" w:name="_Toc146034142"/>
      <w:r>
        <w:rPr>
          <w:rStyle w:val="CharSectno"/>
        </w:rPr>
        <w:t>5</w:t>
      </w:r>
      <w:r>
        <w:t>.</w:t>
      </w:r>
      <w:r>
        <w:tab/>
        <w:t>Board established and nature of</w:t>
      </w:r>
      <w:bookmarkEnd w:id="38"/>
      <w:bookmarkEnd w:id="39"/>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40" w:name="_Toc408233434"/>
      <w:bookmarkStart w:id="41" w:name="_Toc146034143"/>
      <w:r>
        <w:rPr>
          <w:rStyle w:val="CharSectno"/>
        </w:rPr>
        <w:t>6</w:t>
      </w:r>
      <w:r>
        <w:t>.</w:t>
      </w:r>
      <w:r>
        <w:tab/>
        <w:t>Functions</w:t>
      </w:r>
      <w:bookmarkEnd w:id="40"/>
      <w:bookmarkEnd w:id="41"/>
    </w:p>
    <w:p>
      <w:pPr>
        <w:pStyle w:val="Subsection"/>
      </w:pPr>
      <w:r>
        <w:tab/>
        <w:t>(1)</w:t>
      </w:r>
      <w:r>
        <w:tab/>
        <w:t>The functions of the Board are to —</w:t>
      </w:r>
    </w:p>
    <w:p>
      <w:pPr>
        <w:pStyle w:val="Ednotepara"/>
        <w:spacing w:before="80"/>
        <w:ind w:left="1610" w:hanging="1610"/>
      </w:pPr>
      <w:r>
        <w:tab/>
        <w:t>[(a)</w:t>
      </w:r>
      <w:r>
        <w:tab/>
        <w:t>deleted]</w:t>
      </w:r>
    </w:p>
    <w:p>
      <w:pPr>
        <w:pStyle w:val="Indenta"/>
      </w:pPr>
      <w:r>
        <w:tab/>
        <w:t>(ba)</w:t>
      </w:r>
      <w:r>
        <w:tab/>
        <w:t xml:space="preserve">if so agreed with the Treasurer, provide a service of receiving superannuation contributions paid by Employers and — </w:t>
      </w:r>
    </w:p>
    <w:p>
      <w:pPr>
        <w:pStyle w:val="Indenti"/>
      </w:pPr>
      <w:r>
        <w:tab/>
        <w:t>(i)</w:t>
      </w:r>
      <w:r>
        <w:tab/>
        <w:t xml:space="preserve">crediting them to the Fund; or </w:t>
      </w:r>
    </w:p>
    <w:p>
      <w:pPr>
        <w:pStyle w:val="Indenti"/>
      </w:pPr>
      <w:r>
        <w:tab/>
        <w:t>(ii)</w:t>
      </w:r>
      <w:r>
        <w:tab/>
        <w:t>remitting them on behalf of the Employers to other funds,</w:t>
      </w:r>
    </w:p>
    <w:p>
      <w:pPr>
        <w:pStyle w:val="Indenta"/>
      </w:pPr>
      <w:r>
        <w:tab/>
      </w:r>
      <w:r>
        <w:tab/>
        <w:t>in accordance with Part 2A; and</w:t>
      </w:r>
    </w:p>
    <w:p>
      <w:pPr>
        <w:pStyle w:val="Indenta"/>
      </w:pPr>
      <w:r>
        <w:tab/>
        <w:t>(b)</w:t>
      </w:r>
      <w:r>
        <w:tab/>
        <w:t xml:space="preserve">manage the Fund; and </w:t>
      </w:r>
    </w:p>
    <w:p>
      <w:pPr>
        <w:pStyle w:val="Indenta"/>
      </w:pPr>
      <w:r>
        <w:tab/>
        <w:t>(c)</w:t>
      </w:r>
      <w:r>
        <w:tab/>
        <w:t>administer the schemes or, in accordance with any relevant Treasurer’s guidelines, select and appoint external administrators of the schemes and monitor their administration; and</w:t>
      </w:r>
    </w:p>
    <w:p>
      <w:pPr>
        <w:pStyle w:val="Indenta"/>
      </w:pPr>
      <w:r>
        <w:lastRenderedPageBreak/>
        <w:tab/>
        <w:t>(d)</w:t>
      </w:r>
      <w:r>
        <w:tab/>
        <w:t xml:space="preserve">provide information, advice and assistance to the Treasurer on matters relating to superannuation; and </w:t>
      </w:r>
    </w:p>
    <w:p>
      <w:pPr>
        <w:pStyle w:val="Indenta"/>
      </w:pPr>
      <w:r>
        <w:tab/>
        <w:t>(ea)</w:t>
      </w:r>
      <w:r>
        <w:tab/>
        <w:t>so far as practicable, provide information to Members regarding their rights and entitlements under the schemes; and</w:t>
      </w:r>
    </w:p>
    <w:p>
      <w:pPr>
        <w:pStyle w:val="Indenta"/>
      </w:pPr>
      <w:r>
        <w:tab/>
        <w:t>(e)</w:t>
      </w:r>
      <w:r>
        <w:tab/>
        <w:t xml:space="preserve">provide, or facilitate the provision of, products and services to — </w:t>
      </w:r>
    </w:p>
    <w:p>
      <w:pPr>
        <w:pStyle w:val="Indenti"/>
      </w:pPr>
      <w:r>
        <w:tab/>
        <w:t>(i)</w:t>
      </w:r>
      <w:r>
        <w:tab/>
        <w:t>members of the schemes; and</w:t>
      </w:r>
    </w:p>
    <w:p>
      <w:pPr>
        <w:pStyle w:val="Indenti"/>
      </w:pPr>
      <w:r>
        <w:tab/>
        <w:t>(ii)</w:t>
      </w:r>
      <w:r>
        <w:tab/>
        <w:t>Employers;</w:t>
      </w:r>
    </w:p>
    <w:p>
      <w:pPr>
        <w:pStyle w:val="Indenta"/>
      </w:pPr>
      <w:r>
        <w:tab/>
      </w:r>
      <w:r>
        <w:tab/>
        <w:t>and</w:t>
      </w:r>
    </w:p>
    <w:p>
      <w:pPr>
        <w:pStyle w:val="Indenta"/>
      </w:pPr>
      <w:r>
        <w:tab/>
        <w:t>(f)</w:t>
      </w:r>
      <w:r>
        <w:tab/>
        <w:t>perform any other functions conferred under this Act or any other written law.</w:t>
      </w:r>
    </w:p>
    <w:p>
      <w:pPr>
        <w:pStyle w:val="Subsection"/>
        <w:keepNext/>
      </w:pPr>
      <w:r>
        <w:tab/>
        <w:t>(2)</w:t>
      </w:r>
      <w:r>
        <w:tab/>
        <w:t>In carrying out its functions the Board is to, as far as practicable — </w:t>
      </w:r>
    </w:p>
    <w:p>
      <w:pPr>
        <w:pStyle w:val="Indenta"/>
      </w:pPr>
      <w:r>
        <w:tab/>
        <w:t>(a)</w:t>
      </w:r>
      <w:r>
        <w:tab/>
        <w:t>act in the best interests of Members; and</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 No. 18 of 2006 s. 7; No. 25 of 2007 s. 6(5) and 19(1); No. 35 of 2011 s. 10, 32, 40 and 51.]</w:t>
      </w:r>
    </w:p>
    <w:p>
      <w:pPr>
        <w:pStyle w:val="Heading5"/>
        <w:rPr>
          <w:snapToGrid w:val="0"/>
        </w:rPr>
      </w:pPr>
      <w:bookmarkStart w:id="42" w:name="_Toc408233435"/>
      <w:bookmarkStart w:id="43" w:name="_Toc146034144"/>
      <w:r>
        <w:rPr>
          <w:rStyle w:val="CharSectno"/>
        </w:rPr>
        <w:t>7</w:t>
      </w:r>
      <w:r>
        <w:rPr>
          <w:snapToGrid w:val="0"/>
        </w:rPr>
        <w:t>.</w:t>
      </w:r>
      <w:r>
        <w:rPr>
          <w:snapToGrid w:val="0"/>
        </w:rPr>
        <w:tab/>
        <w:t>Powers</w:t>
      </w:r>
      <w:bookmarkEnd w:id="42"/>
      <w:bookmarkEnd w:id="43"/>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keepNext/>
        <w:rPr>
          <w:snapToGrid w:val="0"/>
        </w:rPr>
      </w:pPr>
      <w:r>
        <w:rPr>
          <w:snapToGrid w:val="0"/>
        </w:rPr>
        <w:lastRenderedPageBreak/>
        <w:tab/>
        <w:t>(2)</w:t>
      </w:r>
      <w:r>
        <w:rPr>
          <w:snapToGrid w:val="0"/>
        </w:rPr>
        <w:tab/>
        <w:t>Without limiting subsection (1), the Board may —</w:t>
      </w:r>
    </w:p>
    <w:p>
      <w:pPr>
        <w:pStyle w:val="Indenta"/>
        <w:spacing w:before="60"/>
      </w:pPr>
      <w:r>
        <w:rPr>
          <w:snapToGrid w:val="0"/>
        </w:rPr>
        <w:tab/>
        <w:t>(a)</w:t>
      </w:r>
      <w:r>
        <w:rPr>
          <w:snapToGrid w:val="0"/>
        </w:rPr>
        <w:tab/>
      </w:r>
      <w:r>
        <w:t>acquire, hold, deal with and dispose of property of any sort; and</w:t>
      </w:r>
    </w:p>
    <w:p>
      <w:pPr>
        <w:pStyle w:val="Indenta"/>
        <w:spacing w:before="60"/>
        <w:rPr>
          <w:snapToGrid w:val="0"/>
        </w:rPr>
      </w:pPr>
      <w:r>
        <w:rPr>
          <w:snapToGrid w:val="0"/>
        </w:rPr>
        <w:tab/>
        <w:t>(b)</w:t>
      </w:r>
      <w:r>
        <w:rPr>
          <w:snapToGrid w:val="0"/>
        </w:rPr>
        <w:tab/>
      </w:r>
      <w:r>
        <w:t xml:space="preserve">in accordance with any relevant Treasurer’s guidelines, enter into a </w:t>
      </w:r>
      <w:r>
        <w:rPr>
          <w:snapToGrid w:val="0"/>
        </w:rPr>
        <w:t>contract or arrangement with any person under which that person is to —</w:t>
      </w:r>
    </w:p>
    <w:p>
      <w:pPr>
        <w:pStyle w:val="Indenti"/>
        <w:spacing w:before="60"/>
      </w:pPr>
      <w:r>
        <w:rPr>
          <w:snapToGrid w:val="0"/>
        </w:rPr>
        <w:tab/>
        <w:t>(i)</w:t>
      </w:r>
      <w:r>
        <w:rPr>
          <w:snapToGrid w:val="0"/>
        </w:rPr>
        <w:tab/>
        <w:t>provide professional, technical or other assistance to the Board; or</w:t>
      </w:r>
    </w:p>
    <w:p>
      <w:pPr>
        <w:pStyle w:val="Indenti"/>
        <w:keepNext/>
        <w:spacing w:before="60"/>
        <w:rPr>
          <w:snapToGrid w:val="0"/>
        </w:rPr>
      </w:pPr>
      <w:r>
        <w:rPr>
          <w:snapToGrid w:val="0"/>
        </w:rPr>
        <w:tab/>
        <w:t>(ii)</w:t>
      </w:r>
      <w:r>
        <w:rPr>
          <w:snapToGrid w:val="0"/>
        </w:rPr>
        <w:tab/>
        <w:t>do for the Board anything that the Board could do,</w:t>
      </w:r>
    </w:p>
    <w:p>
      <w:pPr>
        <w:pStyle w:val="Indenta"/>
        <w:spacing w:before="60"/>
      </w:pPr>
      <w:r>
        <w:rPr>
          <w:snapToGrid w:val="0"/>
        </w:rPr>
        <w:tab/>
      </w:r>
      <w:r>
        <w:rPr>
          <w:snapToGrid w:val="0"/>
        </w:rPr>
        <w:tab/>
        <w:t xml:space="preserve">and </w:t>
      </w:r>
      <w:r>
        <w:t>pay out of the Fund fees charged by the person in accordance with the contract or arrangement; and</w:t>
      </w:r>
    </w:p>
    <w:p>
      <w:pPr>
        <w:pStyle w:val="Indenta"/>
        <w:spacing w:before="60"/>
        <w:rPr>
          <w:snapToGrid w:val="0"/>
        </w:rPr>
      </w:pPr>
      <w:r>
        <w:rPr>
          <w:snapToGrid w:val="0"/>
        </w:rPr>
        <w:tab/>
        <w:t>(c)</w:t>
      </w:r>
      <w:r>
        <w:rPr>
          <w:snapToGrid w:val="0"/>
        </w:rPr>
        <w:tab/>
      </w:r>
      <w:r>
        <w:t xml:space="preserve">in accordance with any relevant Treasurer’s guidelines, 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spacing w:before="60"/>
      </w:pPr>
      <w:r>
        <w:tab/>
        <w:t>(ca)</w:t>
      </w:r>
      <w:r>
        <w:tab/>
        <w:t>subject to section 7A, form or acquire a subsidiary; and</w:t>
      </w:r>
    </w:p>
    <w:p>
      <w:pPr>
        <w:pStyle w:val="Indenta"/>
        <w:spacing w:before="60"/>
      </w:pPr>
      <w:r>
        <w:rPr>
          <w:snapToGrid w:val="0"/>
        </w:rPr>
        <w:tab/>
        <w:t>(d)</w:t>
      </w:r>
      <w:r>
        <w:rPr>
          <w:snapToGrid w:val="0"/>
        </w:rPr>
        <w:tab/>
      </w:r>
      <w:r>
        <w:t>promote and market the Board, its activities, products and services; and</w:t>
      </w:r>
    </w:p>
    <w:p>
      <w:pPr>
        <w:pStyle w:val="Indenta"/>
        <w:spacing w:before="60"/>
        <w:rPr>
          <w:snapToGrid w:val="0"/>
        </w:rPr>
      </w:pPr>
      <w:r>
        <w:rPr>
          <w:snapToGrid w:val="0"/>
        </w:rPr>
        <w:tab/>
        <w:t>(e)</w:t>
      </w:r>
      <w:r>
        <w:rPr>
          <w:snapToGrid w:val="0"/>
        </w:rPr>
        <w:tab/>
        <w:t xml:space="preserve">conduct research; </w:t>
      </w:r>
      <w:r>
        <w:t>and</w:t>
      </w:r>
    </w:p>
    <w:p>
      <w:pPr>
        <w:pStyle w:val="Indenta"/>
        <w:spacing w:before="60"/>
        <w:rPr>
          <w:snapToGrid w:val="0"/>
        </w:rPr>
      </w:pPr>
      <w:r>
        <w:rPr>
          <w:snapToGrid w:val="0"/>
        </w:rPr>
        <w:tab/>
        <w:t>(f)</w:t>
      </w:r>
      <w:r>
        <w:rPr>
          <w:snapToGrid w:val="0"/>
        </w:rPr>
        <w:tab/>
        <w:t>produce and publish information; and</w:t>
      </w:r>
    </w:p>
    <w:p>
      <w:pPr>
        <w:pStyle w:val="Indenta"/>
        <w:spacing w:before="60"/>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 No. 18 of 2006 s. 8; No. 35 of 2011 s. 41.]</w:t>
      </w:r>
    </w:p>
    <w:p>
      <w:pPr>
        <w:pStyle w:val="Heading5"/>
      </w:pPr>
      <w:bookmarkStart w:id="44" w:name="_Toc408233436"/>
      <w:bookmarkStart w:id="45" w:name="_Toc146034145"/>
      <w:r>
        <w:rPr>
          <w:rStyle w:val="CharSectno"/>
        </w:rPr>
        <w:t>7A</w:t>
      </w:r>
      <w:r>
        <w:t>.</w:t>
      </w:r>
      <w:r>
        <w:tab/>
        <w:t>Subsidiary, formation or acquisition of</w:t>
      </w:r>
      <w:bookmarkEnd w:id="44"/>
      <w:bookmarkEnd w:id="45"/>
    </w:p>
    <w:p>
      <w:pPr>
        <w:pStyle w:val="Subsection"/>
      </w:pPr>
      <w:r>
        <w:tab/>
        <w:t>(1)</w:t>
      </w:r>
      <w:r>
        <w:tab/>
        <w:t xml:space="preserve">The Board must obtain the approval of the </w:t>
      </w:r>
      <w:r>
        <w:rPr>
          <w:szCs w:val="24"/>
        </w:rPr>
        <w:t>Treasurer</w:t>
      </w:r>
      <w:r>
        <w:t xml:space="preserve"> before it forms or acquires a subsidiary.</w:t>
      </w:r>
    </w:p>
    <w:p>
      <w:pPr>
        <w:pStyle w:val="Ednotesubsection"/>
      </w:pPr>
      <w:r>
        <w:tab/>
        <w:t>[(2)</w:t>
      </w:r>
      <w:r>
        <w:tab/>
        <w:t>deleted]</w:t>
      </w:r>
    </w:p>
    <w:p>
      <w:pPr>
        <w:pStyle w:val="Subsection"/>
      </w:pPr>
      <w:r>
        <w:lastRenderedPageBreak/>
        <w:tab/>
        <w:t>(3)</w:t>
      </w:r>
      <w:r>
        <w:tab/>
        <w:t xml:space="preserve">When seeking approval under subsection (1) the Board must give to the </w:t>
      </w:r>
      <w:r>
        <w:rPr>
          <w:szCs w:val="24"/>
        </w:rPr>
        <w:t xml:space="preserve">Treasurer </w:t>
      </w:r>
      <w:r>
        <w:t>a copy of the subsidiary’s constitution or proposed constitution, as the case requires.</w:t>
      </w:r>
    </w:p>
    <w:p>
      <w:pPr>
        <w:pStyle w:val="Footnotesection"/>
      </w:pPr>
      <w:r>
        <w:tab/>
        <w:t>[Section 7A inserted: No. 18 of 2006 s. 9; amended: No. 35 of 2011 s. 31 and 33.]</w:t>
      </w:r>
    </w:p>
    <w:p>
      <w:pPr>
        <w:pStyle w:val="Heading5"/>
      </w:pPr>
      <w:bookmarkStart w:id="46" w:name="_Toc408233437"/>
      <w:bookmarkStart w:id="47" w:name="_Toc146034146"/>
      <w:r>
        <w:rPr>
          <w:rStyle w:val="CharSectno"/>
        </w:rPr>
        <w:t>7B</w:t>
      </w:r>
      <w:r>
        <w:t>.</w:t>
      </w:r>
      <w:r>
        <w:tab/>
        <w:t>Subsidiary, constitution of etc.</w:t>
      </w:r>
      <w:bookmarkEnd w:id="46"/>
      <w:bookmarkEnd w:id="47"/>
    </w:p>
    <w:p>
      <w:pPr>
        <w:pStyle w:val="Ednotesubsection"/>
      </w:pPr>
      <w:r>
        <w:tab/>
        <w:t>[(1)</w:t>
      </w:r>
      <w:r>
        <w:tab/>
        <w:t>deleted]</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makes it inconsistent with this Act.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The provisions of this Act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 xml:space="preserve">make the Board or the </w:t>
      </w:r>
      <w:r>
        <w:rPr>
          <w:szCs w:val="24"/>
        </w:rPr>
        <w:t>Treasurer</w:t>
      </w:r>
      <w:r>
        <w:t xml:space="preserve"> a director of a subsidiary for the purposes of the Corporations Act.</w:t>
      </w:r>
    </w:p>
    <w:p>
      <w:pPr>
        <w:pStyle w:val="Subsection"/>
        <w:keepNext/>
      </w:pPr>
      <w:r>
        <w:tab/>
        <w:t>(6)</w:t>
      </w:r>
      <w:r>
        <w:tab/>
        <w:t xml:space="preserve">Subsections (2) to (5) and Schedule 3 are declared to be Corporations legislation displacement provisions for the purposes of section 5G of the Corporations Act in relation to the </w:t>
      </w:r>
      <w:r>
        <w:lastRenderedPageBreak/>
        <w:t>Corporations legislation as defined in section 9 of the Corporations Act.</w:t>
      </w:r>
    </w:p>
    <w:p>
      <w:pPr>
        <w:pStyle w:val="Footnotesection"/>
      </w:pPr>
      <w:r>
        <w:tab/>
        <w:t>[Section 7B inserted: No. 18 of 2006 s. 9; amended: No. 25 of 2007 s. 6(5) and 7; No. 35 of 2011 s. 11 and 31.]</w:t>
      </w:r>
    </w:p>
    <w:p>
      <w:pPr>
        <w:pStyle w:val="Heading5"/>
      </w:pPr>
      <w:bookmarkStart w:id="48" w:name="_Toc408233438"/>
      <w:bookmarkStart w:id="49" w:name="_Toc146034147"/>
      <w:r>
        <w:rPr>
          <w:rStyle w:val="CharSectno"/>
        </w:rPr>
        <w:t>8</w:t>
      </w:r>
      <w:r>
        <w:t>.</w:t>
      </w:r>
      <w:r>
        <w:tab/>
        <w:t>Board, composition of etc. (Sch. 1)</w:t>
      </w:r>
      <w:bookmarkEnd w:id="48"/>
      <w:bookmarkEnd w:id="49"/>
    </w:p>
    <w:p>
      <w:pPr>
        <w:pStyle w:val="Subsection"/>
        <w:keepNext/>
      </w:pPr>
      <w:r>
        <w:tab/>
        <w:t>(1)</w:t>
      </w:r>
      <w:r>
        <w:tab/>
        <w:t>The Board comprises 7 directors of whom — </w:t>
      </w:r>
    </w:p>
    <w:p>
      <w:pPr>
        <w:pStyle w:val="Indenta"/>
        <w:spacing w:before="60"/>
      </w:pPr>
      <w:r>
        <w:tab/>
        <w:t>(a)</w:t>
      </w:r>
      <w:r>
        <w:tab/>
        <w:t xml:space="preserve">one is to be appointed by the Governor as chairman on the nomination of the </w:t>
      </w:r>
      <w:r>
        <w:rPr>
          <w:szCs w:val="24"/>
        </w:rPr>
        <w:t>Treasurer</w:t>
      </w:r>
      <w:r>
        <w:t>; and</w:t>
      </w:r>
    </w:p>
    <w:p>
      <w:pPr>
        <w:pStyle w:val="Indenta"/>
        <w:spacing w:before="60"/>
        <w:rPr>
          <w:shd w:val="clear" w:color="auto" w:fill="00FF00"/>
        </w:rPr>
      </w:pPr>
      <w:r>
        <w:tab/>
        <w:t>(b)</w:t>
      </w:r>
      <w:r>
        <w:tab/>
        <w:t xml:space="preserve">3 are to be appointed by the Governor as Employer directors; and </w:t>
      </w:r>
    </w:p>
    <w:p>
      <w:pPr>
        <w:pStyle w:val="Indenta"/>
        <w:spacing w:before="60"/>
      </w:pPr>
      <w:r>
        <w:tab/>
        <w:t>(c)</w:t>
      </w:r>
      <w:r>
        <w:tab/>
        <w:t xml:space="preserve">3 are to be elected in accordance with the regulations as Member directors. </w:t>
      </w:r>
    </w:p>
    <w:p>
      <w:pPr>
        <w:pStyle w:val="Subsection"/>
      </w:pPr>
      <w:r>
        <w:tab/>
        <w:t>(2)</w:t>
      </w:r>
      <w:r>
        <w:tab/>
        <w:t>Schedule 1 has effect.</w:t>
      </w:r>
    </w:p>
    <w:p>
      <w:pPr>
        <w:pStyle w:val="Footnotesection"/>
      </w:pPr>
      <w:r>
        <w:tab/>
        <w:t>[Section 8 amended: No. 25 of 2007 s. 19(1); No. 35 of 2011 s. 31.]</w:t>
      </w:r>
    </w:p>
    <w:p>
      <w:pPr>
        <w:pStyle w:val="Heading5"/>
      </w:pPr>
      <w:bookmarkStart w:id="50" w:name="_Toc408233439"/>
      <w:bookmarkStart w:id="51" w:name="_Toc146034148"/>
      <w:r>
        <w:rPr>
          <w:rStyle w:val="CharSectno"/>
        </w:rPr>
        <w:t>9</w:t>
      </w:r>
      <w:r>
        <w:t>.</w:t>
      </w:r>
      <w:r>
        <w:tab/>
        <w:t>Protection from personal liability</w:t>
      </w:r>
      <w:bookmarkEnd w:id="50"/>
      <w:bookmarkEnd w:id="51"/>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Act.</w:t>
      </w:r>
    </w:p>
    <w:p>
      <w:pPr>
        <w:pStyle w:val="Subsection"/>
      </w:pPr>
      <w:r>
        <w:tab/>
        <w:t>(2)</w:t>
      </w:r>
      <w:r>
        <w:tab/>
        <w:t>The protection given by this section applies even if the person would have been capable of doing the act if this Act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w:t>
      </w:r>
      <w:r>
        <w:lastRenderedPageBreak/>
        <w:t xml:space="preserve">investment was made in accordance with the investment strategy formulated under section 19(1). </w:t>
      </w:r>
    </w:p>
    <w:p>
      <w:pPr>
        <w:pStyle w:val="Footnotesection"/>
      </w:pPr>
      <w:r>
        <w:tab/>
        <w:t>[Section 9 amended: No. 25 of 2007 s. 6(5); No. 35 of 2011 s. 12.]</w:t>
      </w:r>
    </w:p>
    <w:p>
      <w:pPr>
        <w:pStyle w:val="Heading5"/>
      </w:pPr>
      <w:bookmarkStart w:id="52" w:name="_Toc408233440"/>
      <w:bookmarkStart w:id="53" w:name="_Toc146034149"/>
      <w:r>
        <w:rPr>
          <w:rStyle w:val="CharSectno"/>
        </w:rPr>
        <w:t>10</w:t>
      </w:r>
      <w:r>
        <w:t>.</w:t>
      </w:r>
      <w:r>
        <w:tab/>
        <w:t>Meetings and procedures (Sch. 2) and common seal</w:t>
      </w:r>
      <w:bookmarkEnd w:id="52"/>
      <w:bookmarkEnd w:id="53"/>
    </w:p>
    <w:p>
      <w:pPr>
        <w:pStyle w:val="Subsection"/>
      </w:pPr>
      <w:r>
        <w:tab/>
        <w:t>(1)</w:t>
      </w:r>
      <w:r>
        <w:tab/>
        <w:t>Schedule 2 has effect.</w:t>
      </w:r>
    </w:p>
    <w:p>
      <w:pPr>
        <w:pStyle w:val="Subsection"/>
      </w:pPr>
      <w:r>
        <w:tab/>
        <w:t>(2)</w:t>
      </w:r>
      <w:r>
        <w:tab/>
        <w:t xml:space="preserve">The common seal of the Board is to be — </w:t>
      </w:r>
    </w:p>
    <w:p>
      <w:pPr>
        <w:pStyle w:val="Indenta"/>
        <w:spacing w:before="60"/>
      </w:pPr>
      <w:r>
        <w:tab/>
        <w:t>(a)</w:t>
      </w:r>
      <w:r>
        <w:tab/>
        <w:t>in a form determined by the Board; and</w:t>
      </w:r>
    </w:p>
    <w:p>
      <w:pPr>
        <w:pStyle w:val="Indenta"/>
        <w:spacing w:before="60"/>
      </w:pPr>
      <w:r>
        <w:tab/>
        <w:t>(b)</w:t>
      </w:r>
      <w:r>
        <w:tab/>
        <w:t>kept in safe custody as the Board directs; and</w:t>
      </w:r>
    </w:p>
    <w:p>
      <w:pPr>
        <w:pStyle w:val="Indenta"/>
        <w:spacing w:before="60"/>
      </w:pPr>
      <w:r>
        <w:tab/>
        <w:t>(c)</w:t>
      </w:r>
      <w:r>
        <w:tab/>
        <w:t>used only as authorised by the Board.</w:t>
      </w:r>
    </w:p>
    <w:p>
      <w:pPr>
        <w:pStyle w:val="Footnotesection"/>
      </w:pPr>
      <w:r>
        <w:tab/>
        <w:t>[Section 10 amended: No. 25 of 2007 s. 19(1).]</w:t>
      </w:r>
    </w:p>
    <w:p>
      <w:pPr>
        <w:pStyle w:val="Heading5"/>
      </w:pPr>
      <w:bookmarkStart w:id="54" w:name="_Toc408233441"/>
      <w:bookmarkStart w:id="55" w:name="_Toc146034150"/>
      <w:r>
        <w:rPr>
          <w:rStyle w:val="CharSectno"/>
        </w:rPr>
        <w:t>11</w:t>
      </w:r>
      <w:r>
        <w:t>.</w:t>
      </w:r>
      <w:r>
        <w:tab/>
        <w:t>Staff</w:t>
      </w:r>
      <w:bookmarkEnd w:id="54"/>
      <w:bookmarkEnd w:id="55"/>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The Board may appoint or employ other persons on terms and conditions determined by the Board on the advice of the Public Sector Commissioner.</w:t>
      </w:r>
    </w:p>
    <w:p>
      <w:pPr>
        <w:pStyle w:val="Subsection"/>
      </w:pPr>
      <w:r>
        <w:tab/>
        <w:t>(3)</w:t>
      </w:r>
      <w:r>
        <w:tab/>
        <w:t xml:space="preserve">If the Board appoints an external administrator to conduct the administration of a scheme or schemes and in connection with that appointment the external administrator makes an offer of employment to a person appointed or employed by the Board under subsection (1) or (2) (a </w:t>
      </w:r>
      <w:r>
        <w:rPr>
          <w:rStyle w:val="CharDefText"/>
        </w:rPr>
        <w:t>Board officer</w:t>
      </w:r>
      <w:r>
        <w:t xml:space="preserve">), the Board may enter into an agreement with the Board officer on terms approved by the Public Sector Commissioner providing for — </w:t>
      </w:r>
    </w:p>
    <w:p>
      <w:pPr>
        <w:pStyle w:val="Indenta"/>
        <w:spacing w:before="60"/>
      </w:pPr>
      <w:r>
        <w:tab/>
        <w:t>(a)</w:t>
      </w:r>
      <w:r>
        <w:tab/>
        <w:t xml:space="preserve">in the case of a Board officer who is a permanent public service officer appointed or employed under subsection (1) — </w:t>
      </w:r>
    </w:p>
    <w:p>
      <w:pPr>
        <w:pStyle w:val="Indenti"/>
        <w:spacing w:before="60"/>
      </w:pPr>
      <w:r>
        <w:tab/>
        <w:t>(i)</w:t>
      </w:r>
      <w:r>
        <w:tab/>
        <w:t>the right of the Board officer, during a stated period, to resume appointment or employment under subsection (1); and</w:t>
      </w:r>
    </w:p>
    <w:p>
      <w:pPr>
        <w:pStyle w:val="Indenti"/>
        <w:spacing w:before="60"/>
      </w:pPr>
      <w:r>
        <w:lastRenderedPageBreak/>
        <w:tab/>
        <w:t>(ii)</w:t>
      </w:r>
      <w:r>
        <w:tab/>
        <w:t>the making by the Board of a payment to the Board officer if the offer of employment is accepted and the right of election under subparagraph (i) expires without being exercised;</w:t>
      </w:r>
    </w:p>
    <w:p>
      <w:pPr>
        <w:pStyle w:val="Indenta"/>
        <w:spacing w:before="60"/>
      </w:pPr>
      <w:r>
        <w:tab/>
      </w:r>
      <w:r>
        <w:tab/>
        <w:t>and</w:t>
      </w:r>
    </w:p>
    <w:p>
      <w:pPr>
        <w:pStyle w:val="Indenta"/>
        <w:spacing w:before="60"/>
      </w:pPr>
      <w:r>
        <w:tab/>
        <w:t>(b)</w:t>
      </w:r>
      <w:r>
        <w:tab/>
        <w:t xml:space="preserve">in the case of any other Board officer, </w:t>
      </w:r>
      <w:r>
        <w:rPr>
          <w:snapToGrid w:val="0"/>
        </w:rPr>
        <w:t>the making by the Board of a payment to the Board officer if the offer of employment is accepted.</w:t>
      </w:r>
    </w:p>
    <w:p>
      <w:pPr>
        <w:pStyle w:val="Footnotesection"/>
      </w:pPr>
      <w:r>
        <w:tab/>
        <w:t>[Section 11 amended: No. 35 of 2011 s. 42.]</w:t>
      </w:r>
    </w:p>
    <w:p>
      <w:pPr>
        <w:pStyle w:val="Heading5"/>
      </w:pPr>
      <w:bookmarkStart w:id="56" w:name="_Toc408233442"/>
      <w:bookmarkStart w:id="57" w:name="_Toc146034151"/>
      <w:r>
        <w:rPr>
          <w:rStyle w:val="CharSectno"/>
        </w:rPr>
        <w:t>12</w:t>
      </w:r>
      <w:r>
        <w:rPr>
          <w:snapToGrid w:val="0"/>
        </w:rPr>
        <w:t>.</w:t>
      </w:r>
      <w:r>
        <w:rPr>
          <w:snapToGrid w:val="0"/>
        </w:rPr>
        <w:tab/>
        <w:t>Delegation by Board</w:t>
      </w:r>
      <w:bookmarkEnd w:id="56"/>
      <w:bookmarkEnd w:id="57"/>
    </w:p>
    <w:p>
      <w:pPr>
        <w:pStyle w:val="Subsection"/>
      </w:pPr>
      <w:r>
        <w:tab/>
        <w:t>(1)</w:t>
      </w:r>
      <w:r>
        <w:tab/>
        <w:t>Subject to section 23 the Board may, in writing, delegate the performance of any of its functions, except this power of delegation, to —</w:t>
      </w:r>
    </w:p>
    <w:p>
      <w:pPr>
        <w:pStyle w:val="Indenta"/>
        <w:spacing w:before="60"/>
      </w:pPr>
      <w:r>
        <w:tab/>
        <w:t>(a)</w:t>
      </w:r>
      <w:r>
        <w:tab/>
        <w:t xml:space="preserve">any person; or </w:t>
      </w:r>
    </w:p>
    <w:p>
      <w:pPr>
        <w:pStyle w:val="Indenta"/>
        <w:spacing w:before="60"/>
      </w:pPr>
      <w:r>
        <w:tab/>
        <w:t>(b)</w:t>
      </w:r>
      <w:r>
        <w:tab/>
        <w:t xml:space="preserve">a committee appointed under clause 8 of Schedule 2.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58" w:name="_Toc408233443"/>
      <w:bookmarkStart w:id="59" w:name="_Toc146034152"/>
      <w:r>
        <w:rPr>
          <w:rStyle w:val="CharSectno"/>
        </w:rPr>
        <w:t>13</w:t>
      </w:r>
      <w:r>
        <w:rPr>
          <w:snapToGrid w:val="0"/>
        </w:rPr>
        <w:t>.</w:t>
      </w:r>
      <w:r>
        <w:rPr>
          <w:snapToGrid w:val="0"/>
        </w:rPr>
        <w:tab/>
        <w:t>Board decisions, review of</w:t>
      </w:r>
      <w:bookmarkEnd w:id="58"/>
      <w:bookmarkEnd w:id="59"/>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spacing w:before="60"/>
      </w:pPr>
      <w:r>
        <w:rPr>
          <w:snapToGrid w:val="0"/>
        </w:rPr>
        <w:tab/>
        <w:t>(a)</w:t>
      </w:r>
      <w:r>
        <w:rPr>
          <w:snapToGrid w:val="0"/>
        </w:rPr>
        <w:tab/>
        <w:t xml:space="preserve">if the decision relates to a superannuation scheme continued by section 29(1)(c) or (d), </w:t>
      </w:r>
      <w:r>
        <w:t xml:space="preserve">apply to </w:t>
      </w:r>
      <w:r>
        <w:rPr>
          <w:snapToGrid w:val="0"/>
        </w:rPr>
        <w:t>the State Administrative Tribunal for a review of the decision</w:t>
      </w:r>
      <w:r>
        <w:t>; or</w:t>
      </w:r>
    </w:p>
    <w:p>
      <w:pPr>
        <w:pStyle w:val="Indenta"/>
        <w:keepNext/>
        <w:rPr>
          <w:snapToGrid w:val="0"/>
        </w:rPr>
      </w:pPr>
      <w:r>
        <w:rPr>
          <w:snapToGrid w:val="0"/>
        </w:rPr>
        <w:lastRenderedPageBreak/>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No. 55 of 2004 s. 1104; No. 25 of 2007 s. 8.]</w:t>
      </w:r>
    </w:p>
    <w:p>
      <w:pPr>
        <w:pStyle w:val="Heading2"/>
      </w:pPr>
      <w:bookmarkStart w:id="60" w:name="_Toc392508132"/>
      <w:bookmarkStart w:id="61" w:name="_Toc397337784"/>
      <w:bookmarkStart w:id="62" w:name="_Toc397954825"/>
      <w:bookmarkStart w:id="63" w:name="_Toc408233444"/>
      <w:bookmarkStart w:id="64" w:name="_Toc424548223"/>
      <w:bookmarkStart w:id="65" w:name="_Toc434856168"/>
      <w:bookmarkStart w:id="66" w:name="_Toc146034153"/>
      <w:r>
        <w:rPr>
          <w:rStyle w:val="CharPartNo"/>
        </w:rPr>
        <w:lastRenderedPageBreak/>
        <w:t>Part 3</w:t>
      </w:r>
      <w:r>
        <w:rPr>
          <w:rStyle w:val="CharDivNo"/>
        </w:rPr>
        <w:t> </w:t>
      </w:r>
      <w:r>
        <w:t>—</w:t>
      </w:r>
      <w:r>
        <w:rPr>
          <w:rStyle w:val="CharDivText"/>
        </w:rPr>
        <w:t> </w:t>
      </w:r>
      <w:r>
        <w:rPr>
          <w:rStyle w:val="CharPartText"/>
        </w:rPr>
        <w:t>Government Employees Superannuation Fund</w:t>
      </w:r>
      <w:bookmarkEnd w:id="60"/>
      <w:bookmarkEnd w:id="61"/>
      <w:bookmarkEnd w:id="62"/>
      <w:bookmarkEnd w:id="63"/>
      <w:bookmarkEnd w:id="64"/>
      <w:bookmarkEnd w:id="65"/>
      <w:bookmarkEnd w:id="66"/>
    </w:p>
    <w:p>
      <w:pPr>
        <w:pStyle w:val="Footnoteheading"/>
      </w:pPr>
      <w:r>
        <w:tab/>
        <w:t>[Heading inserted: No. 35 of 2011 s. 13.]</w:t>
      </w:r>
    </w:p>
    <w:p>
      <w:pPr>
        <w:pStyle w:val="Heading5"/>
      </w:pPr>
      <w:bookmarkStart w:id="67" w:name="_Toc408233445"/>
      <w:bookmarkStart w:id="68" w:name="_Toc146034154"/>
      <w:r>
        <w:rPr>
          <w:rStyle w:val="CharSectno"/>
        </w:rPr>
        <w:t>14</w:t>
      </w:r>
      <w:r>
        <w:t>.</w:t>
      </w:r>
      <w:r>
        <w:tab/>
        <w:t>Fund established and nature of</w:t>
      </w:r>
      <w:bookmarkEnd w:id="67"/>
      <w:bookmarkEnd w:id="68"/>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Footnotesection"/>
      </w:pPr>
      <w:r>
        <w:tab/>
        <w:t>[Section 14 amended: No. 25 of 2007 s. 68; No. 35 of 2011 s. 14.]</w:t>
      </w:r>
    </w:p>
    <w:p>
      <w:pPr>
        <w:pStyle w:val="Heading5"/>
      </w:pPr>
      <w:bookmarkStart w:id="69" w:name="_Toc408233446"/>
      <w:bookmarkStart w:id="70" w:name="_Toc146034155"/>
      <w:r>
        <w:rPr>
          <w:rStyle w:val="CharSectno"/>
        </w:rPr>
        <w:t>15</w:t>
      </w:r>
      <w:r>
        <w:t>.</w:t>
      </w:r>
      <w:r>
        <w:tab/>
        <w:t>Fund, content and purposes of</w:t>
      </w:r>
      <w:bookmarkEnd w:id="69"/>
      <w:bookmarkEnd w:id="70"/>
    </w:p>
    <w:p>
      <w:pPr>
        <w:pStyle w:val="Subsection"/>
      </w:pPr>
      <w:r>
        <w:tab/>
        <w:t>(1)</w:t>
      </w:r>
      <w:r>
        <w:tab/>
        <w:t>The Board is to credit to the Fund —</w:t>
      </w:r>
    </w:p>
    <w:p>
      <w:pPr>
        <w:pStyle w:val="Indenta"/>
      </w:pPr>
      <w:r>
        <w:tab/>
        <w:t>(a)</w:t>
      </w:r>
      <w:r>
        <w:tab/>
        <w:t>contributions made under this Act; and</w:t>
      </w:r>
    </w:p>
    <w:p>
      <w:pPr>
        <w:pStyle w:val="Indenta"/>
      </w:pPr>
      <w:r>
        <w:tab/>
        <w:t>(b)</w:t>
      </w:r>
      <w:r>
        <w:tab/>
        <w:t>amounts transferred to the Fund from other superannuation funds; and</w:t>
      </w:r>
    </w:p>
    <w:p>
      <w:pPr>
        <w:pStyle w:val="Indenta"/>
      </w:pPr>
      <w:r>
        <w:tab/>
        <w:t>(c)</w:t>
      </w:r>
      <w:r>
        <w:tab/>
        <w:t>earnings derived from the investment of the Fund; and</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(aa)</w:t>
      </w:r>
      <w:r>
        <w:tab/>
        <w:t>amounts transferred from the Fund to other superannuation funds;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lastRenderedPageBreak/>
        <w:tab/>
        <w:t>(c)</w:t>
      </w:r>
      <w:r>
        <w:tab/>
        <w:t>other amounts lawfully paid by the Board or charged to the Fund.</w:t>
      </w:r>
    </w:p>
    <w:p>
      <w:pPr>
        <w:pStyle w:val="Footnotesection"/>
      </w:pPr>
      <w:r>
        <w:tab/>
        <w:t>[Section 15 amended: No. 18 of 2006 s. 10; No. 25 of 2007 s. 6(5) and 19(1); No. 35 of 2011 s. 15 and 52.]</w:t>
      </w:r>
    </w:p>
    <w:p>
      <w:pPr>
        <w:pStyle w:val="Heading5"/>
        <w:keepLines w:val="0"/>
      </w:pPr>
      <w:bookmarkStart w:id="71" w:name="_Toc408233447"/>
      <w:bookmarkStart w:id="72" w:name="_Toc146034156"/>
      <w:r>
        <w:rPr>
          <w:rStyle w:val="CharSectno"/>
        </w:rPr>
        <w:t>16</w:t>
      </w:r>
      <w:r>
        <w:t>.</w:t>
      </w:r>
      <w:r>
        <w:tab/>
        <w:t>Accounting records, Board to keep etc.</w:t>
      </w:r>
      <w:bookmarkEnd w:id="71"/>
      <w:bookmarkEnd w:id="72"/>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73" w:name="_Toc408233448"/>
      <w:bookmarkStart w:id="74" w:name="_Toc146034157"/>
      <w:r>
        <w:rPr>
          <w:rStyle w:val="CharSectno"/>
        </w:rPr>
        <w:t>17</w:t>
      </w:r>
      <w:r>
        <w:t>.</w:t>
      </w:r>
      <w:r>
        <w:tab/>
        <w:t>Actuarial investigations, Board to obtain periodically</w:t>
      </w:r>
      <w:bookmarkEnd w:id="73"/>
      <w:bookmarkEnd w:id="74"/>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75" w:name="_Toc408233449"/>
      <w:bookmarkStart w:id="76" w:name="_Toc146034158"/>
      <w:r>
        <w:rPr>
          <w:rStyle w:val="CharSectno"/>
        </w:rPr>
        <w:t>18</w:t>
      </w:r>
      <w:r>
        <w:t>.</w:t>
      </w:r>
      <w:r>
        <w:tab/>
        <w:t>Investing Fund’s assets, powers as to</w:t>
      </w:r>
      <w:bookmarkEnd w:id="75"/>
      <w:bookmarkEnd w:id="76"/>
    </w:p>
    <w:p>
      <w:pPr>
        <w:pStyle w:val="Subsection"/>
      </w:pPr>
      <w:r>
        <w:tab/>
        <w:t>(1)</w:t>
      </w:r>
      <w:r>
        <w:tab/>
        <w:t>The Board may invest the assets of the Fund in any form of investment that is, or is of a kind that is, approved by the Treasurer.</w:t>
      </w:r>
    </w:p>
    <w:p>
      <w:pPr>
        <w:pStyle w:val="Ednotesubsection"/>
      </w:pPr>
      <w:r>
        <w:tab/>
        <w:t>[(2)</w:t>
      </w:r>
      <w:r>
        <w:tab/>
        <w:t>deleted]</w:t>
      </w:r>
    </w:p>
    <w:p>
      <w:pPr>
        <w:pStyle w:val="Subsection"/>
      </w:pPr>
      <w:r>
        <w:tab/>
        <w:t>(3)</w:t>
      </w:r>
      <w:r>
        <w:tab/>
        <w:t>The Board may —</w:t>
      </w:r>
    </w:p>
    <w:p>
      <w:pPr>
        <w:pStyle w:val="Indenta"/>
      </w:pPr>
      <w:r>
        <w:tab/>
        <w:t>(a)</w:t>
      </w:r>
      <w:r>
        <w:tab/>
        <w:t xml:space="preserve">deal with its investments; and </w:t>
      </w:r>
    </w:p>
    <w:p>
      <w:pPr>
        <w:pStyle w:val="Indenta"/>
        <w:keepNext/>
      </w:pPr>
      <w:r>
        <w:lastRenderedPageBreak/>
        <w:tab/>
        <w:t>(b)</w:t>
      </w:r>
      <w:r>
        <w:tab/>
        <w:t>deal with or exercise, or choose not to exercise, any rights or obligations that are attendant on ownership of an investment.</w:t>
      </w:r>
    </w:p>
    <w:p>
      <w:pPr>
        <w:pStyle w:val="Footnotesection"/>
      </w:pPr>
      <w:r>
        <w:tab/>
        <w:t>[Section 18 amended: No. 35 of 2011 s. 43.]</w:t>
      </w:r>
    </w:p>
    <w:p>
      <w:pPr>
        <w:pStyle w:val="Heading5"/>
      </w:pPr>
      <w:bookmarkStart w:id="77" w:name="_Toc408233450"/>
      <w:bookmarkStart w:id="78" w:name="_Toc146034159"/>
      <w:r>
        <w:rPr>
          <w:rStyle w:val="CharSectno"/>
        </w:rPr>
        <w:t>19</w:t>
      </w:r>
      <w:r>
        <w:t>.</w:t>
      </w:r>
      <w:r>
        <w:tab/>
        <w:t>Investment strategy for Fund, Board’s duties as to</w:t>
      </w:r>
      <w:bookmarkEnd w:id="77"/>
      <w:bookmarkEnd w:id="78"/>
    </w:p>
    <w:p>
      <w:pPr>
        <w:pStyle w:val="Subsection"/>
      </w:pPr>
      <w:r>
        <w:tab/>
        <w:t>(1)</w:t>
      </w:r>
      <w:r>
        <w:tab/>
        <w:t>The Board is to formulate a strategy for the Fund.</w:t>
      </w:r>
    </w:p>
    <w:p>
      <w:pPr>
        <w:pStyle w:val="Subsection"/>
      </w:pPr>
      <w:r>
        <w:tab/>
        <w:t>(2A)</w:t>
      </w:r>
      <w:r>
        <w:tab/>
        <w:t>The Board’s investment strategy for the Fund is to be consistent with any relevant Treasurer’s guidelines.</w:t>
      </w:r>
    </w:p>
    <w:p>
      <w:pPr>
        <w:pStyle w:val="Subsection"/>
      </w:pPr>
      <w:r>
        <w:tab/>
        <w:t>(2)</w:t>
      </w:r>
      <w:r>
        <w:tab/>
        <w:t>In formulating its investment strategy the Board is to have regard to all of the circumstances of the Fund including —</w:t>
      </w:r>
    </w:p>
    <w:p>
      <w:pPr>
        <w:pStyle w:val="Indenta"/>
      </w:pPr>
      <w:r>
        <w:tab/>
        <w:t>(a)</w:t>
      </w:r>
      <w:r>
        <w:tab/>
        <w:t>the need to exercise care and prudence to maintain the integrity of the Fund; and</w:t>
      </w:r>
    </w:p>
    <w:p>
      <w:pPr>
        <w:pStyle w:val="Indenta"/>
      </w:pPr>
      <w:r>
        <w:tab/>
        <w:t>(b)</w:t>
      </w:r>
      <w:r>
        <w:tab/>
        <w:t>the —</w:t>
      </w:r>
    </w:p>
    <w:p>
      <w:pPr>
        <w:pStyle w:val="Indenti"/>
      </w:pPr>
      <w:r>
        <w:tab/>
        <w:t>(i)</w:t>
      </w:r>
      <w:r>
        <w:tab/>
        <w:t>nature of; and</w:t>
      </w:r>
    </w:p>
    <w:p>
      <w:pPr>
        <w:pStyle w:val="Indenti"/>
      </w:pPr>
      <w:r>
        <w:tab/>
        <w:t>(ii)</w:t>
      </w:r>
      <w:r>
        <w:tab/>
        <w:t>potential for capital appreciation and income return from; and</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different investments and different kinds of investments; and</w:t>
      </w:r>
    </w:p>
    <w:p>
      <w:pPr>
        <w:pStyle w:val="Indenta"/>
      </w:pPr>
      <w:r>
        <w:tab/>
        <w:t>(c)</w:t>
      </w:r>
      <w:r>
        <w:tab/>
        <w:t>the desirability of diversifying its investments; and</w:t>
      </w:r>
    </w:p>
    <w:p>
      <w:pPr>
        <w:pStyle w:val="Indenta"/>
      </w:pPr>
      <w:r>
        <w:tab/>
        <w:t>(d)</w:t>
      </w:r>
      <w:r>
        <w:tab/>
        <w:t>the liquidity of the Fund; and</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investment strategy; and </w:t>
      </w:r>
    </w:p>
    <w:p>
      <w:pPr>
        <w:pStyle w:val="Indenta"/>
        <w:keepNext/>
      </w:pPr>
      <w:r>
        <w:tab/>
        <w:t>(b)</w:t>
      </w:r>
      <w:r>
        <w:tab/>
        <w:t>the management and performance of its investments,</w:t>
      </w:r>
    </w:p>
    <w:p>
      <w:pPr>
        <w:pStyle w:val="Subsection"/>
      </w:pPr>
      <w:r>
        <w:tab/>
      </w:r>
      <w:r>
        <w:tab/>
        <w:t>from time to time in accordance with any relevant Treasurer’s guidelines.</w:t>
      </w:r>
    </w:p>
    <w:p>
      <w:pPr>
        <w:pStyle w:val="Subsection"/>
      </w:pPr>
      <w:r>
        <w:lastRenderedPageBreak/>
        <w:tab/>
        <w:t>(4)</w:t>
      </w:r>
      <w:r>
        <w:tab/>
        <w:t xml:space="preserve">In exercising its powers under section 18 the Board is to — </w:t>
      </w:r>
    </w:p>
    <w:p>
      <w:pPr>
        <w:pStyle w:val="Indenta"/>
      </w:pPr>
      <w:r>
        <w:tab/>
        <w:t>(a)</w:t>
      </w:r>
      <w:r>
        <w:tab/>
        <w:t>act in accordance with any relevant Treasurer’s guidelines; and</w:t>
      </w:r>
    </w:p>
    <w:p>
      <w:pPr>
        <w:pStyle w:val="Indenta"/>
      </w:pPr>
      <w:r>
        <w:tab/>
        <w:t>(b)</w:t>
      </w:r>
      <w:r>
        <w:tab/>
        <w:t>act so as to give effect to its investment strategy.</w:t>
      </w:r>
    </w:p>
    <w:p>
      <w:pPr>
        <w:pStyle w:val="Footnotesection"/>
      </w:pPr>
      <w:r>
        <w:tab/>
        <w:t>[Section 19 amended: No. 25 of 2007 s. 19(1); No. 35 of 2011 s. 44.]</w:t>
      </w:r>
    </w:p>
    <w:p>
      <w:pPr>
        <w:pStyle w:val="Heading5"/>
      </w:pPr>
      <w:bookmarkStart w:id="79" w:name="_Toc408233451"/>
      <w:bookmarkStart w:id="80" w:name="_Toc146034160"/>
      <w:r>
        <w:rPr>
          <w:rStyle w:val="CharSectno"/>
        </w:rPr>
        <w:t>20A</w:t>
      </w:r>
      <w:r>
        <w:t>.</w:t>
      </w:r>
      <w:r>
        <w:tab/>
        <w:t>Reserves in Fund and reserving strategy, Board’s functions as to</w:t>
      </w:r>
      <w:bookmarkEnd w:id="79"/>
      <w:bookmarkEnd w:id="80"/>
    </w:p>
    <w:p>
      <w:pPr>
        <w:pStyle w:val="Subsection"/>
      </w:pPr>
      <w:r>
        <w:tab/>
        <w:t>(1)</w:t>
      </w:r>
      <w:r>
        <w:tab/>
        <w:t>The Board may maintain reserves within the Fund.</w:t>
      </w:r>
    </w:p>
    <w:p>
      <w:pPr>
        <w:pStyle w:val="Subsection"/>
      </w:pPr>
      <w:r>
        <w:tab/>
        <w:t>(2)</w:t>
      </w:r>
      <w:r>
        <w:tab/>
        <w:t>The Board is to formulate a reserving strategy for the Fund.</w:t>
      </w:r>
    </w:p>
    <w:p>
      <w:pPr>
        <w:pStyle w:val="Subsection"/>
      </w:pPr>
      <w:r>
        <w:tab/>
        <w:t>(3)</w:t>
      </w:r>
      <w:r>
        <w:tab/>
        <w:t xml:space="preserve">The Board’s reserving strategy for the Fund is to be consistent with — </w:t>
      </w:r>
    </w:p>
    <w:p>
      <w:pPr>
        <w:pStyle w:val="Indenta"/>
      </w:pPr>
      <w:r>
        <w:tab/>
        <w:t>(a)</w:t>
      </w:r>
      <w:r>
        <w:tab/>
        <w:t>the Board’s capacity to discharge the liabilities of the Fund, actual and contingent, as they fall due; and</w:t>
      </w:r>
    </w:p>
    <w:p>
      <w:pPr>
        <w:pStyle w:val="Indenta"/>
      </w:pPr>
      <w:r>
        <w:tab/>
        <w:t>(b)</w:t>
      </w:r>
      <w:r>
        <w:tab/>
        <w:t>any relevant Treasurer’s guidelines.</w:t>
      </w:r>
    </w:p>
    <w:p>
      <w:pPr>
        <w:pStyle w:val="Subsection"/>
      </w:pPr>
      <w:r>
        <w:tab/>
        <w:t>(4)</w:t>
      </w:r>
      <w:r>
        <w:tab/>
        <w:t>The Board is to review its reserving strategy from time to time in accordance with any relevant Treasurer’s guidelines.</w:t>
      </w:r>
    </w:p>
    <w:p>
      <w:pPr>
        <w:pStyle w:val="Subsection"/>
      </w:pPr>
      <w:r>
        <w:tab/>
        <w:t>(5)</w:t>
      </w:r>
      <w:r>
        <w:tab/>
        <w:t xml:space="preserve">In exercising its power under subsection (1) the Board is to — </w:t>
      </w:r>
    </w:p>
    <w:p>
      <w:pPr>
        <w:pStyle w:val="Indenta"/>
      </w:pPr>
      <w:r>
        <w:tab/>
        <w:t>(a)</w:t>
      </w:r>
      <w:r>
        <w:tab/>
        <w:t>act in accordance with any relevant Treasurer’s guidelines; and</w:t>
      </w:r>
    </w:p>
    <w:p>
      <w:pPr>
        <w:pStyle w:val="Indenta"/>
      </w:pPr>
      <w:r>
        <w:tab/>
        <w:t>(b)</w:t>
      </w:r>
      <w:r>
        <w:tab/>
        <w:t>act so as to give effect to the Fund reserving strategy.</w:t>
      </w:r>
    </w:p>
    <w:p>
      <w:pPr>
        <w:pStyle w:val="Footnotesection"/>
      </w:pPr>
      <w:r>
        <w:tab/>
        <w:t>[Section 20A inserted: No. 35 of 2011 s. 45.]</w:t>
      </w:r>
    </w:p>
    <w:p>
      <w:pPr>
        <w:pStyle w:val="Heading5"/>
        <w:keepNext w:val="0"/>
        <w:keepLines w:val="0"/>
      </w:pPr>
      <w:bookmarkStart w:id="81" w:name="_Toc408233452"/>
      <w:bookmarkStart w:id="82" w:name="_Toc146034161"/>
      <w:r>
        <w:rPr>
          <w:rStyle w:val="CharSectno"/>
        </w:rPr>
        <w:t>20</w:t>
      </w:r>
      <w:r>
        <w:rPr>
          <w:snapToGrid w:val="0"/>
        </w:rPr>
        <w:t>.</w:t>
      </w:r>
      <w:r>
        <w:rPr>
          <w:snapToGrid w:val="0"/>
        </w:rPr>
        <w:tab/>
        <w:t>Certain investments, restrictions on making</w:t>
      </w:r>
      <w:bookmarkEnd w:id="81"/>
      <w:bookmarkEnd w:id="82"/>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lastRenderedPageBreak/>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83" w:name="_Toc408233453"/>
      <w:bookmarkStart w:id="84" w:name="_Toc146034162"/>
      <w:r>
        <w:rPr>
          <w:rStyle w:val="CharSectno"/>
        </w:rPr>
        <w:t>21</w:t>
      </w:r>
      <w:r>
        <w:rPr>
          <w:snapToGrid w:val="0"/>
        </w:rPr>
        <w:t>.</w:t>
      </w:r>
      <w:r>
        <w:rPr>
          <w:snapToGrid w:val="0"/>
        </w:rPr>
        <w:tab/>
        <w:t>Loans to Members prohibited</w:t>
      </w:r>
      <w:bookmarkEnd w:id="83"/>
      <w:bookmarkEnd w:id="84"/>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pPr>
      <w:bookmarkStart w:id="85" w:name="_Toc408233454"/>
      <w:bookmarkStart w:id="86" w:name="_Toc146034163"/>
      <w:r>
        <w:rPr>
          <w:rStyle w:val="CharSectno"/>
        </w:rPr>
        <w:t>22</w:t>
      </w:r>
      <w:r>
        <w:t>.</w:t>
      </w:r>
      <w:r>
        <w:tab/>
        <w:t>Allocation of Fund’s earnings and costs</w:t>
      </w:r>
      <w:bookmarkEnd w:id="85"/>
      <w:bookmarkEnd w:id="86"/>
    </w:p>
    <w:p>
      <w:pPr>
        <w:pStyle w:val="Subsection"/>
      </w:pPr>
      <w:r>
        <w:tab/>
        <w:t>(1)</w:t>
      </w:r>
      <w:r>
        <w:tab/>
        <w:t xml:space="preserve">The Board is to allocate — </w:t>
      </w:r>
    </w:p>
    <w:p>
      <w:pPr>
        <w:pStyle w:val="Indenta"/>
      </w:pPr>
      <w:r>
        <w:tab/>
        <w:t>(a)</w:t>
      </w:r>
      <w:r>
        <w:tab/>
        <w:t>earnings derived from the investment of the Fund; and</w:t>
      </w:r>
    </w:p>
    <w:p>
      <w:pPr>
        <w:pStyle w:val="Indenta"/>
      </w:pPr>
      <w:r>
        <w:tab/>
        <w:t>(b)</w:t>
      </w:r>
      <w:r>
        <w:tab/>
        <w:t>the costs of managing and administering the Fund and the schemes,</w:t>
      </w:r>
    </w:p>
    <w:p>
      <w:pPr>
        <w:pStyle w:val="Subsection"/>
      </w:pPr>
      <w:r>
        <w:tab/>
      </w:r>
      <w:r>
        <w:tab/>
        <w:t>between the schemes and where appropriate between Members.</w:t>
      </w:r>
    </w:p>
    <w:p>
      <w:pPr>
        <w:pStyle w:val="Subsection"/>
      </w:pPr>
      <w:r>
        <w:tab/>
        <w:t>(2)</w:t>
      </w:r>
      <w:r>
        <w:tab/>
        <w:t xml:space="preserve">In allocating earnings and costs under subsection (1) the Board is to — </w:t>
      </w:r>
    </w:p>
    <w:p>
      <w:pPr>
        <w:pStyle w:val="Indenta"/>
      </w:pPr>
      <w:r>
        <w:tab/>
        <w:t>(a)</w:t>
      </w:r>
      <w:r>
        <w:tab/>
        <w:t>ensure compliance with any relevant guidelines; and</w:t>
      </w:r>
    </w:p>
    <w:p>
      <w:pPr>
        <w:pStyle w:val="Indenta"/>
      </w:pPr>
      <w:r>
        <w:tab/>
        <w:t>(b)</w:t>
      </w:r>
      <w:r>
        <w:tab/>
        <w:t>otherwise act in accordance with section 6(2).</w:t>
      </w:r>
    </w:p>
    <w:p>
      <w:pPr>
        <w:pStyle w:val="Footnotesection"/>
      </w:pPr>
      <w:r>
        <w:tab/>
        <w:t>[Section 22 inserted: No. 35 of 2011 s. 46.]</w:t>
      </w:r>
    </w:p>
    <w:p>
      <w:pPr>
        <w:pStyle w:val="Heading5"/>
        <w:keepNext w:val="0"/>
        <w:keepLines w:val="0"/>
      </w:pPr>
      <w:bookmarkStart w:id="87" w:name="_Toc408233455"/>
      <w:bookmarkStart w:id="88" w:name="_Toc146034164"/>
      <w:r>
        <w:rPr>
          <w:rStyle w:val="CharSectno"/>
        </w:rPr>
        <w:t>23</w:t>
      </w:r>
      <w:r>
        <w:t>.</w:t>
      </w:r>
      <w:r>
        <w:tab/>
        <w:t>Investment manager, appointment of etc.</w:t>
      </w:r>
      <w:bookmarkEnd w:id="87"/>
      <w:bookmarkEnd w:id="88"/>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any relevant Treasurer’s guidelines the Board may delegate to an investment manager all or any of its functions under section 18 with respect to all or part of the Fund. </w:t>
      </w:r>
    </w:p>
    <w:p>
      <w:pPr>
        <w:pStyle w:val="Subsection"/>
      </w:pPr>
      <w:r>
        <w:lastRenderedPageBreak/>
        <w:tab/>
        <w:t>(3)</w:t>
      </w:r>
      <w:r>
        <w:tab/>
        <w:t>A person is not appointed as an investment manager within the meaning of this section unless the person is appointed for the purpose of enabling the Board to delegate a function to that person under subsection (2).</w:t>
      </w:r>
    </w:p>
    <w:p>
      <w:pPr>
        <w:pStyle w:val="Footnotesection"/>
      </w:pPr>
      <w:r>
        <w:tab/>
        <w:t>[Section 23 amended: No. 35 of 2011 s. 47.]</w:t>
      </w:r>
    </w:p>
    <w:p>
      <w:pPr>
        <w:pStyle w:val="Heading5"/>
        <w:keepLines w:val="0"/>
      </w:pPr>
      <w:bookmarkStart w:id="89" w:name="_Toc408233456"/>
      <w:bookmarkStart w:id="90" w:name="_Toc146034165"/>
      <w:r>
        <w:rPr>
          <w:rStyle w:val="CharSectno"/>
        </w:rPr>
        <w:t>24</w:t>
      </w:r>
      <w:r>
        <w:t>.</w:t>
      </w:r>
      <w:r>
        <w:tab/>
        <w:t>Borrowing by Board</w:t>
      </w:r>
      <w:bookmarkEnd w:id="89"/>
      <w:bookmarkEnd w:id="90"/>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r>
      <w:r>
        <w:tab/>
        <w:t>and</w:t>
      </w:r>
    </w:p>
    <w:p>
      <w:pPr>
        <w:pStyle w:val="Indenta"/>
      </w:pPr>
      <w:r>
        <w:tab/>
        <w:t>(b)</w:t>
      </w:r>
      <w:r>
        <w:tab/>
        <w:t xml:space="preserve">the terms of the borrowing have been approved by the Treasurer; and </w:t>
      </w:r>
    </w:p>
    <w:p>
      <w:pPr>
        <w:pStyle w:val="Indenta"/>
      </w:pPr>
      <w:r>
        <w:tab/>
        <w:t>(c)</w:t>
      </w:r>
      <w:r>
        <w:tab/>
        <w:t>the borrowing complies with any relevant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rStyle w:val="CharDefText"/>
        </w:rPr>
        <w:t>borrow money</w:t>
      </w:r>
      <w:r>
        <w:t xml:space="preserve"> means borrow or raise money, obtain credit or arrange for other financial accommodation, and includes to re</w:t>
      </w:r>
      <w:r>
        <w:noBreakHyphen/>
        <w:t>borrow or obtain advances.</w:t>
      </w:r>
    </w:p>
    <w:p>
      <w:pPr>
        <w:pStyle w:val="Footnotesection"/>
      </w:pPr>
      <w:r>
        <w:tab/>
        <w:t>[Section 24 amended: No. 25 of 2007 s. 19(1); No. 35 of 2011 s. 48.]</w:t>
      </w:r>
    </w:p>
    <w:p>
      <w:pPr>
        <w:pStyle w:val="Heading5"/>
        <w:keepNext w:val="0"/>
        <w:keepLines w:val="0"/>
      </w:pPr>
      <w:bookmarkStart w:id="91" w:name="_Toc408233457"/>
      <w:bookmarkStart w:id="92" w:name="_Toc146034166"/>
      <w:r>
        <w:rPr>
          <w:rStyle w:val="CharSectno"/>
        </w:rPr>
        <w:t>25</w:t>
      </w:r>
      <w:r>
        <w:t>.</w:t>
      </w:r>
      <w:r>
        <w:tab/>
        <w:t>Interest on money owed to Fund</w:t>
      </w:r>
      <w:bookmarkEnd w:id="91"/>
      <w:bookmarkEnd w:id="92"/>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93" w:name="_Toc408233458"/>
      <w:bookmarkStart w:id="94" w:name="_Toc146034167"/>
      <w:r>
        <w:rPr>
          <w:rStyle w:val="CharSectno"/>
        </w:rPr>
        <w:lastRenderedPageBreak/>
        <w:t>26</w:t>
      </w:r>
      <w:r>
        <w:t>.</w:t>
      </w:r>
      <w:r>
        <w:tab/>
      </w:r>
      <w:r>
        <w:rPr>
          <w:snapToGrid w:val="0"/>
        </w:rPr>
        <w:t>Recovering money owed to Fund</w:t>
      </w:r>
      <w:bookmarkEnd w:id="93"/>
      <w:bookmarkEnd w:id="94"/>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as a debt in a court of competent jurisdiction; or</w:t>
      </w:r>
    </w:p>
    <w:p>
      <w:pPr>
        <w:pStyle w:val="Indenta"/>
        <w:rPr>
          <w:snapToGrid w:val="0"/>
        </w:rPr>
      </w:pPr>
      <w:r>
        <w:rPr>
          <w:snapToGrid w:val="0"/>
        </w:rPr>
        <w:tab/>
        <w:t>(b)</w:t>
      </w:r>
      <w:r>
        <w:rPr>
          <w:snapToGrid w:val="0"/>
        </w:rPr>
        <w:tab/>
        <w:t>by deducting the amount owing from any amount that is, or becomes, payable from the Fund to the debtor; 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rPr>
          <w:snapToGrid w:val="0"/>
        </w:rPr>
      </w:pPr>
      <w:r>
        <w:rPr>
          <w:snapToGrid w:val="0"/>
        </w:rPr>
        <w:tab/>
      </w:r>
      <w:r>
        <w:rPr>
          <w:snapToGrid w:val="0"/>
        </w:rPr>
        <w:tab/>
        <w:t>and the Employer must comply with the direction.</w:t>
      </w:r>
    </w:p>
    <w:p>
      <w:pPr>
        <w:pStyle w:val="Footnotesection"/>
      </w:pPr>
      <w:r>
        <w:tab/>
        <w:t>[Section 26 amended: No. 25 of 2007 s. 19(2).]</w:t>
      </w:r>
    </w:p>
    <w:p>
      <w:pPr>
        <w:pStyle w:val="Heading5"/>
        <w:keepNext w:val="0"/>
        <w:keepLines w:val="0"/>
        <w:rPr>
          <w:snapToGrid w:val="0"/>
        </w:rPr>
      </w:pPr>
      <w:bookmarkStart w:id="95" w:name="_Toc408233459"/>
      <w:bookmarkStart w:id="96" w:name="_Toc146034168"/>
      <w:r>
        <w:rPr>
          <w:rStyle w:val="CharSectno"/>
        </w:rPr>
        <w:t>27</w:t>
      </w:r>
      <w:r>
        <w:rPr>
          <w:snapToGrid w:val="0"/>
        </w:rPr>
        <w:t>.</w:t>
      </w:r>
      <w:r>
        <w:rPr>
          <w:snapToGrid w:val="0"/>
        </w:rPr>
        <w:tab/>
      </w:r>
      <w:r>
        <w:rPr>
          <w:i/>
          <w:snapToGrid w:val="0"/>
        </w:rPr>
        <w:t>Unclaimed Money Act 1990</w:t>
      </w:r>
      <w:r>
        <w:rPr>
          <w:snapToGrid w:val="0"/>
        </w:rPr>
        <w:t xml:space="preserve"> does not apply to unclaimed benefits</w:t>
      </w:r>
      <w:bookmarkEnd w:id="95"/>
      <w:bookmarkEnd w:id="96"/>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2"/>
      </w:pPr>
      <w:bookmarkStart w:id="97" w:name="_Toc392508148"/>
      <w:bookmarkStart w:id="98" w:name="_Toc397337800"/>
      <w:bookmarkStart w:id="99" w:name="_Toc397954841"/>
      <w:bookmarkStart w:id="100" w:name="_Toc408233460"/>
      <w:bookmarkStart w:id="101" w:name="_Toc424548239"/>
      <w:bookmarkStart w:id="102" w:name="_Toc434856184"/>
      <w:bookmarkStart w:id="103" w:name="_Toc146034169"/>
      <w:r>
        <w:rPr>
          <w:rStyle w:val="CharPartNo"/>
        </w:rPr>
        <w:lastRenderedPageBreak/>
        <w:t>Part 4</w:t>
      </w:r>
      <w:r>
        <w:rPr>
          <w:rStyle w:val="CharDivNo"/>
        </w:rPr>
        <w:t> </w:t>
      </w:r>
      <w:r>
        <w:t>—</w:t>
      </w:r>
      <w:r>
        <w:rPr>
          <w:rStyle w:val="CharDivText"/>
        </w:rPr>
        <w:t> </w:t>
      </w:r>
      <w:r>
        <w:rPr>
          <w:rStyle w:val="CharPartText"/>
        </w:rPr>
        <w:t>Superannuation schemes</w:t>
      </w:r>
      <w:bookmarkEnd w:id="97"/>
      <w:bookmarkEnd w:id="98"/>
      <w:bookmarkEnd w:id="99"/>
      <w:bookmarkEnd w:id="100"/>
      <w:bookmarkEnd w:id="101"/>
      <w:bookmarkEnd w:id="102"/>
      <w:bookmarkEnd w:id="103"/>
    </w:p>
    <w:p>
      <w:pPr>
        <w:pStyle w:val="Footnoteheading"/>
      </w:pPr>
      <w:r>
        <w:tab/>
        <w:t>[Heading inserted: No. 35 of 2011 s. 16.]</w:t>
      </w:r>
    </w:p>
    <w:p>
      <w:pPr>
        <w:pStyle w:val="Heading5"/>
        <w:keepNext w:val="0"/>
        <w:keepLines w:val="0"/>
      </w:pPr>
      <w:bookmarkStart w:id="104" w:name="_Toc408233461"/>
      <w:bookmarkStart w:id="105" w:name="_Toc146034170"/>
      <w:r>
        <w:rPr>
          <w:rStyle w:val="CharSectno"/>
        </w:rPr>
        <w:t>28</w:t>
      </w:r>
      <w:r>
        <w:t>.</w:t>
      </w:r>
      <w:r>
        <w:tab/>
        <w:t>Superannuation schemes, establishing by regulations etc.</w:t>
      </w:r>
      <w:bookmarkEnd w:id="104"/>
      <w:bookmarkEnd w:id="105"/>
    </w:p>
    <w:p>
      <w:pPr>
        <w:pStyle w:val="Subsection"/>
      </w:pPr>
      <w:r>
        <w:tab/>
        <w:t>(1)</w:t>
      </w:r>
      <w:r>
        <w:tab/>
        <w:t xml:space="preserve">The Governor may, by regulations, establish superannuation schemes for persons who are working, or have worked, for Employers. </w:t>
      </w:r>
    </w:p>
    <w:p>
      <w:pPr>
        <w:pStyle w:val="Subsection"/>
      </w:pPr>
      <w:r>
        <w:tab/>
        <w:t>(2)</w:t>
      </w:r>
      <w:r>
        <w:tab/>
        <w:t xml:space="preserve">A scheme, other than a scheme continued by section 29(1)(b),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r>
      <w:r>
        <w:rPr>
          <w:rStyle w:val="CharDefText"/>
        </w:rPr>
        <w:t>benefits</w:t>
      </w:r>
      <w:r>
        <w:t xml:space="preserve"> has the meaning given to that term in section 28(1) of the </w:t>
      </w:r>
      <w:r>
        <w:rPr>
          <w:i/>
          <w:iCs/>
        </w:rPr>
        <w:t>Parliamentary Superannuation Act 1970</w:t>
      </w:r>
      <w:r>
        <w:t>;</w:t>
      </w:r>
    </w:p>
    <w:p>
      <w:pPr>
        <w:pStyle w:val="Defstart"/>
      </w:pPr>
      <w:r>
        <w:tab/>
      </w:r>
      <w:r>
        <w:rPr>
          <w:rStyle w:val="CharDefText"/>
        </w:rPr>
        <w:t>spouse</w:t>
      </w:r>
      <w:r>
        <w:t>, in relation to a person, includes a de facto partner of that person.</w:t>
      </w:r>
    </w:p>
    <w:p>
      <w:pPr>
        <w:pStyle w:val="Footnotesection"/>
      </w:pPr>
      <w:r>
        <w:tab/>
        <w:t>[Section 28 amended: No. 3 of 2002 s. 102; No. 18 of 2006 s. 11; No. 25 of 2007 s. 9.]</w:t>
      </w:r>
    </w:p>
    <w:p>
      <w:pPr>
        <w:pStyle w:val="Heading5"/>
        <w:keepNext w:val="0"/>
      </w:pPr>
      <w:bookmarkStart w:id="106" w:name="_Toc408233462"/>
      <w:bookmarkStart w:id="107" w:name="_Toc146034171"/>
      <w:r>
        <w:rPr>
          <w:rStyle w:val="CharSectno"/>
        </w:rPr>
        <w:t>29</w:t>
      </w:r>
      <w:r>
        <w:t>.</w:t>
      </w:r>
      <w:r>
        <w:tab/>
        <w:t>Certain schemes become superannuation schemes under this Act on 17 Feb 2001</w:t>
      </w:r>
      <w:bookmarkEnd w:id="106"/>
      <w:bookmarkEnd w:id="107"/>
    </w:p>
    <w:p>
      <w:pPr>
        <w:pStyle w:val="Subsection"/>
      </w:pPr>
      <w:r>
        <w:tab/>
        <w:t>(1)</w:t>
      </w:r>
      <w:r>
        <w:tab/>
        <w:t>On 17 February 2001 the following superannuation schemes become superannuation schemes under this Act —</w:t>
      </w:r>
    </w:p>
    <w:p>
      <w:pPr>
        <w:pStyle w:val="Indenta"/>
      </w:pPr>
      <w:r>
        <w:tab/>
        <w:t>(a)</w:t>
      </w:r>
      <w:r>
        <w:tab/>
        <w:t xml:space="preserve">the superannuation scheme that was provided for in the </w:t>
      </w:r>
      <w:r>
        <w:rPr>
          <w:i/>
          <w:iCs/>
        </w:rPr>
        <w:t>Government Employees Superannuation Act 1987</w:t>
      </w:r>
      <w:r>
        <w:rPr>
          <w:iCs/>
        </w:rPr>
        <w:t xml:space="preserve"> Part </w:t>
      </w:r>
      <w:r>
        <w:t xml:space="preserve">VIIA immediately before its repeal by section 39 (referred to in that Act as the 1993 scheme); </w:t>
      </w:r>
    </w:p>
    <w:p>
      <w:pPr>
        <w:pStyle w:val="Indenta"/>
      </w:pPr>
      <w:r>
        <w:tab/>
        <w:t>(b)</w:t>
      </w:r>
      <w:r>
        <w:tab/>
        <w:t xml:space="preserve">the superannuation scheme that was provided for in the </w:t>
      </w:r>
      <w:r>
        <w:rPr>
          <w:i/>
          <w:iCs/>
        </w:rPr>
        <w:t>Government Employees Superannuation Act 1987</w:t>
      </w:r>
      <w:r>
        <w:rPr>
          <w:iCs/>
        </w:rPr>
        <w:t xml:space="preserve"> </w:t>
      </w:r>
      <w:r>
        <w:lastRenderedPageBreak/>
        <w:t>Parts IV, V, VI and VII immediately before its repeal by section 39 (referred to in that Act as the 1987 scheme);</w:t>
      </w:r>
    </w:p>
    <w:p>
      <w:pPr>
        <w:pStyle w:val="Indenta"/>
      </w:pPr>
      <w:r>
        <w:tab/>
        <w:t>(c)</w:t>
      </w:r>
      <w:r>
        <w:tab/>
        <w:t xml:space="preserve">the superannuation scheme that was provided for in the </w:t>
      </w:r>
      <w:r>
        <w:rPr>
          <w:i/>
          <w:iCs/>
        </w:rPr>
        <w:t>Superannuation and Family Benefits Act 1938</w:t>
      </w:r>
      <w:r>
        <w:t xml:space="preserve"> Parts IV, V and VB immediately before its repeal by section 39;</w:t>
      </w:r>
    </w:p>
    <w:p>
      <w:pPr>
        <w:pStyle w:val="Indenta"/>
      </w:pPr>
      <w:r>
        <w:tab/>
        <w:t>(d)</w:t>
      </w:r>
      <w:r>
        <w:tab/>
        <w:t xml:space="preserve">the superannuation scheme that was provided for in the </w:t>
      </w:r>
      <w:r>
        <w:rPr>
          <w:i/>
          <w:iCs/>
        </w:rPr>
        <w:t>Superannuation and Family Benefits Act 1938</w:t>
      </w:r>
      <w:r>
        <w:rPr>
          <w:iCs/>
        </w:rPr>
        <w:t xml:space="preserve"> </w:t>
      </w:r>
      <w:r>
        <w:t>Parts VA and VB immediately before its repeal by section 39.</w:t>
      </w:r>
    </w:p>
    <w:p>
      <w:pPr>
        <w:pStyle w:val="Ednotesubsection"/>
      </w:pPr>
      <w:r>
        <w:tab/>
        <w:t>[(2)</w:t>
      </w:r>
      <w:r>
        <w:tab/>
        <w:t>deleted]</w:t>
      </w:r>
    </w:p>
    <w:p>
      <w:pPr>
        <w:pStyle w:val="Footnotesection"/>
      </w:pPr>
      <w:r>
        <w:tab/>
        <w:t>[Section 29 amended: No. 25 of 2007 s. 6(3), 10 and 69; No. 35 of 2011 s. 17.]</w:t>
      </w:r>
    </w:p>
    <w:p>
      <w:pPr>
        <w:pStyle w:val="Heading5"/>
        <w:keepLines w:val="0"/>
        <w:rPr>
          <w:snapToGrid w:val="0"/>
        </w:rPr>
      </w:pPr>
      <w:bookmarkStart w:id="108" w:name="_Toc408233463"/>
      <w:bookmarkStart w:id="109" w:name="_Toc146034172"/>
      <w:r>
        <w:rPr>
          <w:rStyle w:val="CharSectno"/>
        </w:rPr>
        <w:t>30</w:t>
      </w:r>
      <w:r>
        <w:t>.</w:t>
      </w:r>
      <w:r>
        <w:tab/>
        <w:t>S</w:t>
      </w:r>
      <w:r>
        <w:rPr>
          <w:snapToGrid w:val="0"/>
        </w:rPr>
        <w:t>uperannuation schemes etc., establishment of etc. by Employer</w:t>
      </w:r>
      <w:bookmarkEnd w:id="108"/>
      <w:bookmarkEnd w:id="109"/>
    </w:p>
    <w:p>
      <w:pPr>
        <w:pStyle w:val="Subsection"/>
        <w:rPr>
          <w:snapToGrid w:val="0"/>
        </w:rPr>
      </w:pPr>
      <w:r>
        <w:rPr>
          <w:snapToGrid w:val="0"/>
        </w:rPr>
        <w:tab/>
        <w:t>(1)</w:t>
      </w:r>
      <w:r>
        <w:rPr>
          <w:snapToGrid w:val="0"/>
        </w:rPr>
        <w:tab/>
        <w:t xml:space="preserve">An Employer may establish a superannuation scheme or fund for the benefit of persons who work for the Employer, if and only if the </w:t>
      </w:r>
      <w:r>
        <w:t>Treasurer has</w:t>
      </w:r>
      <w:r>
        <w:rPr>
          <w:snapToGrid w:val="0"/>
        </w:rPr>
        <w:t xml:space="preserve"> approved the establishment of that scheme or fund.</w:t>
      </w:r>
    </w:p>
    <w:p>
      <w:pPr>
        <w:pStyle w:val="Subsection"/>
      </w:pPr>
      <w:r>
        <w:tab/>
        <w:t>(2)</w:t>
      </w:r>
      <w:r>
        <w:tab/>
        <w:t>An Employer may make superannuation contributions for persons who work for the Employer to a superannuation fund or scheme other than —</w:t>
      </w:r>
    </w:p>
    <w:p>
      <w:pPr>
        <w:pStyle w:val="Indenta"/>
      </w:pPr>
      <w:r>
        <w:tab/>
        <w:t>(a)</w:t>
      </w:r>
      <w:r>
        <w:tab/>
        <w:t>a scheme under this Act; or</w:t>
      </w:r>
    </w:p>
    <w:p>
      <w:pPr>
        <w:pStyle w:val="Indenta"/>
      </w:pPr>
      <w:r>
        <w:tab/>
        <w:t>(b)</w:t>
      </w:r>
      <w:r>
        <w:tab/>
        <w:t>a superannuation scheme or fund established in accordance with subsection (1); or</w:t>
      </w:r>
    </w:p>
    <w:p>
      <w:pPr>
        <w:pStyle w:val="Indenta"/>
      </w:pPr>
      <w:r>
        <w:tab/>
        <w:t>(c)</w:t>
      </w:r>
      <w:r>
        <w:tab/>
        <w:t xml:space="preserve">a superannuation scheme or fund established before 28 December 1989, </w:t>
      </w:r>
    </w:p>
    <w:p>
      <w:pPr>
        <w:pStyle w:val="Subsection"/>
      </w:pPr>
      <w:r>
        <w:tab/>
      </w:r>
      <w:r>
        <w:tab/>
        <w:t>if the Treasurer has approved the making of those contributions.</w:t>
      </w:r>
    </w:p>
    <w:p>
      <w:pPr>
        <w:pStyle w:val="Subsection"/>
      </w:pPr>
      <w:r>
        <w:tab/>
        <w:t>(3A)</w:t>
      </w:r>
      <w:r>
        <w:tab/>
        <w:t xml:space="preserve">An Employer may make superannuation contributions in accordance with section 4B(2) for persons who work for the Employer to a superannuation fund or scheme other than — </w:t>
      </w:r>
    </w:p>
    <w:p>
      <w:pPr>
        <w:pStyle w:val="Indenta"/>
      </w:pPr>
      <w:r>
        <w:tab/>
        <w:t>(a)</w:t>
      </w:r>
      <w:r>
        <w:tab/>
        <w:t>a scheme under this Act; or</w:t>
      </w:r>
    </w:p>
    <w:p>
      <w:pPr>
        <w:pStyle w:val="Indenta"/>
      </w:pPr>
      <w:r>
        <w:lastRenderedPageBreak/>
        <w:tab/>
        <w:t>(b)</w:t>
      </w:r>
      <w:r>
        <w:tab/>
        <w:t>a superannuation scheme or fund established in accordance with subsection (1); or</w:t>
      </w:r>
    </w:p>
    <w:p>
      <w:pPr>
        <w:pStyle w:val="Indenta"/>
      </w:pPr>
      <w:r>
        <w:tab/>
        <w:t>(c)</w:t>
      </w:r>
      <w:r>
        <w:tab/>
        <w:t>a superannuation scheme or fund established before 28 December 1989.</w:t>
      </w:r>
    </w:p>
    <w:p>
      <w:pPr>
        <w:pStyle w:val="Subsection"/>
      </w:pPr>
      <w:r>
        <w:tab/>
        <w:t>(3)</w:t>
      </w:r>
      <w:r>
        <w:tab/>
        <w:t>An approval given by the Treasurer under this section must be in writing and may relate to —</w:t>
      </w:r>
    </w:p>
    <w:p>
      <w:pPr>
        <w:pStyle w:val="Indenta"/>
      </w:pPr>
      <w:r>
        <w:tab/>
        <w:t>(a)</w:t>
      </w:r>
      <w:r>
        <w:tab/>
        <w:t>a particular Employer or class of Employers; or</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Footnotesection"/>
      </w:pPr>
      <w:r>
        <w:tab/>
        <w:t>[Section 30 amended: No. 25 of 2007 s. 6(5); No. 35 of 2011 s. 18, 34 and 53; No. 17 of 2014 s. 40.]</w:t>
      </w:r>
    </w:p>
    <w:p>
      <w:pPr>
        <w:pStyle w:val="Heading2"/>
      </w:pPr>
      <w:bookmarkStart w:id="110" w:name="_Toc392508152"/>
      <w:bookmarkStart w:id="111" w:name="_Toc397337804"/>
      <w:bookmarkStart w:id="112" w:name="_Toc397954845"/>
      <w:bookmarkStart w:id="113" w:name="_Toc408233464"/>
      <w:bookmarkStart w:id="114" w:name="_Toc424548243"/>
      <w:bookmarkStart w:id="115" w:name="_Toc434856188"/>
      <w:bookmarkStart w:id="116" w:name="_Toc146034173"/>
      <w:r>
        <w:rPr>
          <w:rStyle w:val="CharPartNo"/>
        </w:rPr>
        <w:lastRenderedPageBreak/>
        <w:t>Part 5</w:t>
      </w:r>
      <w:r>
        <w:rPr>
          <w:rStyle w:val="CharDivNo"/>
        </w:rPr>
        <w:t> </w:t>
      </w:r>
      <w:r>
        <w:t>—</w:t>
      </w:r>
      <w:r>
        <w:rPr>
          <w:rStyle w:val="CharDivText"/>
        </w:rPr>
        <w:t> </w:t>
      </w:r>
      <w:r>
        <w:rPr>
          <w:rStyle w:val="CharPartText"/>
        </w:rPr>
        <w:t>Government guarantees and appropriation of the Consolidated Account</w:t>
      </w:r>
      <w:bookmarkEnd w:id="110"/>
      <w:bookmarkEnd w:id="111"/>
      <w:bookmarkEnd w:id="112"/>
      <w:bookmarkEnd w:id="113"/>
      <w:bookmarkEnd w:id="114"/>
      <w:bookmarkEnd w:id="115"/>
      <w:bookmarkEnd w:id="116"/>
    </w:p>
    <w:p>
      <w:pPr>
        <w:pStyle w:val="Footnoteheading"/>
      </w:pPr>
      <w:r>
        <w:tab/>
        <w:t>[Heading inserted: No. 35 of 2011 s. 19.]</w:t>
      </w:r>
    </w:p>
    <w:p>
      <w:pPr>
        <w:pStyle w:val="Heading5"/>
        <w:keepNext w:val="0"/>
        <w:keepLines w:val="0"/>
      </w:pPr>
      <w:bookmarkStart w:id="117" w:name="_Toc408233465"/>
      <w:bookmarkStart w:id="118" w:name="_Toc146034174"/>
      <w:r>
        <w:rPr>
          <w:rStyle w:val="CharSectno"/>
        </w:rPr>
        <w:t>31</w:t>
      </w:r>
      <w:r>
        <w:t>.</w:t>
      </w:r>
      <w:r>
        <w:tab/>
        <w:t>Guarantee by Crown of scheme benefits etc.</w:t>
      </w:r>
      <w:bookmarkEnd w:id="117"/>
      <w:bookmarkEnd w:id="118"/>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w:t>
      </w:r>
      <w:r>
        <w:t xml:space="preserve">this Act </w:t>
      </w:r>
      <w:r>
        <w:rPr>
          <w:snapToGrid w:val="0"/>
        </w:rPr>
        <w:t>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Account, and the Consolidated Account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Account. </w:t>
      </w:r>
    </w:p>
    <w:p>
      <w:pPr>
        <w:pStyle w:val="Footnotesection"/>
      </w:pPr>
      <w:r>
        <w:tab/>
        <w:t>[Section 31 amended: No. 77 of 2006 s. 4; No. 25 of 2007 s. 6(5); No. 35 of 2011 s. 20.]</w:t>
      </w:r>
    </w:p>
    <w:p>
      <w:pPr>
        <w:pStyle w:val="Heading5"/>
        <w:keepLines w:val="0"/>
      </w:pPr>
      <w:bookmarkStart w:id="119" w:name="_Toc408233466"/>
      <w:bookmarkStart w:id="120" w:name="_Toc146034175"/>
      <w:r>
        <w:rPr>
          <w:rStyle w:val="CharSectno"/>
        </w:rPr>
        <w:t>32</w:t>
      </w:r>
      <w:r>
        <w:rPr>
          <w:snapToGrid w:val="0"/>
        </w:rPr>
        <w:t>.</w:t>
      </w:r>
      <w:r>
        <w:rPr>
          <w:snapToGrid w:val="0"/>
        </w:rPr>
        <w:tab/>
        <w:t>Appropriation to meet contribution etc. obligations</w:t>
      </w:r>
      <w:bookmarkEnd w:id="119"/>
      <w:bookmarkEnd w:id="120"/>
    </w:p>
    <w:p>
      <w:pPr>
        <w:pStyle w:val="Subsection"/>
        <w:rPr>
          <w:snapToGrid w:val="0"/>
        </w:rPr>
      </w:pPr>
      <w:r>
        <w:tab/>
      </w:r>
      <w:r>
        <w:tab/>
        <w:t xml:space="preserve">The </w:t>
      </w:r>
      <w:r>
        <w:rPr>
          <w:snapToGrid w:val="0"/>
        </w:rPr>
        <w:t>Consolidated Account</w:t>
      </w:r>
      <w:r>
        <w:t xml:space="preserve"> is appropriated to the extent necessary to meet the payment of contributions and other amounts required by </w:t>
      </w:r>
      <w:r>
        <w:rPr>
          <w:snapToGrid w:val="0"/>
        </w:rPr>
        <w:t xml:space="preserve">regulations under this Act to be paid by the Crown to the Fund on or after </w:t>
      </w:r>
      <w:r>
        <w:t>17 February 2001.</w:t>
      </w:r>
    </w:p>
    <w:p>
      <w:pPr>
        <w:pStyle w:val="Footnotesection"/>
      </w:pPr>
      <w:r>
        <w:tab/>
        <w:t>[Section 32 amended: No. 77 of 2006 s. 4; No. 25 of 2007 s. 6(4).]</w:t>
      </w:r>
    </w:p>
    <w:p>
      <w:pPr>
        <w:pStyle w:val="Heading2"/>
      </w:pPr>
      <w:bookmarkStart w:id="121" w:name="_Toc392508155"/>
      <w:bookmarkStart w:id="122" w:name="_Toc397337807"/>
      <w:bookmarkStart w:id="123" w:name="_Toc397954848"/>
      <w:bookmarkStart w:id="124" w:name="_Toc408233467"/>
      <w:bookmarkStart w:id="125" w:name="_Toc424548246"/>
      <w:bookmarkStart w:id="126" w:name="_Toc434856191"/>
      <w:bookmarkStart w:id="127" w:name="_Toc146034176"/>
      <w:r>
        <w:rPr>
          <w:rStyle w:val="CharPartNo"/>
        </w:rPr>
        <w:lastRenderedPageBreak/>
        <w:t>Part 6</w:t>
      </w:r>
      <w:r>
        <w:rPr>
          <w:rStyle w:val="CharDivNo"/>
        </w:rPr>
        <w:t> </w:t>
      </w:r>
      <w:r>
        <w:t>—</w:t>
      </w:r>
      <w:r>
        <w:rPr>
          <w:rStyle w:val="CharDivText"/>
        </w:rPr>
        <w:t> </w:t>
      </w:r>
      <w:r>
        <w:rPr>
          <w:rStyle w:val="CharPartText"/>
        </w:rPr>
        <w:t>Miscellaneous</w:t>
      </w:r>
      <w:bookmarkEnd w:id="121"/>
      <w:bookmarkEnd w:id="122"/>
      <w:bookmarkEnd w:id="123"/>
      <w:bookmarkEnd w:id="124"/>
      <w:bookmarkEnd w:id="125"/>
      <w:bookmarkEnd w:id="126"/>
      <w:bookmarkEnd w:id="127"/>
    </w:p>
    <w:p>
      <w:pPr>
        <w:pStyle w:val="Footnoteheading"/>
      </w:pPr>
      <w:r>
        <w:tab/>
        <w:t>[Heading inserted: No. 35 of 2011 s. 21.]</w:t>
      </w:r>
    </w:p>
    <w:p>
      <w:pPr>
        <w:pStyle w:val="Heading5"/>
        <w:keepLines w:val="0"/>
      </w:pPr>
      <w:bookmarkStart w:id="128" w:name="_Toc408233468"/>
      <w:bookmarkStart w:id="129" w:name="_Toc146034177"/>
      <w:r>
        <w:rPr>
          <w:rStyle w:val="CharSectno"/>
        </w:rPr>
        <w:t>33</w:t>
      </w:r>
      <w:r>
        <w:t>.</w:t>
      </w:r>
      <w:r>
        <w:tab/>
        <w:t>Treasurer’s approvals and guidelines</w:t>
      </w:r>
      <w:bookmarkEnd w:id="128"/>
      <w:bookmarkEnd w:id="129"/>
    </w:p>
    <w:p>
      <w:pPr>
        <w:pStyle w:val="Subsection"/>
      </w:pPr>
      <w:r>
        <w:tab/>
        <w:t>(1)</w:t>
      </w:r>
      <w:r>
        <w:tab/>
        <w:t>An approval given by the Treasurer —</w:t>
      </w:r>
    </w:p>
    <w:p>
      <w:pPr>
        <w:pStyle w:val="Indenta"/>
        <w:spacing w:before="70"/>
      </w:pPr>
      <w:r>
        <w:tab/>
        <w:t>(a)</w:t>
      </w:r>
      <w:r>
        <w:tab/>
        <w:t>must be in writing; and</w:t>
      </w:r>
    </w:p>
    <w:p>
      <w:pPr>
        <w:pStyle w:val="Indenta"/>
        <w:spacing w:before="70"/>
      </w:pPr>
      <w:r>
        <w:tab/>
        <w:t>(b)</w:t>
      </w:r>
      <w:r>
        <w:tab/>
        <w:t>may be given when and how the Treasurer determines; and</w:t>
      </w:r>
    </w:p>
    <w:p>
      <w:pPr>
        <w:pStyle w:val="Indenta"/>
        <w:spacing w:before="70"/>
      </w:pPr>
      <w:r>
        <w:tab/>
        <w:t>(c)</w:t>
      </w:r>
      <w:r>
        <w:tab/>
        <w:t>may be given in relation to a particular matter or matters of a particular kind.</w:t>
      </w:r>
    </w:p>
    <w:p>
      <w:pPr>
        <w:pStyle w:val="Subsection"/>
      </w:pPr>
      <w:r>
        <w:tab/>
        <w:t>(2)</w:t>
      </w:r>
      <w:r>
        <w:tab/>
        <w:t>The Treasurer may, after consulting the Board, issue written guidelines to be followed by the Board in relation to —</w:t>
      </w:r>
    </w:p>
    <w:p>
      <w:pPr>
        <w:pStyle w:val="Indenta"/>
        <w:spacing w:before="66"/>
      </w:pPr>
      <w:r>
        <w:tab/>
        <w:t>(aa)</w:t>
      </w:r>
      <w:r>
        <w:tab/>
        <w:t>the exercise by the Board of its powers under section 6(1)(c) to select and appoint external administrators of the schemes and monitor their administration; and</w:t>
      </w:r>
    </w:p>
    <w:p>
      <w:pPr>
        <w:pStyle w:val="Indenta"/>
        <w:spacing w:before="66"/>
      </w:pPr>
      <w:r>
        <w:tab/>
        <w:t>(a)</w:t>
      </w:r>
      <w:r>
        <w:tab/>
        <w:t>the information, advice and assistance to be provided by the Board under section 6(1)(d); and</w:t>
      </w:r>
    </w:p>
    <w:p>
      <w:pPr>
        <w:pStyle w:val="Indenta"/>
        <w:spacing w:before="66"/>
      </w:pPr>
      <w:r>
        <w:tab/>
        <w:t>(b)</w:t>
      </w:r>
      <w:r>
        <w:tab/>
        <w:t>the provision by the Board of, or the facilitation by the Board of the provision of, products and services under section 6(1)(e); and</w:t>
      </w:r>
    </w:p>
    <w:p>
      <w:pPr>
        <w:pStyle w:val="Indenta"/>
        <w:spacing w:before="66"/>
      </w:pPr>
      <w:r>
        <w:tab/>
        <w:t>(ca)</w:t>
      </w:r>
      <w:r>
        <w:tab/>
        <w:t>the exercise by the Board of its powers under section 7(2)(b) and (c); and</w:t>
      </w:r>
    </w:p>
    <w:p>
      <w:pPr>
        <w:pStyle w:val="Indenta"/>
        <w:spacing w:before="66"/>
      </w:pPr>
      <w:r>
        <w:tab/>
        <w:t>(c)</w:t>
      </w:r>
      <w:r>
        <w:tab/>
        <w:t>the carrying out of actuarial investigations under section 17; and</w:t>
      </w:r>
    </w:p>
    <w:p>
      <w:pPr>
        <w:pStyle w:val="Indenta"/>
        <w:spacing w:before="66"/>
      </w:pPr>
      <w:r>
        <w:tab/>
        <w:t>(d)</w:t>
      </w:r>
      <w:r>
        <w:tab/>
        <w:t>the exercise of the Board’s powers under section 18; and</w:t>
      </w:r>
    </w:p>
    <w:p>
      <w:pPr>
        <w:pStyle w:val="Indenta"/>
        <w:spacing w:before="66"/>
      </w:pPr>
      <w:r>
        <w:tab/>
        <w:t>(e)</w:t>
      </w:r>
      <w:r>
        <w:tab/>
        <w:t>the submission of matters to the Treasurer for approval under sections 18, 23, 24 and 38(5); and</w:t>
      </w:r>
    </w:p>
    <w:p>
      <w:pPr>
        <w:pStyle w:val="Indenta"/>
        <w:spacing w:before="66"/>
      </w:pPr>
      <w:r>
        <w:tab/>
        <w:t>(fa)</w:t>
      </w:r>
      <w:r>
        <w:tab/>
        <w:t>the formulation and review of an investment strategy under section 19; and</w:t>
      </w:r>
    </w:p>
    <w:p>
      <w:pPr>
        <w:pStyle w:val="Indenta"/>
        <w:spacing w:before="66"/>
      </w:pPr>
      <w:r>
        <w:tab/>
        <w:t>(f)</w:t>
      </w:r>
      <w:r>
        <w:tab/>
        <w:t>the review by the Board of its investment strategy and the management and performance of its investments under section 19(3); and</w:t>
      </w:r>
    </w:p>
    <w:p>
      <w:pPr>
        <w:pStyle w:val="Indenta"/>
        <w:spacing w:before="60"/>
      </w:pPr>
      <w:r>
        <w:lastRenderedPageBreak/>
        <w:tab/>
        <w:t>(ga)</w:t>
      </w:r>
      <w:r>
        <w:tab/>
        <w:t>the maintenance of reserves and the formulation and review of a reserving strategy under section 20A; and</w:t>
      </w:r>
    </w:p>
    <w:p>
      <w:pPr>
        <w:pStyle w:val="Indenta"/>
        <w:spacing w:before="60"/>
      </w:pPr>
      <w:r>
        <w:tab/>
        <w:t>(g)</w:t>
      </w:r>
      <w:r>
        <w:tab/>
        <w:t>the allocation of investment earnings and costs of managing and administering the Fund and the schemes under section 22; and</w:t>
      </w:r>
    </w:p>
    <w:p>
      <w:pPr>
        <w:pStyle w:val="Indenta"/>
        <w:spacing w:before="60"/>
      </w:pPr>
      <w:r>
        <w:tab/>
        <w:t>(h)</w:t>
      </w:r>
      <w:r>
        <w:tab/>
        <w:t>the appointment of investment managers under section 23(1); and</w:t>
      </w:r>
    </w:p>
    <w:p>
      <w:pPr>
        <w:pStyle w:val="Indenta"/>
        <w:spacing w:before="60"/>
      </w:pPr>
      <w:r>
        <w:tab/>
        <w:t>(i)</w:t>
      </w:r>
      <w:r>
        <w:tab/>
        <w:t xml:space="preserve">the delegation of functions to investment managers under section 23(2); and </w:t>
      </w:r>
    </w:p>
    <w:p>
      <w:pPr>
        <w:pStyle w:val="Indenta"/>
        <w:spacing w:before="60"/>
      </w:pPr>
      <w:r>
        <w:tab/>
        <w:t>(j)</w:t>
      </w:r>
      <w:r>
        <w:tab/>
        <w:t>borrowing under section 24.</w:t>
      </w:r>
    </w:p>
    <w:p>
      <w:pPr>
        <w:pStyle w:val="Subsection"/>
        <w:spacing w:before="140"/>
      </w:pPr>
      <w:r>
        <w:tab/>
        <w:t>(3)</w:t>
      </w:r>
      <w:r>
        <w:tab/>
        <w:t xml:space="preserve">Guidelines issued under subsection (2) are not subsidiary legislation for the purposes of the </w:t>
      </w:r>
      <w:r>
        <w:rPr>
          <w:i/>
        </w:rPr>
        <w:t>Interpretation Act 1984</w:t>
      </w:r>
      <w:r>
        <w:t>.</w:t>
      </w:r>
    </w:p>
    <w:p>
      <w:pPr>
        <w:pStyle w:val="Subsection"/>
        <w:spacing w:before="140"/>
      </w:pPr>
      <w:r>
        <w:tab/>
        <w:t>(4A)</w:t>
      </w:r>
      <w:r>
        <w:tab/>
        <w:t>Where guidelines are issued under subsection (2), the Treasurer is to —</w:t>
      </w:r>
    </w:p>
    <w:p>
      <w:pPr>
        <w:pStyle w:val="Indenta"/>
        <w:spacing w:before="60"/>
      </w:pPr>
      <w:r>
        <w:tab/>
        <w:t>(a)</w:t>
      </w:r>
      <w:r>
        <w:tab/>
        <w:t xml:space="preserve">publish notice of the guidelines in the </w:t>
      </w:r>
      <w:r>
        <w:rPr>
          <w:i/>
          <w:iCs/>
        </w:rPr>
        <w:t>Gazette</w:t>
      </w:r>
      <w:r>
        <w:t xml:space="preserve"> within 21 days of the issue; and</w:t>
      </w:r>
    </w:p>
    <w:p>
      <w:pPr>
        <w:pStyle w:val="Indenta"/>
        <w:spacing w:before="60"/>
      </w:pPr>
      <w:r>
        <w:tab/>
        <w:t>(b)</w:t>
      </w:r>
      <w:r>
        <w:tab/>
        <w:t>make and, for so long as they remain current, keep the guidelines accessible on or through a website maintained by the Department.</w:t>
      </w:r>
    </w:p>
    <w:p>
      <w:pPr>
        <w:pStyle w:val="Subsection"/>
        <w:spacing w:before="140"/>
      </w:pPr>
      <w:r>
        <w:tab/>
        <w:t>(4B)</w:t>
      </w:r>
      <w:r>
        <w:tab/>
        <w:t xml:space="preserve">In subsection (4A) — </w:t>
      </w:r>
    </w:p>
    <w:p>
      <w:pPr>
        <w:pStyle w:val="Defstart"/>
      </w:pPr>
      <w:r>
        <w:tab/>
      </w:r>
      <w:r>
        <w:rPr>
          <w:rStyle w:val="CharDefText"/>
        </w:rPr>
        <w:t>Department</w:t>
      </w:r>
      <w:r>
        <w:t xml:space="preserve"> means the department of the Public Service principally assisting in the administration of this Act.</w:t>
      </w:r>
    </w:p>
    <w:p>
      <w:pPr>
        <w:pStyle w:val="Subsection"/>
        <w:spacing w:before="140"/>
      </w:pPr>
      <w:r>
        <w:tab/>
        <w:t>(4)</w:t>
      </w:r>
      <w:r>
        <w:tab/>
        <w:t>If there is any inconsistency between guidelines issued under subsection (2) and a direction given under section 35, the guidelines prevail.</w:t>
      </w:r>
    </w:p>
    <w:p>
      <w:pPr>
        <w:pStyle w:val="Footnotesection"/>
        <w:spacing w:before="100"/>
        <w:ind w:left="890" w:hanging="890"/>
      </w:pPr>
      <w:r>
        <w:tab/>
        <w:t>[Section 33 amended: No. 18 of 2006 s. 12; No. 25 of 2007 s. 19(1); No. 35 of 2011 s. 49.]</w:t>
      </w:r>
    </w:p>
    <w:p>
      <w:pPr>
        <w:pStyle w:val="Heading5"/>
        <w:spacing w:before="200"/>
      </w:pPr>
      <w:bookmarkStart w:id="130" w:name="_Toc408233469"/>
      <w:bookmarkStart w:id="131" w:name="_Toc146034178"/>
      <w:r>
        <w:rPr>
          <w:rStyle w:val="CharSectno"/>
        </w:rPr>
        <w:t>33A</w:t>
      </w:r>
      <w:r>
        <w:t>.</w:t>
      </w:r>
      <w:r>
        <w:tab/>
        <w:t>Board to observe certain policy instruments</w:t>
      </w:r>
      <w:bookmarkEnd w:id="130"/>
      <w:bookmarkEnd w:id="131"/>
    </w:p>
    <w:p>
      <w:pPr>
        <w:pStyle w:val="Subsection"/>
        <w:spacing w:before="140"/>
      </w:pPr>
      <w:r>
        <w:tab/>
      </w:r>
      <w:r>
        <w:tab/>
        <w:t>The Board is to perform its functions in accordance with its strategic development plan and its statement of corporate intent as existing from time to time.</w:t>
      </w:r>
    </w:p>
    <w:p>
      <w:pPr>
        <w:pStyle w:val="Footnotesection"/>
        <w:spacing w:before="100"/>
        <w:ind w:left="890" w:hanging="890"/>
      </w:pPr>
      <w:r>
        <w:tab/>
        <w:t>[Section 33A inserted: No. 28 of 2006 s. 434.]</w:t>
      </w:r>
    </w:p>
    <w:p>
      <w:pPr>
        <w:pStyle w:val="Heading5"/>
      </w:pPr>
      <w:bookmarkStart w:id="132" w:name="_Toc408233470"/>
      <w:bookmarkStart w:id="133" w:name="_Toc146034179"/>
      <w:r>
        <w:rPr>
          <w:rStyle w:val="CharSectno"/>
        </w:rPr>
        <w:lastRenderedPageBreak/>
        <w:t>33B</w:t>
      </w:r>
      <w:r>
        <w:t>.</w:t>
      </w:r>
      <w:r>
        <w:tab/>
        <w:t>Strategic development plan and statement of corporate intent</w:t>
      </w:r>
      <w:bookmarkEnd w:id="132"/>
      <w:bookmarkEnd w:id="133"/>
    </w:p>
    <w:p>
      <w:pPr>
        <w:pStyle w:val="Subsection"/>
      </w:pPr>
      <w:r>
        <w:tab/>
        <w:t>(1)</w:t>
      </w:r>
      <w:r>
        <w:tab/>
        <w:t xml:space="preserve">The Board must, at the prescribed times, prepare and submit to the </w:t>
      </w:r>
      <w:r>
        <w:rPr>
          <w:szCs w:val="24"/>
        </w:rPr>
        <w:t>Treasurer</w:t>
      </w:r>
      <w:r>
        <w:t xml:space="preserve">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w:t>
      </w:r>
      <w:r>
        <w:rPr>
          <w:szCs w:val="24"/>
        </w:rPr>
        <w:t>Treasurer</w:t>
      </w:r>
      <w:r>
        <w:t xml:space="preserve"> to give directions to the Board, the </w:t>
      </w:r>
      <w:r>
        <w:rPr>
          <w:szCs w:val="24"/>
        </w:rPr>
        <w:t>Treasurer</w:t>
      </w:r>
      <w:r>
        <w:t xml:space="preserve"> must cause a copy of a direction given under the regulation to be laid before each House of Parliament or be dealt with in accordance with section 36A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Ednotesubsection"/>
      </w:pPr>
      <w:r>
        <w:tab/>
        <w:t>[(4)</w:t>
      </w:r>
      <w:r>
        <w:tab/>
        <w:t>deleted]</w:t>
      </w:r>
    </w:p>
    <w:p>
      <w:pPr>
        <w:pStyle w:val="Subsection"/>
      </w:pPr>
      <w:r>
        <w:lastRenderedPageBreak/>
        <w:tab/>
        <w:t>(5)</w:t>
      </w:r>
      <w:r>
        <w:tab/>
        <w:t xml:space="preserve">The text of a direction referred to in subsection (3) is to be included in the annual report submitted by the accountable authority of the Board under the </w:t>
      </w:r>
      <w:r>
        <w:rPr>
          <w:i/>
          <w:iCs/>
        </w:rPr>
        <w:t>Financial Management Act 2006</w:t>
      </w:r>
      <w:r>
        <w:t xml:space="preserve"> Part 5.</w:t>
      </w:r>
    </w:p>
    <w:p>
      <w:pPr>
        <w:pStyle w:val="Footnotesection"/>
      </w:pPr>
      <w:r>
        <w:tab/>
        <w:t>[Section 33B inserted: No. 28 of 2006 s. 434; amended: No. 25 of 2007 s. 11; No. 35 of 2011 s. 22, 31 and 35.]</w:t>
      </w:r>
    </w:p>
    <w:p>
      <w:pPr>
        <w:pStyle w:val="Ednotesection"/>
      </w:pPr>
      <w:r>
        <w:t>[</w:t>
      </w:r>
      <w:r>
        <w:rPr>
          <w:b/>
          <w:bCs/>
        </w:rPr>
        <w:t>33C.</w:t>
      </w:r>
      <w:r>
        <w:rPr>
          <w:b/>
          <w:bCs/>
        </w:rPr>
        <w:tab/>
      </w:r>
      <w:r>
        <w:t>Deleted: No. 25 of 2007 s. 12.]</w:t>
      </w:r>
    </w:p>
    <w:p>
      <w:pPr>
        <w:pStyle w:val="Heading5"/>
        <w:keepLines w:val="0"/>
        <w:rPr>
          <w:snapToGrid w:val="0"/>
        </w:rPr>
      </w:pPr>
      <w:bookmarkStart w:id="134" w:name="_Toc408233471"/>
      <w:bookmarkStart w:id="135" w:name="_Toc146034180"/>
      <w:r>
        <w:rPr>
          <w:rStyle w:val="CharSectno"/>
        </w:rPr>
        <w:t>34</w:t>
      </w:r>
      <w:r>
        <w:rPr>
          <w:snapToGrid w:val="0"/>
        </w:rPr>
        <w:t>.</w:t>
      </w:r>
      <w:r>
        <w:rPr>
          <w:snapToGrid w:val="0"/>
        </w:rPr>
        <w:tab/>
        <w:t>Directions to Employers as to practice and procedure</w:t>
      </w:r>
      <w:bookmarkEnd w:id="134"/>
      <w:bookmarkEnd w:id="135"/>
    </w:p>
    <w:p>
      <w:pPr>
        <w:pStyle w:val="Subsection"/>
        <w:rPr>
          <w:snapToGrid w:val="0"/>
        </w:rPr>
      </w:pPr>
      <w:r>
        <w:rPr>
          <w:snapToGrid w:val="0"/>
        </w:rPr>
        <w:tab/>
        <w:t>(1)</w:t>
      </w:r>
      <w:r>
        <w:rPr>
          <w:snapToGrid w:val="0"/>
        </w:rPr>
        <w:tab/>
        <w:t xml:space="preserve">The Board or the </w:t>
      </w:r>
      <w:r>
        <w:rPr>
          <w:szCs w:val="24"/>
        </w:rPr>
        <w:t>Treasurer</w:t>
      </w:r>
      <w:r>
        <w:rPr>
          <w:snapToGrid w:val="0"/>
        </w:rPr>
        <w:t xml:space="preserve"> may give written directions to Employers about the practices and procedures to be observed by Employers for the efficient operation of </w:t>
      </w:r>
      <w:r>
        <w:t xml:space="preserve">this Act </w:t>
      </w:r>
      <w:r>
        <w:rPr>
          <w:snapToGrid w:val="0"/>
        </w:rPr>
        <w:t xml:space="preserve">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apply at all times, at a particular time, or for a particular period; or</w:t>
      </w:r>
    </w:p>
    <w:p>
      <w:pPr>
        <w:pStyle w:val="Indenta"/>
        <w:rPr>
          <w:snapToGrid w:val="0"/>
        </w:rPr>
      </w:pPr>
      <w:r>
        <w:rPr>
          <w:snapToGrid w:val="0"/>
        </w:rPr>
        <w:tab/>
        <w:t>(b)</w:t>
      </w:r>
      <w:r>
        <w:rPr>
          <w:snapToGrid w:val="0"/>
        </w:rPr>
        <w:tab/>
        <w:t>apply to all Employers, to a particular Employer, or to Employers in a particular class; or</w:t>
      </w:r>
    </w:p>
    <w:p>
      <w:pPr>
        <w:pStyle w:val="Indenta"/>
        <w:rPr>
          <w:snapToGrid w:val="0"/>
        </w:rPr>
      </w:pPr>
      <w:r>
        <w:rPr>
          <w:snapToGrid w:val="0"/>
        </w:rPr>
        <w:tab/>
        <w:t>(c)</w:t>
      </w:r>
      <w:r>
        <w:rPr>
          <w:snapToGrid w:val="0"/>
        </w:rPr>
        <w:tab/>
        <w:t>direct something to be done in a particular manner; or</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Footnotesection"/>
      </w:pPr>
      <w:r>
        <w:tab/>
        <w:t>[Section 34 amended: No. 25 of 2007 s. 6(5) and 19(2); No. 35 of 2011 s. 23 and 31.]</w:t>
      </w:r>
    </w:p>
    <w:p>
      <w:pPr>
        <w:pStyle w:val="Heading5"/>
        <w:keepLines w:val="0"/>
        <w:rPr>
          <w:snapToGrid w:val="0"/>
        </w:rPr>
      </w:pPr>
      <w:bookmarkStart w:id="136" w:name="_Toc408233472"/>
      <w:bookmarkStart w:id="137" w:name="_Toc146034181"/>
      <w:r>
        <w:rPr>
          <w:rStyle w:val="CharSectno"/>
        </w:rPr>
        <w:lastRenderedPageBreak/>
        <w:t>35</w:t>
      </w:r>
      <w:r>
        <w:t>.</w:t>
      </w:r>
      <w:r>
        <w:tab/>
      </w:r>
      <w:r>
        <w:rPr>
          <w:snapToGrid w:val="0"/>
        </w:rPr>
        <w:t>Treasurer may give Board directions</w:t>
      </w:r>
      <w:bookmarkEnd w:id="136"/>
      <w:bookmarkEnd w:id="137"/>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w:t>
      </w:r>
      <w:r>
        <w:rPr>
          <w:szCs w:val="24"/>
        </w:rPr>
        <w:t>Treasurer</w:t>
      </w:r>
      <w:r>
        <w:rPr>
          <w:snapToGrid w:val="0"/>
        </w:rPr>
        <w:t xml:space="preserve">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w:t>
      </w:r>
      <w:r>
        <w:rPr>
          <w:szCs w:val="24"/>
        </w:rPr>
        <w:t>Treasurer</w:t>
      </w:r>
      <w:r>
        <w:rPr>
          <w:snapToGrid w:val="0"/>
        </w:rPr>
        <w:t xml:space="preserve">. </w:t>
      </w:r>
    </w:p>
    <w:p>
      <w:pPr>
        <w:pStyle w:val="Subsection"/>
      </w:pPr>
      <w:r>
        <w:tab/>
        <w:t>(3)</w:t>
      </w:r>
      <w:r>
        <w:tab/>
        <w:t>Subject to subsections (5) and (6), a direction becomes effective on the expiry of 7 days after the Board receives it or of such longer period as the Treasurer may, at the Board’s request, determine.</w:t>
      </w:r>
    </w:p>
    <w:p>
      <w:pPr>
        <w:pStyle w:val="Subsection"/>
      </w:pPr>
      <w:r>
        <w:tab/>
        <w:t>(4)</w:t>
      </w:r>
      <w:r>
        <w:tab/>
        <w:t>If the Board asks the Treasurer to extend the 7 day period under subsection (3), the Treasurer must decide whether or not to agree to the request and notify the Board of that decision before the 7 day period has expired.</w:t>
      </w:r>
    </w:p>
    <w:p>
      <w:pPr>
        <w:pStyle w:val="Subsection"/>
      </w:pPr>
      <w:r>
        <w:tab/>
        <w:t>(5)</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p>
    <w:p>
      <w:pPr>
        <w:pStyle w:val="Subsection"/>
      </w:pPr>
      <w:r>
        <w:tab/>
        <w:t>(6)</w:t>
      </w:r>
      <w:r>
        <w:tab/>
        <w:t xml:space="preserve">Despite the </w:t>
      </w:r>
      <w:r>
        <w:rPr>
          <w:i/>
          <w:iCs/>
        </w:rPr>
        <w:t>Statutory Corporations (Liability of Directors) Act 1996</w:t>
      </w:r>
      <w:r>
        <w:t xml:space="preserve"> section 17(4), the Treasurer may, when confirming a direction under that section, extend the time for the direction to become effective and is to notify the Board of the extension.</w:t>
      </w:r>
    </w:p>
    <w:p>
      <w:pPr>
        <w:pStyle w:val="Subsection"/>
      </w:pPr>
      <w:r>
        <w:tab/>
        <w:t>(7)</w:t>
      </w:r>
      <w:r>
        <w:tab/>
        <w:t>The Treasurer must cause a copy of a direction to be laid before each House of Parliament or dealt with under section 36A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lastRenderedPageBreak/>
        <w:tab/>
        <w:t>(8)</w:t>
      </w:r>
      <w:r>
        <w:tab/>
        <w:t xml:space="preserve">The text of a direction is to be included in the annual report submitted by the accountable authority of the Board under the </w:t>
      </w:r>
      <w:r>
        <w:rPr>
          <w:i/>
          <w:iCs/>
        </w:rPr>
        <w:t>Financial Management Act 2006</w:t>
      </w:r>
      <w:r>
        <w:t xml:space="preserve"> Part 5.</w:t>
      </w:r>
    </w:p>
    <w:p>
      <w:pPr>
        <w:pStyle w:val="Footnotesection"/>
      </w:pPr>
      <w:r>
        <w:tab/>
        <w:t>[Section 35 amended: No. 77 of 2006 Sch. 1 cl. 160(2); No. 25 of 2007 s. 13; No. 35 of 2011 s. 24 and 31.]</w:t>
      </w:r>
    </w:p>
    <w:p>
      <w:pPr>
        <w:pStyle w:val="Heading5"/>
      </w:pPr>
      <w:bookmarkStart w:id="138" w:name="_Toc408233473"/>
      <w:bookmarkStart w:id="139" w:name="_Toc146034182"/>
      <w:r>
        <w:rPr>
          <w:rStyle w:val="CharSectno"/>
        </w:rPr>
        <w:t>36A</w:t>
      </w:r>
      <w:r>
        <w:t>.</w:t>
      </w:r>
      <w:r>
        <w:tab/>
        <w:t>Laying documents before Parliament, procedure for if House not sitting etc.</w:t>
      </w:r>
      <w:bookmarkEnd w:id="138"/>
      <w:bookmarkEnd w:id="139"/>
    </w:p>
    <w:p>
      <w:pPr>
        <w:pStyle w:val="Subsection"/>
      </w:pPr>
      <w:r>
        <w:tab/>
        <w:t>(1)</w:t>
      </w:r>
      <w:r>
        <w:tab/>
        <w:t>If a provision of this Act requires a person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person is of the opinion that the House will not sit during that period,</w:t>
      </w:r>
    </w:p>
    <w:p>
      <w:pPr>
        <w:pStyle w:val="Subsection"/>
      </w:pPr>
      <w:r>
        <w:tab/>
      </w:r>
      <w:r>
        <w:tab/>
        <w:t>the person must transmit a copy of the document to the Clerk of that House.</w:t>
      </w:r>
    </w:p>
    <w:p>
      <w:pPr>
        <w:pStyle w:val="Subsection"/>
      </w:pPr>
      <w:r>
        <w:tab/>
        <w:t>(2)</w:t>
      </w:r>
      <w:r>
        <w:tab/>
        <w:t>A copy of a direction transmitted to the Clerk of a House is to be taken to have been laid before that House.</w:t>
      </w:r>
    </w:p>
    <w:p>
      <w:pPr>
        <w:pStyle w:val="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Footnotesection"/>
      </w:pPr>
      <w:r>
        <w:tab/>
        <w:t>[Section 36A inserted: No. 35 of 2011 s. 25.]</w:t>
      </w:r>
    </w:p>
    <w:p>
      <w:pPr>
        <w:pStyle w:val="Heading5"/>
        <w:keepLines w:val="0"/>
        <w:rPr>
          <w:snapToGrid w:val="0"/>
        </w:rPr>
      </w:pPr>
      <w:bookmarkStart w:id="140" w:name="_Toc408233474"/>
      <w:bookmarkStart w:id="141" w:name="_Toc146034183"/>
      <w:r>
        <w:rPr>
          <w:rStyle w:val="CharSectno"/>
        </w:rPr>
        <w:t>36</w:t>
      </w:r>
      <w:r>
        <w:rPr>
          <w:snapToGrid w:val="0"/>
        </w:rPr>
        <w:t>.</w:t>
      </w:r>
      <w:r>
        <w:rPr>
          <w:snapToGrid w:val="0"/>
        </w:rPr>
        <w:tab/>
      </w:r>
      <w:r>
        <w:rPr>
          <w:szCs w:val="24"/>
        </w:rPr>
        <w:t>Treasurer</w:t>
      </w:r>
      <w:r>
        <w:rPr>
          <w:snapToGrid w:val="0"/>
          <w:szCs w:val="24"/>
        </w:rPr>
        <w:t xml:space="preserve"> to have</w:t>
      </w:r>
      <w:r>
        <w:rPr>
          <w:snapToGrid w:val="0"/>
        </w:rPr>
        <w:t xml:space="preserve"> access to information</w:t>
      </w:r>
      <w:bookmarkEnd w:id="140"/>
      <w:bookmarkEnd w:id="141"/>
      <w:r>
        <w:rPr>
          <w:snapToGrid w:val="0"/>
        </w:rPr>
        <w:t xml:space="preserve"> </w:t>
      </w:r>
    </w:p>
    <w:p>
      <w:pPr>
        <w:pStyle w:val="Subsection"/>
        <w:rPr>
          <w:snapToGrid w:val="0"/>
        </w:rPr>
      </w:pPr>
      <w:r>
        <w:rPr>
          <w:snapToGrid w:val="0"/>
        </w:rPr>
        <w:tab/>
        <w:t>(1)</w:t>
      </w:r>
      <w:r>
        <w:rPr>
          <w:snapToGrid w:val="0"/>
        </w:rPr>
        <w:tab/>
        <w:t xml:space="preserve">For parliamentary purposes or for the proper conduct of the </w:t>
      </w:r>
      <w:r>
        <w:t>Treasurer’s</w:t>
      </w:r>
      <w:r>
        <w:rPr>
          <w:snapToGrid w:val="0"/>
        </w:rPr>
        <w:t xml:space="preserve"> public business, the </w:t>
      </w:r>
      <w:r>
        <w:rPr>
          <w:szCs w:val="24"/>
        </w:rPr>
        <w:t>Treasurer</w:t>
      </w:r>
      <w:r>
        <w:rPr>
          <w:snapToGrid w:val="0"/>
        </w:rPr>
        <w:t xml:space="preserve">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lastRenderedPageBreak/>
        <w:tab/>
        <w:t>(2)</w:t>
      </w:r>
      <w:r>
        <w:rPr>
          <w:snapToGrid w:val="0"/>
        </w:rPr>
        <w:tab/>
        <w:t xml:space="preserve">For the purposes of subsection (1) the </w:t>
      </w:r>
      <w:r>
        <w:rPr>
          <w:szCs w:val="24"/>
        </w:rPr>
        <w:t>Treasurer</w:t>
      </w:r>
      <w:r>
        <w:rPr>
          <w:snapToGrid w:val="0"/>
        </w:rPr>
        <w:t xml:space="preserve"> may, in writing, request the Board to — </w:t>
      </w:r>
    </w:p>
    <w:p>
      <w:pPr>
        <w:pStyle w:val="Indenta"/>
        <w:rPr>
          <w:snapToGrid w:val="0"/>
        </w:rPr>
      </w:pPr>
      <w:r>
        <w:rPr>
          <w:snapToGrid w:val="0"/>
        </w:rPr>
        <w:tab/>
        <w:t>(a)</w:t>
      </w:r>
      <w:r>
        <w:rPr>
          <w:snapToGrid w:val="0"/>
        </w:rPr>
        <w:tab/>
        <w:t xml:space="preserve">give the </w:t>
      </w:r>
      <w:r>
        <w:rPr>
          <w:szCs w:val="24"/>
        </w:rPr>
        <w:t>Treasurer</w:t>
      </w:r>
      <w:r>
        <w:rPr>
          <w:snapToGrid w:val="0"/>
        </w:rPr>
        <w:t xml:space="preserve"> information or access to information; and </w:t>
      </w:r>
    </w:p>
    <w:p>
      <w:pPr>
        <w:pStyle w:val="Indenta"/>
        <w:keepNext/>
        <w:rPr>
          <w:snapToGrid w:val="0"/>
        </w:rPr>
      </w:pPr>
      <w:r>
        <w:rPr>
          <w:snapToGrid w:val="0"/>
        </w:rPr>
        <w:tab/>
        <w:t>(b)</w:t>
      </w:r>
      <w:r>
        <w:rPr>
          <w:snapToGrid w:val="0"/>
        </w:rPr>
        <w:tab/>
        <w:t xml:space="preserve">make its staff and facilities available to enable the </w:t>
      </w:r>
      <w:r>
        <w:rPr>
          <w:szCs w:val="24"/>
        </w:rPr>
        <w:t>Treasurer</w:t>
      </w:r>
      <w:r>
        <w:rPr>
          <w:snapToGrid w:val="0"/>
        </w:rPr>
        <w:t xml:space="preserve"> to access information, </w:t>
      </w:r>
    </w:p>
    <w:p>
      <w:pPr>
        <w:pStyle w:val="Subsection"/>
        <w:rPr>
          <w:snapToGrid w:val="0"/>
        </w:rPr>
      </w:pPr>
      <w:r>
        <w:rPr>
          <w:snapToGrid w:val="0"/>
        </w:rPr>
        <w:tab/>
      </w:r>
      <w:r>
        <w:rPr>
          <w:snapToGrid w:val="0"/>
        </w:rPr>
        <w:tab/>
        <w:t>and the Board is to comply with that request.</w:t>
      </w:r>
    </w:p>
    <w:p>
      <w:pPr>
        <w:pStyle w:val="Subsection"/>
        <w:rPr>
          <w:snapToGrid w:val="0"/>
        </w:rPr>
      </w:pPr>
      <w:r>
        <w:rPr>
          <w:snapToGrid w:val="0"/>
        </w:rPr>
        <w:tab/>
        <w:t>(3)</w:t>
      </w:r>
      <w:r>
        <w:rPr>
          <w:snapToGrid w:val="0"/>
        </w:rPr>
        <w:tab/>
        <w:t xml:space="preserve">This section does not entitle the </w:t>
      </w:r>
      <w:r>
        <w:rPr>
          <w:szCs w:val="24"/>
        </w:rPr>
        <w:t>Treasurer</w:t>
      </w:r>
      <w:r>
        <w:rPr>
          <w:snapToGrid w:val="0"/>
        </w:rPr>
        <w:t xml:space="preserve">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authorised by the beneficiary; or</w:t>
      </w:r>
    </w:p>
    <w:p>
      <w:pPr>
        <w:pStyle w:val="Indenta"/>
      </w:pPr>
      <w:r>
        <w:tab/>
        <w:t>(d)</w:t>
      </w:r>
      <w:r>
        <w:tab/>
        <w:t>authorised or required by a written law.</w:t>
      </w:r>
    </w:p>
    <w:p>
      <w:pPr>
        <w:pStyle w:val="Subsection"/>
        <w:keepNext/>
        <w:rPr>
          <w:snapToGrid w:val="0"/>
        </w:rPr>
      </w:pPr>
      <w:r>
        <w:rPr>
          <w:snapToGrid w:val="0"/>
        </w:rPr>
        <w:tab/>
        <w:t>(4)</w:t>
      </w:r>
      <w:r>
        <w:rPr>
          <w:snapToGrid w:val="0"/>
        </w:rPr>
        <w:tab/>
        <w:t>In this section — </w:t>
      </w:r>
    </w:p>
    <w:p>
      <w:pPr>
        <w:pStyle w:val="Defstart"/>
      </w:pPr>
      <w:r>
        <w:tab/>
      </w:r>
      <w:r>
        <w:rPr>
          <w:rStyle w:val="CharDefText"/>
        </w:rPr>
        <w:t>beneficiary</w:t>
      </w:r>
      <w:r>
        <w:t xml:space="preserve"> means —</w:t>
      </w:r>
    </w:p>
    <w:p>
      <w:pPr>
        <w:pStyle w:val="Defpara"/>
      </w:pPr>
      <w:r>
        <w:tab/>
        <w:t>(a)</w:t>
      </w:r>
      <w:r>
        <w:tab/>
        <w:t>a Member; or</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rStyle w:val="CharDefText"/>
        </w:rPr>
        <w:t>document</w:t>
      </w:r>
      <w:r>
        <w:t xml:space="preserve"> includes any tape, disc or other device or medium on which data is recorded or stored mechanically, photographically, electronically or otherwise;</w:t>
      </w:r>
    </w:p>
    <w:p>
      <w:pPr>
        <w:pStyle w:val="Defstart"/>
      </w:pPr>
      <w:r>
        <w:tab/>
      </w:r>
      <w:r>
        <w:rPr>
          <w:rStyle w:val="CharDefText"/>
        </w:rPr>
        <w:t>information</w:t>
      </w:r>
      <w:r>
        <w:t xml:space="preserve"> means information specified, or of a description specified, by the </w:t>
      </w:r>
      <w:r>
        <w:rPr>
          <w:szCs w:val="24"/>
        </w:rPr>
        <w:t>Treasurer</w:t>
      </w:r>
      <w:r>
        <w:t xml:space="preserve"> that relates to the functions or powers of the Board;</w:t>
      </w:r>
    </w:p>
    <w:p>
      <w:pPr>
        <w:pStyle w:val="Defstart"/>
      </w:pPr>
      <w:r>
        <w:lastRenderedPageBreak/>
        <w:tab/>
      </w:r>
      <w:r>
        <w:rPr>
          <w:rStyle w:val="CharDefText"/>
        </w:rPr>
        <w:t>parliamentary purposes</w:t>
      </w:r>
      <w:r>
        <w:t xml:space="preserve"> means the purpose of — </w:t>
      </w:r>
    </w:p>
    <w:p>
      <w:pPr>
        <w:pStyle w:val="Defpara"/>
        <w:spacing w:before="60"/>
      </w:pPr>
      <w:r>
        <w:tab/>
        <w:t>(a)</w:t>
      </w:r>
      <w:r>
        <w:tab/>
        <w:t>answering a question asked in a House of Parliament; or</w:t>
      </w:r>
    </w:p>
    <w:p>
      <w:pPr>
        <w:pStyle w:val="Defpara"/>
        <w:spacing w:before="60"/>
      </w:pPr>
      <w:r>
        <w:tab/>
        <w:t>(b)</w:t>
      </w:r>
      <w:r>
        <w:tab/>
        <w:t xml:space="preserve">complying with a written law, or an order or resolution of a House of Parliament, that requires information to be furnished to a House of Parliament. </w:t>
      </w:r>
    </w:p>
    <w:p>
      <w:pPr>
        <w:pStyle w:val="Footnotesection"/>
      </w:pPr>
      <w:r>
        <w:tab/>
        <w:t>[Section 36 amended: No. 18 of 2006 s. 13; No. 25 of 2007 s. 19(2); No. 35 of 2011 s. 31 and 36.]</w:t>
      </w:r>
    </w:p>
    <w:p>
      <w:pPr>
        <w:pStyle w:val="Ednotesection"/>
      </w:pPr>
      <w:r>
        <w:t>[</w:t>
      </w:r>
      <w:r>
        <w:rPr>
          <w:b/>
        </w:rPr>
        <w:t>37.</w:t>
      </w:r>
      <w:r>
        <w:rPr>
          <w:b/>
        </w:rPr>
        <w:tab/>
      </w:r>
      <w:r>
        <w:t>Deleted: No. 35 of 2011 s. 37.]</w:t>
      </w:r>
    </w:p>
    <w:p>
      <w:pPr>
        <w:pStyle w:val="Heading5"/>
        <w:keepLines w:val="0"/>
      </w:pPr>
      <w:bookmarkStart w:id="142" w:name="_Toc408233475"/>
      <w:bookmarkStart w:id="143" w:name="_Toc146034184"/>
      <w:r>
        <w:rPr>
          <w:rStyle w:val="CharSectno"/>
        </w:rPr>
        <w:t>38</w:t>
      </w:r>
      <w:r>
        <w:rPr>
          <w:snapToGrid w:val="0"/>
        </w:rPr>
        <w:t>.</w:t>
      </w:r>
      <w:r>
        <w:rPr>
          <w:snapToGrid w:val="0"/>
        </w:rPr>
        <w:tab/>
        <w:t>Regulations</w:t>
      </w:r>
      <w:bookmarkEnd w:id="142"/>
      <w:bookmarkEnd w:id="143"/>
    </w:p>
    <w:p>
      <w:pPr>
        <w:pStyle w:val="Subsection"/>
      </w:pPr>
      <w:r>
        <w:tab/>
        <w:t>(1)</w:t>
      </w:r>
      <w:r>
        <w:tab/>
        <w:t xml:space="preserve">Subject to subsections (3) to (8), the Governor may make regulations prescribing all matters that are required or permitted by this Act or the </w:t>
      </w:r>
      <w:r>
        <w:rPr>
          <w:i/>
          <w:iCs/>
        </w:rPr>
        <w:t xml:space="preserve">State Superannuation (Transitional and Consequential Provisions) Act 2000 </w:t>
      </w:r>
      <w:r>
        <w:t>section 26 to be prescribed, or are necessary or convenient to be prescribed for giving effect to the purposes of this Act.</w:t>
      </w:r>
    </w:p>
    <w:p>
      <w:pPr>
        <w:pStyle w:val="Subsection"/>
        <w:rPr>
          <w:snapToGrid w:val="0"/>
        </w:rPr>
      </w:pPr>
      <w:r>
        <w:tab/>
        <w:t>(2)</w:t>
      </w:r>
      <w:r>
        <w:tab/>
        <w:t xml:space="preserve">Without limiting the generality of subsection (1), regulations may be made under subsection (1)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lastRenderedPageBreak/>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under subsection (1) if they reduce the amount of a benefit that —</w:t>
      </w:r>
    </w:p>
    <w:p>
      <w:pPr>
        <w:pStyle w:val="Indenta"/>
      </w:pPr>
      <w:r>
        <w:tab/>
        <w:t>(a)</w:t>
      </w:r>
      <w:r>
        <w:tab/>
        <w:t>accrued or became payable before the regulations came into operation; or</w:t>
      </w:r>
    </w:p>
    <w:p>
      <w:pPr>
        <w:pStyle w:val="Indenta"/>
      </w:pPr>
      <w:r>
        <w:tab/>
        <w:t>(b)</w:t>
      </w:r>
      <w:r>
        <w:tab/>
        <w:t>is, or may become, payable in relation to a period before the regulations came into operation.</w:t>
      </w:r>
    </w:p>
    <w:p>
      <w:pPr>
        <w:pStyle w:val="Subsection"/>
      </w:pPr>
      <w:r>
        <w:tab/>
        <w:t>(4)</w:t>
      </w:r>
      <w:r>
        <w:tab/>
        <w:t>Subsection (3) does not apply if —</w:t>
      </w:r>
    </w:p>
    <w:p>
      <w:pPr>
        <w:pStyle w:val="Indenta"/>
      </w:pPr>
      <w:r>
        <w:tab/>
        <w:t>(a)</w:t>
      </w:r>
      <w:r>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pPr>
        <w:pStyle w:val="Indenta"/>
      </w:pPr>
      <w:r>
        <w:tab/>
        <w:t>(b)</w:t>
      </w:r>
      <w:r>
        <w:tab/>
        <w:t>the reduction would apply only in respect of Members who agree with the Board that the reduction is to apply in relation to them; or</w:t>
      </w:r>
    </w:p>
    <w:p>
      <w:pPr>
        <w:pStyle w:val="Indenta"/>
      </w:pPr>
      <w:r>
        <w:tab/>
        <w:t>(c)</w:t>
      </w:r>
      <w:r>
        <w:tab/>
        <w:t>the regulations would reduce or provide for the reduction of a Member’s benefit only if —</w:t>
      </w:r>
    </w:p>
    <w:p>
      <w:pPr>
        <w:pStyle w:val="Indenti"/>
      </w:pPr>
      <w:r>
        <w:tab/>
        <w:t>(i)</w:t>
      </w:r>
      <w:r>
        <w:tab/>
        <w:t>a superannuation agreement, flag lifting agreement or splitting order is in force in respect of the Member; and</w:t>
      </w:r>
    </w:p>
    <w:p>
      <w:pPr>
        <w:pStyle w:val="Indenti"/>
      </w:pPr>
      <w:r>
        <w:tab/>
        <w:t>(ii)</w:t>
      </w:r>
      <w:r>
        <w:tab/>
        <w:t>the reduction does not reduce the Member’s benefit to less than the Member’s entitlement under the agreement or order;</w:t>
      </w:r>
    </w:p>
    <w:p>
      <w:pPr>
        <w:pStyle w:val="Indenta"/>
      </w:pPr>
      <w:r>
        <w:tab/>
      </w:r>
      <w:r>
        <w:tab/>
        <w:t>or</w:t>
      </w:r>
    </w:p>
    <w:p>
      <w:pPr>
        <w:pStyle w:val="Indenta"/>
      </w:pPr>
      <w:r>
        <w:tab/>
        <w:t>(d)</w:t>
      </w:r>
      <w:r>
        <w:tab/>
        <w:t>the regulations would reduce or provide for the reduction of a Member’s benefit in consequence of the payment to the Commissioner of an amount of unclaimed money that would otherwise have been payable to the Member.</w:t>
      </w:r>
    </w:p>
    <w:p>
      <w:pPr>
        <w:pStyle w:val="Subsection"/>
      </w:pPr>
      <w:r>
        <w:lastRenderedPageBreak/>
        <w:tab/>
        <w:t>(5A)</w:t>
      </w:r>
      <w:r>
        <w:tab/>
        <w:t>Regulations cannot be made under subsection (1) in relation to the superannuation schemes continued by section 29(1)(a), (b) or (c) unless —</w:t>
      </w:r>
    </w:p>
    <w:p>
      <w:pPr>
        <w:pStyle w:val="Indenta"/>
      </w:pPr>
      <w:r>
        <w:tab/>
        <w:t>(a)</w:t>
      </w:r>
      <w:r>
        <w:tab/>
        <w:t>the Board has certified that it is satisfied that the proposed regulations will not affect contributions or benefits; or</w:t>
      </w:r>
    </w:p>
    <w:p>
      <w:pPr>
        <w:pStyle w:val="Indenta"/>
      </w:pPr>
      <w:r>
        <w:tab/>
        <w:t>(b)</w:t>
      </w:r>
      <w:r>
        <w:tab/>
        <w:t>an actuary appointed by the Board has certified that the proposed regulations will not reduce, or have the same effect as reducing —</w:t>
      </w:r>
    </w:p>
    <w:p>
      <w:pPr>
        <w:pStyle w:val="Indenti"/>
      </w:pPr>
      <w:r>
        <w:tab/>
        <w:t>(i)</w:t>
      </w:r>
      <w:r>
        <w:tab/>
        <w:t>in the case of a scheme continued by section 29(1)(a) or (b), the multiplying factor for any relevant benefit; or</w:t>
      </w:r>
    </w:p>
    <w:p>
      <w:pPr>
        <w:pStyle w:val="Indenti"/>
      </w:pPr>
      <w:r>
        <w:tab/>
        <w:t>(ii)</w:t>
      </w:r>
      <w:r>
        <w:tab/>
        <w:t>in the case of the scheme continued by section 29(1)(c), the pension value factor for any Member of that scheme,</w:t>
      </w:r>
    </w:p>
    <w:p>
      <w:pPr>
        <w:pStyle w:val="Indenta"/>
      </w:pPr>
      <w:r>
        <w:tab/>
      </w:r>
      <w:r>
        <w:tab/>
        <w:t>to less than it was immediately before 17 February 2001; or</w:t>
      </w:r>
    </w:p>
    <w:p>
      <w:pPr>
        <w:pStyle w:val="Indenta"/>
      </w:pPr>
      <w:r>
        <w:tab/>
        <w:t>(c)</w:t>
      </w:r>
      <w:r>
        <w:tab/>
        <w:t>any reduction of the kind referred to in paragraph (b) will apply only in respect of Members who have agreed with the Board that the reduction is to apply in the calculation of their benefit.</w:t>
      </w:r>
    </w:p>
    <w:p>
      <w:pPr>
        <w:pStyle w:val="Subsection"/>
      </w:pPr>
      <w:r>
        <w:tab/>
        <w:t>(5B)</w:t>
      </w:r>
      <w:r>
        <w:tab/>
        <w:t>In subsection (5A) and in this subsection —</w:t>
      </w:r>
    </w:p>
    <w:p>
      <w:pPr>
        <w:pStyle w:val="Defstart"/>
      </w:pPr>
      <w:r>
        <w:tab/>
      </w:r>
      <w:r>
        <w:rPr>
          <w:rStyle w:val="CharDefText"/>
        </w:rPr>
        <w:t>multiplying factor</w:t>
      </w:r>
      <w:r>
        <w:t>, in relation to a relevant benefit, means the components of the benefit formula by which the Member’s salary is to be multiplied in order to calculate the benefit;</w:t>
      </w:r>
    </w:p>
    <w:p>
      <w:pPr>
        <w:pStyle w:val="Defstart"/>
      </w:pPr>
      <w:r>
        <w:tab/>
      </w:r>
      <w:r>
        <w:rPr>
          <w:rStyle w:val="CharDefText"/>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rStyle w:val="CharDefText"/>
        </w:rPr>
        <w:t>relevant benefit</w:t>
      </w:r>
      <w:r>
        <w:t xml:space="preserve"> means a benefit, or part of a benefit, the amount of which was, immediately before 17 February 2001, calculated as a multiple of a Member’s salary.</w:t>
      </w:r>
    </w:p>
    <w:p>
      <w:pPr>
        <w:pStyle w:val="Subsection"/>
      </w:pPr>
      <w:r>
        <w:lastRenderedPageBreak/>
        <w:tab/>
        <w:t>(5C)</w:t>
      </w:r>
      <w:r>
        <w:tab/>
        <w:t xml:space="preserve">Subsections (3) and (5A) do not apply in respect of regulations that reduce or provide for the reduction of a Member’s benefit if — </w:t>
      </w:r>
    </w:p>
    <w:p>
      <w:pPr>
        <w:pStyle w:val="Indenta"/>
      </w:pPr>
      <w:r>
        <w:tab/>
        <w:t>(a)</w:t>
      </w:r>
      <w:r>
        <w:tab/>
        <w:t>a superannuation agreement, flag lifting agreement or splitting order is in force in respect of the Member; and</w:t>
      </w:r>
    </w:p>
    <w:p>
      <w:pPr>
        <w:pStyle w:val="Indenta"/>
      </w:pPr>
      <w:r>
        <w:tab/>
        <w:t>(b)</w:t>
      </w:r>
      <w:r>
        <w:tab/>
        <w:t>the reduction does not reduce the Member’s benefit to less than the Member’s entitlement under the agreement or order.</w:t>
      </w:r>
    </w:p>
    <w:p>
      <w:pPr>
        <w:pStyle w:val="Ednotesubsection"/>
      </w:pPr>
      <w:r>
        <w:tab/>
        <w:t>[(5D)</w:t>
      </w:r>
      <w:r>
        <w:tab/>
        <w:t>deleted]</w:t>
      </w:r>
    </w:p>
    <w:p>
      <w:pPr>
        <w:pStyle w:val="Subsection"/>
      </w:pPr>
      <w:r>
        <w:tab/>
        <w:t>(5E)</w:t>
      </w:r>
      <w:r>
        <w:tab/>
        <w:t>Regulations under subsection (1) may permit the Board to pay a pension or other benefit under the scheme continued by section 29(1)(c) for the purpose of —</w:t>
      </w:r>
    </w:p>
    <w:p>
      <w:pPr>
        <w:pStyle w:val="Indenta"/>
      </w:pPr>
      <w:r>
        <w:tab/>
        <w:t>(a)</w:t>
      </w:r>
      <w:r>
        <w:tab/>
        <w:t>giving effect to a payment split; or</w:t>
      </w:r>
    </w:p>
    <w:p>
      <w:pPr>
        <w:pStyle w:val="Indenta"/>
      </w:pPr>
      <w:r>
        <w:tab/>
        <w:t>(b)</w:t>
      </w:r>
      <w:r>
        <w:tab/>
        <w:t>satisfying the requirements of the</w:t>
      </w:r>
      <w:r>
        <w:rPr>
          <w:i/>
          <w:iCs/>
        </w:rPr>
        <w:t xml:space="preserve"> Family Law (Superannuation) Regulations 2001</w:t>
      </w:r>
      <w:r>
        <w:t xml:space="preserve"> (Commonwealth) Division 2.2 in relation to an entitlement in respect of a superannuation interest in the scheme.</w:t>
      </w:r>
    </w:p>
    <w:p>
      <w:pPr>
        <w:pStyle w:val="Ednotesubsection"/>
      </w:pPr>
      <w:r>
        <w:tab/>
        <w:t>[(5F)</w:t>
      </w:r>
      <w:r>
        <w:tab/>
        <w:t>deleted]</w:t>
      </w:r>
    </w:p>
    <w:p>
      <w:pPr>
        <w:pStyle w:val="Subsection"/>
        <w:keepNext/>
        <w:keepLines/>
      </w:pPr>
      <w:r>
        <w:tab/>
        <w:t>(5)</w:t>
      </w:r>
      <w:r>
        <w:tab/>
        <w:t>Regulations cannot be made under subsection (1), unless they have been approved by the Treasurer, if they —</w:t>
      </w:r>
    </w:p>
    <w:p>
      <w:pPr>
        <w:pStyle w:val="Indenta"/>
        <w:keepNext/>
      </w:pPr>
      <w:r>
        <w:tab/>
        <w:t>(a)</w:t>
      </w:r>
      <w:r>
        <w:tab/>
        <w:t xml:space="preserve">will or may affect the financial rights or obligations of the Crown under this Act and the value of that effect will or may exceed the prescribed amount; or </w:t>
      </w:r>
    </w:p>
    <w:p>
      <w:pPr>
        <w:pStyle w:val="Indenta"/>
        <w:keepNext/>
      </w:pPr>
      <w:r>
        <w:tab/>
        <w:t>(b)</w:t>
      </w:r>
      <w:r>
        <w:tab/>
        <w:t>relate to a matter referred to in subsection (2)(j).</w:t>
      </w:r>
    </w:p>
    <w:p>
      <w:pPr>
        <w:pStyle w:val="Subsection"/>
      </w:pPr>
      <w:r>
        <w:tab/>
        <w:t>(6A)</w:t>
      </w:r>
      <w:r>
        <w:tab/>
        <w:t xml:space="preserve">Regulations may provide for the Board, in relation to any scheme that is prescribed for the purposes of the </w:t>
      </w:r>
      <w:r>
        <w:rPr>
          <w:i/>
        </w:rPr>
        <w:t xml:space="preserve">Superannuation (Unclaimed Money and Lost Members) Act 1999 </w:t>
      </w:r>
      <w:r>
        <w:t xml:space="preserve">(Commonwealth) section 18AA — </w:t>
      </w:r>
    </w:p>
    <w:p>
      <w:pPr>
        <w:pStyle w:val="Indenta"/>
      </w:pPr>
      <w:r>
        <w:tab/>
        <w:t>(a)</w:t>
      </w:r>
      <w:r>
        <w:tab/>
        <w:t>to give any statement; and</w:t>
      </w:r>
    </w:p>
    <w:p>
      <w:pPr>
        <w:pStyle w:val="Indenta"/>
      </w:pPr>
      <w:r>
        <w:tab/>
        <w:t>(b)</w:t>
      </w:r>
      <w:r>
        <w:tab/>
        <w:t>to make any payment; and</w:t>
      </w:r>
    </w:p>
    <w:p>
      <w:pPr>
        <w:pStyle w:val="Indenta"/>
      </w:pPr>
      <w:r>
        <w:tab/>
        <w:t>(c)</w:t>
      </w:r>
      <w:r>
        <w:tab/>
        <w:t>to do any other thing,</w:t>
      </w:r>
    </w:p>
    <w:p>
      <w:pPr>
        <w:pStyle w:val="Subsection"/>
      </w:pPr>
      <w:r>
        <w:lastRenderedPageBreak/>
        <w:tab/>
      </w:r>
      <w:r>
        <w:tab/>
        <w:t>contemplated by that Act.</w:t>
      </w:r>
    </w:p>
    <w:p>
      <w:pPr>
        <w:pStyle w:val="Subsection"/>
      </w:pPr>
      <w:r>
        <w:tab/>
        <w:t>(6)</w:t>
      </w:r>
      <w:r>
        <w:tab/>
        <w:t xml:space="preserve">Regulations that prescribe an authority, body or person for the purposes of the definition of </w:t>
      </w:r>
      <w:r>
        <w:rPr>
          <w:b/>
          <w:bCs/>
          <w:i/>
          <w:iCs/>
        </w:rPr>
        <w:t>Employer</w:t>
      </w:r>
      <w:r>
        <w:t xml:space="preserve"> in section 3 may specify as the day on which they come into operation a day that is earlier than the day on which they are published in the </w:t>
      </w:r>
      <w:r>
        <w:rPr>
          <w:i/>
          <w:iCs/>
        </w:rPr>
        <w:t>Gazette</w:t>
      </w:r>
      <w:r>
        <w:t>.</w:t>
      </w:r>
    </w:p>
    <w:p>
      <w:pPr>
        <w:pStyle w:val="Subsection"/>
      </w:pPr>
      <w:r>
        <w:tab/>
        <w:t>(7)</w:t>
      </w:r>
      <w:r>
        <w:tab/>
        <w:t>Regulations of the kind referred to in subsection (6) cannot be made if they will or may affect a person, except the Crown or an Employer, by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Subsection"/>
      </w:pPr>
      <w:r>
        <w:rPr>
          <w:snapToGrid w:val="0"/>
        </w:rPr>
        <w:tab/>
        <w:t>(8)</w:t>
      </w:r>
      <w:r>
        <w:rPr>
          <w:snapToGrid w:val="0"/>
        </w:rPr>
        <w:tab/>
        <w:t xml:space="preserve">Regulations prescribing an amount for the purposes of subsection (5)(a) may </w:t>
      </w:r>
      <w:r>
        <w:t>prescribe an amount or a method of determining an amount.</w:t>
      </w:r>
    </w:p>
    <w:p>
      <w:pPr>
        <w:pStyle w:val="Subsection"/>
      </w:pPr>
      <w:r>
        <w:tab/>
        <w:t>(9)</w:t>
      </w:r>
      <w:r>
        <w:tab/>
        <w:t xml:space="preserve">In this section — </w:t>
      </w:r>
    </w:p>
    <w:p>
      <w:pPr>
        <w:pStyle w:val="Indenta"/>
      </w:pPr>
      <w:r>
        <w:tab/>
        <w:t>(a)</w:t>
      </w:r>
      <w:r>
        <w:tab/>
        <w:t xml:space="preserve">each of the following terms has the meaning given in the </w:t>
      </w:r>
      <w:r>
        <w:rPr>
          <w:i/>
        </w:rPr>
        <w:t>Family Law Act 1975</w:t>
      </w:r>
      <w:r>
        <w:t xml:space="preserve"> (Commonwealth) section 90MD —</w:t>
      </w:r>
    </w:p>
    <w:p>
      <w:pPr>
        <w:pStyle w:val="Defstart"/>
        <w:rPr>
          <w:b/>
          <w:i/>
        </w:rPr>
      </w:pPr>
      <w:r>
        <w:tab/>
      </w:r>
      <w:r>
        <w:tab/>
      </w:r>
      <w:r>
        <w:rPr>
          <w:b/>
          <w:i/>
        </w:rPr>
        <w:t xml:space="preserve">flag lifting agreement </w:t>
      </w:r>
    </w:p>
    <w:p>
      <w:pPr>
        <w:pStyle w:val="Defstart"/>
        <w:rPr>
          <w:b/>
          <w:i/>
        </w:rPr>
      </w:pPr>
      <w:r>
        <w:tab/>
      </w:r>
      <w:r>
        <w:tab/>
      </w:r>
      <w:r>
        <w:rPr>
          <w:b/>
          <w:i/>
        </w:rPr>
        <w:t xml:space="preserve">payment split </w:t>
      </w:r>
    </w:p>
    <w:p>
      <w:pPr>
        <w:pStyle w:val="Defstart"/>
        <w:rPr>
          <w:b/>
          <w:i/>
        </w:rPr>
      </w:pPr>
      <w:r>
        <w:tab/>
      </w:r>
      <w:r>
        <w:tab/>
      </w:r>
      <w:r>
        <w:rPr>
          <w:b/>
          <w:i/>
        </w:rPr>
        <w:t>splitting order</w:t>
      </w:r>
    </w:p>
    <w:p>
      <w:pPr>
        <w:pStyle w:val="Defstart"/>
        <w:rPr>
          <w:b/>
          <w:i/>
        </w:rPr>
      </w:pPr>
      <w:r>
        <w:tab/>
      </w:r>
      <w:r>
        <w:tab/>
      </w:r>
      <w:r>
        <w:rPr>
          <w:b/>
          <w:i/>
        </w:rPr>
        <w:t>superannuation agreement</w:t>
      </w:r>
    </w:p>
    <w:p>
      <w:pPr>
        <w:pStyle w:val="Defstart"/>
        <w:rPr>
          <w:b/>
          <w:i/>
        </w:rPr>
      </w:pPr>
      <w:r>
        <w:tab/>
      </w:r>
      <w:r>
        <w:tab/>
      </w:r>
      <w:r>
        <w:rPr>
          <w:b/>
          <w:i/>
        </w:rPr>
        <w:t>superannuation interest</w:t>
      </w:r>
    </w:p>
    <w:p>
      <w:pPr>
        <w:pStyle w:val="Indenta"/>
      </w:pPr>
      <w:r>
        <w:tab/>
        <w:t>(b)</w:t>
      </w:r>
      <w:r>
        <w:tab/>
        <w:t xml:space="preserve">each of the following terms has the meaning given in the </w:t>
      </w:r>
      <w:r>
        <w:rPr>
          <w:i/>
        </w:rPr>
        <w:t>Superannuation (Unclaimed Money and Lost Members) Act 1999</w:t>
      </w:r>
      <w:r>
        <w:t xml:space="preserve"> (Commonwealth) section 8 — </w:t>
      </w:r>
    </w:p>
    <w:p>
      <w:pPr>
        <w:pStyle w:val="Defstart"/>
        <w:rPr>
          <w:b/>
          <w:i/>
        </w:rPr>
      </w:pPr>
      <w:r>
        <w:tab/>
      </w:r>
      <w:r>
        <w:tab/>
      </w:r>
      <w:r>
        <w:rPr>
          <w:b/>
          <w:i/>
        </w:rPr>
        <w:t>Commissioner</w:t>
      </w:r>
    </w:p>
    <w:p>
      <w:pPr>
        <w:pStyle w:val="Defstart"/>
        <w:rPr>
          <w:b/>
          <w:i/>
        </w:rPr>
      </w:pPr>
      <w:r>
        <w:tab/>
      </w:r>
      <w:r>
        <w:tab/>
      </w:r>
      <w:r>
        <w:rPr>
          <w:b/>
          <w:i/>
        </w:rPr>
        <w:t>unclaimed money</w:t>
      </w:r>
    </w:p>
    <w:p>
      <w:pPr>
        <w:pStyle w:val="Footnotesection"/>
      </w:pPr>
      <w:r>
        <w:lastRenderedPageBreak/>
        <w:tab/>
        <w:t>[Section 38 amended: No. 55 of 2004 s. 1105; No. 18 of 2006 s. 14; No. 25 of 2007 s. 14; No. 35 of 2011 s. 26; No. 22 of 2014 s. 7.]</w:t>
      </w:r>
    </w:p>
    <w:p>
      <w:pPr>
        <w:pStyle w:val="Heading5"/>
        <w:keepLines w:val="0"/>
      </w:pPr>
      <w:bookmarkStart w:id="144" w:name="_Toc408233476"/>
      <w:bookmarkStart w:id="145" w:name="_Toc146034185"/>
      <w:r>
        <w:rPr>
          <w:rStyle w:val="CharSectno"/>
        </w:rPr>
        <w:t>39</w:t>
      </w:r>
      <w:r>
        <w:t>.</w:t>
      </w:r>
      <w:r>
        <w:tab/>
        <w:t>Repeals</w:t>
      </w:r>
      <w:bookmarkEnd w:id="144"/>
      <w:bookmarkEnd w:id="145"/>
    </w:p>
    <w:p>
      <w:pPr>
        <w:pStyle w:val="Subsection"/>
      </w:pPr>
      <w:r>
        <w:tab/>
      </w:r>
      <w:r>
        <w:tab/>
        <w:t xml:space="preserve">The </w:t>
      </w:r>
      <w:r>
        <w:rPr>
          <w:i/>
        </w:rPr>
        <w:t>Government Employees Superannuation Act 1987</w:t>
      </w:r>
      <w:r>
        <w:rPr>
          <w:vertAlign w:val="superscript"/>
        </w:rPr>
        <w:t> 2</w:t>
      </w:r>
      <w:r>
        <w:rPr>
          <w:i/>
        </w:rPr>
        <w:t xml:space="preserve"> </w:t>
      </w:r>
      <w:r>
        <w:t xml:space="preserve">and the </w:t>
      </w:r>
      <w:r>
        <w:rPr>
          <w:i/>
        </w:rPr>
        <w:t>Superannuation and Family Benefits Act 1938</w:t>
      </w:r>
      <w:r>
        <w:rPr>
          <w:vertAlign w:val="superscript"/>
        </w:rPr>
        <w:t> 2</w:t>
      </w:r>
      <w:r>
        <w:t xml:space="preserve"> are repealed.</w:t>
      </w:r>
    </w:p>
    <w:p>
      <w:pPr>
        <w:pStyle w:val="Heading5"/>
      </w:pPr>
      <w:bookmarkStart w:id="146" w:name="_Toc408233477"/>
      <w:bookmarkStart w:id="147" w:name="_Toc146034186"/>
      <w:r>
        <w:rPr>
          <w:rStyle w:val="CharSectno"/>
        </w:rPr>
        <w:t>40</w:t>
      </w:r>
      <w:r>
        <w:t>.</w:t>
      </w:r>
      <w:r>
        <w:tab/>
      </w:r>
      <w:r>
        <w:rPr>
          <w:i/>
          <w:iCs/>
        </w:rPr>
        <w:t>Administration Act 1903</w:t>
      </w:r>
      <w:r>
        <w:rPr>
          <w:iCs/>
        </w:rPr>
        <w:t xml:space="preserve"> s. 10 affected by this Act</w:t>
      </w:r>
      <w:bookmarkEnd w:id="146"/>
      <w:bookmarkEnd w:id="147"/>
    </w:p>
    <w:p>
      <w:pPr>
        <w:pStyle w:val="Subsection"/>
      </w:pPr>
      <w:r>
        <w:tab/>
      </w:r>
      <w:r>
        <w:tab/>
        <w:t xml:space="preserve">The provisions of this Act and the regulations made or applying under it that deal with the payment of benefits under a scheme prevail over section 10 of the </w:t>
      </w:r>
      <w:r>
        <w:rPr>
          <w:i/>
          <w:iCs/>
        </w:rPr>
        <w:t>Administration Act 1903</w:t>
      </w:r>
      <w:r>
        <w:t xml:space="preserve"> to the extent of any inconsistency.</w:t>
      </w:r>
    </w:p>
    <w:p>
      <w:pPr>
        <w:pStyle w:val="Footnotesection"/>
      </w:pPr>
      <w:r>
        <w:tab/>
        <w:t>[Section 40 inserted: No. 18 of 2006 s. 15; amended: No. 25 of 2007 s. 15; No. 35 of 2011 s. 27.]</w:t>
      </w:r>
    </w:p>
    <w:p>
      <w:pPr>
        <w:pStyle w:val="Ednotesection"/>
      </w:pPr>
      <w:r>
        <w:t>[</w:t>
      </w:r>
      <w:r>
        <w:rPr>
          <w:b/>
        </w:rPr>
        <w:t>41-79.</w:t>
      </w:r>
      <w:r>
        <w:tab/>
        <w:t>Deleted: No. 35 of 2011 s. 28.]</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ind w:left="285" w:right="256"/>
      </w:pPr>
      <w:bookmarkStart w:id="148" w:name="_Toc392508166"/>
      <w:bookmarkStart w:id="149" w:name="_Toc397337818"/>
      <w:bookmarkStart w:id="150" w:name="_Toc397954859"/>
      <w:bookmarkStart w:id="151" w:name="_Toc408233478"/>
      <w:bookmarkStart w:id="152" w:name="_Toc424548257"/>
      <w:bookmarkStart w:id="153" w:name="_Toc434856202"/>
      <w:bookmarkStart w:id="154" w:name="_Toc146034187"/>
      <w:r>
        <w:rPr>
          <w:rStyle w:val="CharSchNo"/>
        </w:rPr>
        <w:lastRenderedPageBreak/>
        <w:t>Schedule 1</w:t>
      </w:r>
      <w:r>
        <w:t> — </w:t>
      </w:r>
      <w:r>
        <w:rPr>
          <w:rStyle w:val="CharSchText"/>
        </w:rPr>
        <w:t>Government Employees Superannuation Board</w:t>
      </w:r>
      <w:bookmarkEnd w:id="148"/>
      <w:bookmarkEnd w:id="149"/>
      <w:bookmarkEnd w:id="150"/>
      <w:bookmarkEnd w:id="151"/>
      <w:bookmarkEnd w:id="152"/>
      <w:bookmarkEnd w:id="153"/>
      <w:bookmarkEnd w:id="154"/>
    </w:p>
    <w:p>
      <w:pPr>
        <w:pStyle w:val="yShoulderClause"/>
      </w:pPr>
      <w:r>
        <w:t>[s. 8(2)]</w:t>
      </w:r>
    </w:p>
    <w:p>
      <w:pPr>
        <w:pStyle w:val="yHeading5"/>
        <w:outlineLvl w:val="0"/>
      </w:pPr>
      <w:bookmarkStart w:id="155" w:name="_Toc408233479"/>
      <w:bookmarkStart w:id="156" w:name="_Toc146034188"/>
      <w:r>
        <w:rPr>
          <w:rStyle w:val="CharSClsNo"/>
        </w:rPr>
        <w:t>1</w:t>
      </w:r>
      <w:r>
        <w:t>.</w:t>
      </w:r>
      <w:r>
        <w:tab/>
        <w:t>Chairman, nominating</w:t>
      </w:r>
      <w:bookmarkEnd w:id="155"/>
      <w:bookmarkEnd w:id="156"/>
    </w:p>
    <w:p>
      <w:pPr>
        <w:pStyle w:val="ySubsection"/>
      </w:pPr>
      <w:r>
        <w:tab/>
        <w:t>(1)</w:t>
      </w:r>
      <w:r>
        <w:tab/>
        <w:t xml:space="preserve">Before making a nomination under section 8(1)(a) the </w:t>
      </w:r>
      <w:r>
        <w:rPr>
          <w:szCs w:val="22"/>
        </w:rPr>
        <w:t>Treasurer</w:t>
      </w:r>
      <w:r>
        <w:t xml:space="preserve"> is to consult with unions or associations of unions that appear to the Treasurer to be broadly representative of persons who work for Employers. </w:t>
      </w:r>
    </w:p>
    <w:p>
      <w:pPr>
        <w:pStyle w:val="ySubsection"/>
      </w:pPr>
      <w:r>
        <w:tab/>
        <w:t>(2)</w:t>
      </w:r>
      <w:r>
        <w:tab/>
        <w:t>The Treasurer must not nominate as chairman a person who is an officer or employee of the Board.</w:t>
      </w:r>
    </w:p>
    <w:p>
      <w:pPr>
        <w:pStyle w:val="yFootnotesection"/>
      </w:pPr>
      <w:r>
        <w:tab/>
        <w:t>[Clause 1 amended: No. 35 of 2011 s. 31.]</w:t>
      </w:r>
    </w:p>
    <w:p>
      <w:pPr>
        <w:pStyle w:val="yHeading5"/>
        <w:outlineLvl w:val="0"/>
      </w:pPr>
      <w:bookmarkStart w:id="157" w:name="_Toc408233480"/>
      <w:bookmarkStart w:id="158" w:name="_Toc146034189"/>
      <w:r>
        <w:rPr>
          <w:rStyle w:val="CharSClsNo"/>
        </w:rPr>
        <w:t>2</w:t>
      </w:r>
      <w:r>
        <w:t>.</w:t>
      </w:r>
      <w:r>
        <w:tab/>
        <w:t>Deputy chairman, appointment of etc.</w:t>
      </w:r>
      <w:bookmarkEnd w:id="157"/>
      <w:bookmarkEnd w:id="158"/>
    </w:p>
    <w:p>
      <w:pPr>
        <w:pStyle w:val="ySubsection"/>
      </w:pPr>
      <w:r>
        <w:tab/>
        <w:t>(1)</w:t>
      </w:r>
      <w:r>
        <w:tab/>
        <w:t>The Governor may from time to time appoint a director, nominated by the Treasurer, to be deputy chairman.</w:t>
      </w:r>
    </w:p>
    <w:p>
      <w:pPr>
        <w:pStyle w:val="ySubsection"/>
      </w:pPr>
      <w:r>
        <w:tab/>
        <w:t>(2)</w:t>
      </w:r>
      <w:r>
        <w:tab/>
        <w:t>The Treasurer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p>
    <w:p>
      <w:pPr>
        <w:pStyle w:val="yFootnotesection"/>
      </w:pPr>
      <w:r>
        <w:tab/>
        <w:t>[Clause 2 amended: No. 35 of 2011 s. 31.]</w:t>
      </w:r>
    </w:p>
    <w:p>
      <w:pPr>
        <w:pStyle w:val="yHeading5"/>
        <w:keepLines w:val="0"/>
        <w:outlineLvl w:val="0"/>
      </w:pPr>
      <w:bookmarkStart w:id="159" w:name="_Toc408233481"/>
      <w:bookmarkStart w:id="160" w:name="_Toc146034190"/>
      <w:r>
        <w:rPr>
          <w:rStyle w:val="CharSClsNo"/>
        </w:rPr>
        <w:t>3</w:t>
      </w:r>
      <w:r>
        <w:t>.</w:t>
      </w:r>
      <w:r>
        <w:tab/>
        <w:t>Election of member directors</w:t>
      </w:r>
      <w:bookmarkEnd w:id="159"/>
      <w:bookmarkEnd w:id="160"/>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0"/>
      </w:pPr>
      <w:bookmarkStart w:id="161" w:name="_Toc408233482"/>
      <w:bookmarkStart w:id="162" w:name="_Toc146034191"/>
      <w:r>
        <w:rPr>
          <w:rStyle w:val="CharSClsNo"/>
        </w:rPr>
        <w:lastRenderedPageBreak/>
        <w:t>4</w:t>
      </w:r>
      <w:r>
        <w:t>.</w:t>
      </w:r>
      <w:r>
        <w:tab/>
        <w:t>Term of office</w:t>
      </w:r>
      <w:bookmarkEnd w:id="161"/>
      <w:bookmarkEnd w:id="162"/>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0"/>
      </w:pPr>
      <w:bookmarkStart w:id="163" w:name="_Toc408233483"/>
      <w:bookmarkStart w:id="164" w:name="_Toc146034192"/>
      <w:r>
        <w:rPr>
          <w:rStyle w:val="CharSClsNo"/>
        </w:rPr>
        <w:t>5</w:t>
      </w:r>
      <w:r>
        <w:t>.</w:t>
      </w:r>
      <w:r>
        <w:tab/>
        <w:t>Directors are part</w:t>
      </w:r>
      <w:r>
        <w:noBreakHyphen/>
        <w:t>time</w:t>
      </w:r>
      <w:bookmarkEnd w:id="163"/>
      <w:bookmarkEnd w:id="164"/>
    </w:p>
    <w:p>
      <w:pPr>
        <w:pStyle w:val="ySubsection"/>
      </w:pPr>
      <w:r>
        <w:tab/>
      </w:r>
      <w:r>
        <w:tab/>
        <w:t>All directors hold their offices on a part</w:t>
      </w:r>
      <w:r>
        <w:noBreakHyphen/>
        <w:t xml:space="preserve">time basis. </w:t>
      </w:r>
    </w:p>
    <w:p>
      <w:pPr>
        <w:pStyle w:val="yHeading5"/>
        <w:keepNext w:val="0"/>
        <w:keepLines w:val="0"/>
        <w:outlineLvl w:val="0"/>
      </w:pPr>
      <w:bookmarkStart w:id="165" w:name="_Toc408233484"/>
      <w:bookmarkStart w:id="166" w:name="_Toc146034193"/>
      <w:r>
        <w:rPr>
          <w:rStyle w:val="CharSClsNo"/>
        </w:rPr>
        <w:t>6</w:t>
      </w:r>
      <w:r>
        <w:t>.</w:t>
      </w:r>
      <w:r>
        <w:tab/>
        <w:t>Casual vacancies</w:t>
      </w:r>
      <w:bookmarkEnd w:id="165"/>
      <w:bookmarkEnd w:id="166"/>
      <w:r>
        <w:t xml:space="preserve"> </w:t>
      </w:r>
    </w:p>
    <w:p>
      <w:pPr>
        <w:pStyle w:val="ySubsection"/>
      </w:pPr>
      <w:r>
        <w:tab/>
        <w:t>(1)</w:t>
      </w:r>
      <w:r>
        <w:tab/>
        <w:t>A casual vacancy in the office of a director occurs if the director —</w:t>
      </w:r>
    </w:p>
    <w:p>
      <w:pPr>
        <w:pStyle w:val="yIndenta"/>
      </w:pPr>
      <w:r>
        <w:tab/>
        <w:t>(a)</w:t>
      </w:r>
      <w:r>
        <w:tab/>
        <w:t>dies; or</w:t>
      </w:r>
    </w:p>
    <w:p>
      <w:pPr>
        <w:pStyle w:val="yIndenta"/>
      </w:pPr>
      <w:r>
        <w:tab/>
        <w:t>(b)</w:t>
      </w:r>
      <w:r>
        <w:tab/>
        <w:t>resigns by notice to the Treasurer; or</w:t>
      </w:r>
    </w:p>
    <w:p>
      <w:pPr>
        <w:pStyle w:val="yIndenta"/>
      </w:pPr>
      <w:r>
        <w:tab/>
        <w:t>(c)</w:t>
      </w:r>
      <w:r>
        <w:tab/>
        <w:t>is an insolvent under administration as defined in the Corporations Act; or</w:t>
      </w:r>
    </w:p>
    <w:p>
      <w:pPr>
        <w:pStyle w:val="yIndenta"/>
      </w:pPr>
      <w:r>
        <w:tab/>
        <w:t>(d)</w:t>
      </w:r>
      <w:r>
        <w:tab/>
        <w:t>is removed from office by the Treasurer under subclause (2).</w:t>
      </w:r>
    </w:p>
    <w:p>
      <w:pPr>
        <w:pStyle w:val="ySubsection"/>
        <w:keepNext/>
      </w:pPr>
      <w:r>
        <w:tab/>
        <w:t>(2)</w:t>
      </w:r>
      <w:r>
        <w:tab/>
        <w:t xml:space="preserve">The Treasurer may remove a director from office if the Treasurer is satisfied that the director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has contravened clause 10 or 11 of Schedule 2; or</w:t>
      </w:r>
    </w:p>
    <w:p>
      <w:pPr>
        <w:pStyle w:val="yIndenta"/>
      </w:pPr>
      <w:r>
        <w:tab/>
        <w:t>(e)</w:t>
      </w:r>
      <w:r>
        <w:tab/>
        <w:t>is suffering from mental or physical incapacity impairing the performance of his or her functions under this Act; or</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lastRenderedPageBreak/>
        <w:tab/>
        <w:t>(3)</w:t>
      </w:r>
      <w:r>
        <w:tab/>
        <w:t xml:space="preserve">If a casual vacancy occurs in the office of a director elected under section 8(1)(c), the Treasurer may appoint a Member to fill the vacancy until a new director is elected. </w:t>
      </w:r>
    </w:p>
    <w:p>
      <w:pPr>
        <w:pStyle w:val="ySubsection"/>
      </w:pPr>
      <w:r>
        <w:tab/>
        <w:t>(4)</w:t>
      </w:r>
      <w:r>
        <w:tab/>
        <w:t xml:space="preserve">Before appointing a person under subclause (3) the Treasurer is to consult with unions or associations of unions that appear to the Treasurer to be broadly representative of persons who work for Employers. </w:t>
      </w:r>
    </w:p>
    <w:p>
      <w:pPr>
        <w:pStyle w:val="yFootnotesection"/>
      </w:pPr>
      <w:r>
        <w:tab/>
        <w:t>[Clause 6 amended: No. 10 of 2001 s. 220; No. 25 of 2007 s. 6(6), 17 and 19(2); No. 35 of 2011 s. 29 and 31.]</w:t>
      </w:r>
    </w:p>
    <w:p>
      <w:pPr>
        <w:pStyle w:val="yHeading5"/>
        <w:keepNext w:val="0"/>
        <w:keepLines w:val="0"/>
        <w:outlineLvl w:val="0"/>
      </w:pPr>
      <w:bookmarkStart w:id="167" w:name="_Toc408233485"/>
      <w:bookmarkStart w:id="168" w:name="_Toc146034194"/>
      <w:r>
        <w:rPr>
          <w:rStyle w:val="CharSClsNo"/>
        </w:rPr>
        <w:t>7</w:t>
      </w:r>
      <w:r>
        <w:t>.</w:t>
      </w:r>
      <w:r>
        <w:tab/>
        <w:t>Remuneration and allowances</w:t>
      </w:r>
      <w:bookmarkEnd w:id="167"/>
      <w:bookmarkEnd w:id="168"/>
    </w:p>
    <w:p>
      <w:pPr>
        <w:pStyle w:val="ySubsection"/>
      </w:pPr>
      <w:r>
        <w:tab/>
      </w:r>
      <w:r>
        <w:tab/>
        <w:t>A director is entitled to the remuneration and allowances determined by the Treasurer on the recommendation of the Public Sector Commissioner.</w:t>
      </w:r>
    </w:p>
    <w:p>
      <w:pPr>
        <w:pStyle w:val="yFootnotesection"/>
      </w:pPr>
      <w:r>
        <w:tab/>
        <w:t>[Clause 7 amended: No. 39 of 2010 s. 89; No. 35 of 2011 s. 38.]</w:t>
      </w:r>
    </w:p>
    <w:p>
      <w:pPr>
        <w:pStyle w:val="yScheduleHeading"/>
        <w:outlineLvl w:val="0"/>
      </w:pPr>
      <w:bookmarkStart w:id="169" w:name="_Toc392508174"/>
      <w:bookmarkStart w:id="170" w:name="_Toc397337826"/>
      <w:bookmarkStart w:id="171" w:name="_Toc397954867"/>
      <w:bookmarkStart w:id="172" w:name="_Toc408233486"/>
      <w:bookmarkStart w:id="173" w:name="_Toc424548265"/>
      <w:bookmarkStart w:id="174" w:name="_Toc434856210"/>
      <w:bookmarkStart w:id="175" w:name="_Toc146034195"/>
      <w:r>
        <w:rPr>
          <w:rStyle w:val="CharSchNo"/>
        </w:rPr>
        <w:lastRenderedPageBreak/>
        <w:t>Schedule 2</w:t>
      </w:r>
      <w:r>
        <w:t> — </w:t>
      </w:r>
      <w:r>
        <w:rPr>
          <w:rStyle w:val="CharSchText"/>
        </w:rPr>
        <w:t>Meetings and procedures</w:t>
      </w:r>
      <w:bookmarkEnd w:id="169"/>
      <w:bookmarkEnd w:id="170"/>
      <w:bookmarkEnd w:id="171"/>
      <w:bookmarkEnd w:id="172"/>
      <w:bookmarkEnd w:id="173"/>
      <w:bookmarkEnd w:id="174"/>
      <w:bookmarkEnd w:id="175"/>
    </w:p>
    <w:p>
      <w:pPr>
        <w:pStyle w:val="yShoulderClause"/>
      </w:pPr>
      <w:r>
        <w:t>[s. 10(1)]</w:t>
      </w:r>
    </w:p>
    <w:p>
      <w:pPr>
        <w:pStyle w:val="yHeading5"/>
        <w:keepNext w:val="0"/>
        <w:keepLines w:val="0"/>
        <w:outlineLvl w:val="0"/>
      </w:pPr>
      <w:bookmarkStart w:id="176" w:name="_Toc408233487"/>
      <w:bookmarkStart w:id="177" w:name="_Toc146034196"/>
      <w:r>
        <w:rPr>
          <w:rStyle w:val="CharSClsNo"/>
        </w:rPr>
        <w:t>1</w:t>
      </w:r>
      <w:r>
        <w:t>.</w:t>
      </w:r>
      <w:r>
        <w:tab/>
        <w:t>Board to determine own procedure</w:t>
      </w:r>
      <w:bookmarkEnd w:id="176"/>
      <w:bookmarkEnd w:id="177"/>
    </w:p>
    <w:p>
      <w:pPr>
        <w:pStyle w:val="ySubsection"/>
      </w:pPr>
      <w:r>
        <w:tab/>
      </w:r>
      <w:r>
        <w:tab/>
        <w:t>The Board may determine its own procedure for calling and conducting Board meetings except to the extent that it is prescribed under this Act.</w:t>
      </w:r>
    </w:p>
    <w:p>
      <w:pPr>
        <w:pStyle w:val="yFootnotesection"/>
      </w:pPr>
      <w:r>
        <w:tab/>
        <w:t>[Clause 1 amended: No. No. 25 of 2007 s. 6(7); No. 35 of 2011 s. 30.]</w:t>
      </w:r>
    </w:p>
    <w:p>
      <w:pPr>
        <w:pStyle w:val="yHeading5"/>
        <w:keepNext w:val="0"/>
        <w:keepLines w:val="0"/>
        <w:outlineLvl w:val="0"/>
      </w:pPr>
      <w:bookmarkStart w:id="178" w:name="_Toc408233488"/>
      <w:bookmarkStart w:id="179" w:name="_Toc146034197"/>
      <w:r>
        <w:rPr>
          <w:rStyle w:val="CharSClsNo"/>
        </w:rPr>
        <w:t>2</w:t>
      </w:r>
      <w:r>
        <w:t>.</w:t>
      </w:r>
      <w:r>
        <w:tab/>
        <w:t>Quorum</w:t>
      </w:r>
      <w:bookmarkEnd w:id="178"/>
      <w:bookmarkEnd w:id="179"/>
      <w:r>
        <w:t xml:space="preserve"> </w:t>
      </w:r>
    </w:p>
    <w:p>
      <w:pPr>
        <w:pStyle w:val="ySubsection"/>
      </w:pPr>
      <w:r>
        <w:tab/>
      </w:r>
      <w:r>
        <w:tab/>
        <w:t xml:space="preserve">The quorum at a Board meeting is 5 directors. </w:t>
      </w:r>
    </w:p>
    <w:p>
      <w:pPr>
        <w:pStyle w:val="yHeading5"/>
        <w:keepNext w:val="0"/>
        <w:keepLines w:val="0"/>
        <w:outlineLvl w:val="0"/>
      </w:pPr>
      <w:bookmarkStart w:id="180" w:name="_Toc408233489"/>
      <w:bookmarkStart w:id="181" w:name="_Toc146034198"/>
      <w:r>
        <w:rPr>
          <w:rStyle w:val="CharSClsNo"/>
        </w:rPr>
        <w:t>3</w:t>
      </w:r>
      <w:r>
        <w:t>.</w:t>
      </w:r>
      <w:r>
        <w:tab/>
        <w:t>Presiding director</w:t>
      </w:r>
      <w:bookmarkEnd w:id="180"/>
      <w:bookmarkEnd w:id="181"/>
      <w:r>
        <w:t xml:space="preserve"> </w:t>
      </w:r>
    </w:p>
    <w:p>
      <w:pPr>
        <w:pStyle w:val="ySubsection"/>
      </w:pPr>
      <w:r>
        <w:tab/>
      </w:r>
      <w:r>
        <w:tab/>
        <w:t>A Board meeting is to be presided over by — </w:t>
      </w:r>
    </w:p>
    <w:p>
      <w:pPr>
        <w:pStyle w:val="yIndenta"/>
      </w:pPr>
      <w:r>
        <w:tab/>
        <w:t>(a)</w:t>
      </w:r>
      <w:r>
        <w:tab/>
        <w:t>the chairman; or</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Footnotesection"/>
      </w:pPr>
      <w:r>
        <w:tab/>
        <w:t>[Clause 3 amended: No. 25 of 2007 s. 19(2).]</w:t>
      </w:r>
    </w:p>
    <w:p>
      <w:pPr>
        <w:pStyle w:val="yHeading5"/>
        <w:keepNext w:val="0"/>
        <w:keepLines w:val="0"/>
        <w:outlineLvl w:val="0"/>
      </w:pPr>
      <w:bookmarkStart w:id="182" w:name="_Toc408233490"/>
      <w:bookmarkStart w:id="183" w:name="_Toc146034199"/>
      <w:r>
        <w:rPr>
          <w:rStyle w:val="CharSClsNo"/>
        </w:rPr>
        <w:t>4</w:t>
      </w:r>
      <w:r>
        <w:t>.</w:t>
      </w:r>
      <w:r>
        <w:tab/>
        <w:t>Voting</w:t>
      </w:r>
      <w:bookmarkEnd w:id="182"/>
      <w:bookmarkEnd w:id="183"/>
      <w:r>
        <w:t xml:space="preserve"> </w:t>
      </w:r>
    </w:p>
    <w:p>
      <w:pPr>
        <w:pStyle w:val="ySubsection"/>
        <w:keepNext/>
      </w:pPr>
      <w:r>
        <w:tab/>
      </w:r>
      <w:r>
        <w:tab/>
        <w:t>At a Board meeting —</w:t>
      </w:r>
    </w:p>
    <w:p>
      <w:pPr>
        <w:pStyle w:val="yIndenta"/>
      </w:pPr>
      <w:r>
        <w:tab/>
        <w:t>(a)</w:t>
      </w:r>
      <w:r>
        <w:tab/>
        <w:t>each director has one vote; and</w:t>
      </w:r>
    </w:p>
    <w:p>
      <w:pPr>
        <w:pStyle w:val="yIndenta"/>
      </w:pPr>
      <w:r>
        <w:tab/>
        <w:t>(b)</w:t>
      </w:r>
      <w:r>
        <w:tab/>
        <w:t>the person presiding does not have a casting vote; and</w:t>
      </w:r>
    </w:p>
    <w:p>
      <w:pPr>
        <w:pStyle w:val="yIndenta"/>
      </w:pPr>
      <w:r>
        <w:tab/>
        <w:t>(c)</w:t>
      </w:r>
      <w:r>
        <w:tab/>
        <w:t>a resolution is passed if 5 or more directors vote in favour of it.</w:t>
      </w:r>
    </w:p>
    <w:p>
      <w:pPr>
        <w:pStyle w:val="yFootnotesection"/>
      </w:pPr>
      <w:r>
        <w:tab/>
        <w:t>[Clause 4 amended: No. 25 of 2007 s. 19(1).]</w:t>
      </w:r>
    </w:p>
    <w:p>
      <w:pPr>
        <w:pStyle w:val="yHeading5"/>
        <w:keepNext w:val="0"/>
        <w:keepLines w:val="0"/>
        <w:outlineLvl w:val="0"/>
      </w:pPr>
      <w:bookmarkStart w:id="184" w:name="_Toc408233491"/>
      <w:bookmarkStart w:id="185" w:name="_Toc146034200"/>
      <w:r>
        <w:rPr>
          <w:rStyle w:val="CharSClsNo"/>
        </w:rPr>
        <w:t>5</w:t>
      </w:r>
      <w:r>
        <w:t>.</w:t>
      </w:r>
      <w:r>
        <w:tab/>
        <w:t>Minutes</w:t>
      </w:r>
      <w:bookmarkEnd w:id="184"/>
      <w:bookmarkEnd w:id="185"/>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0"/>
      </w:pPr>
      <w:bookmarkStart w:id="186" w:name="_Toc408233492"/>
      <w:bookmarkStart w:id="187" w:name="_Toc146034201"/>
      <w:r>
        <w:rPr>
          <w:rStyle w:val="CharSClsNo"/>
        </w:rPr>
        <w:lastRenderedPageBreak/>
        <w:t>6</w:t>
      </w:r>
      <w:r>
        <w:t xml:space="preserve">. </w:t>
      </w:r>
      <w:r>
        <w:tab/>
        <w:t>Resolution without meeting</w:t>
      </w:r>
      <w:bookmarkEnd w:id="186"/>
      <w:bookmarkEnd w:id="187"/>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0"/>
      </w:pPr>
      <w:bookmarkStart w:id="188" w:name="_Toc408233493"/>
      <w:bookmarkStart w:id="189" w:name="_Toc146034202"/>
      <w:r>
        <w:rPr>
          <w:rStyle w:val="CharSClsNo"/>
        </w:rPr>
        <w:t>7</w:t>
      </w:r>
      <w:r>
        <w:t xml:space="preserve">. </w:t>
      </w:r>
      <w:r>
        <w:tab/>
        <w:t>Telephone or video attendance at meetings</w:t>
      </w:r>
      <w:bookmarkEnd w:id="188"/>
      <w:bookmarkEnd w:id="189"/>
      <w:r>
        <w:t xml:space="preserve"> </w:t>
      </w:r>
    </w:p>
    <w:p>
      <w:pPr>
        <w:pStyle w:val="ySubsection"/>
      </w:pPr>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p>
    <w:p>
      <w:pPr>
        <w:pStyle w:val="yHeading5"/>
        <w:keepNext w:val="0"/>
        <w:keepLines w:val="0"/>
        <w:outlineLvl w:val="0"/>
      </w:pPr>
      <w:bookmarkStart w:id="190" w:name="_Toc408233494"/>
      <w:bookmarkStart w:id="191" w:name="_Toc146034203"/>
      <w:r>
        <w:rPr>
          <w:rStyle w:val="CharSClsNo"/>
        </w:rPr>
        <w:t>8</w:t>
      </w:r>
      <w:r>
        <w:t xml:space="preserve">. </w:t>
      </w:r>
      <w:r>
        <w:tab/>
        <w:t>Committees</w:t>
      </w:r>
      <w:bookmarkEnd w:id="190"/>
      <w:bookmarkEnd w:id="191"/>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0"/>
      </w:pPr>
      <w:bookmarkStart w:id="192" w:name="_Toc408233495"/>
      <w:bookmarkStart w:id="193" w:name="_Toc146034204"/>
      <w:r>
        <w:rPr>
          <w:rStyle w:val="CharSClsNo"/>
        </w:rPr>
        <w:t>9</w:t>
      </w:r>
      <w:r>
        <w:t>.</w:t>
      </w:r>
      <w:r>
        <w:tab/>
        <w:t>Material interest, defined</w:t>
      </w:r>
      <w:bookmarkEnd w:id="192"/>
      <w:bookmarkEnd w:id="193"/>
    </w:p>
    <w:p>
      <w:pPr>
        <w:pStyle w:val="ySubsection"/>
        <w:keepNext/>
      </w:pPr>
      <w:r>
        <w:tab/>
        <w:t>(1)</w:t>
      </w:r>
      <w:r>
        <w:tab/>
        <w:t>For the purposes of this Schedule a person has a material interest in a matter if the person —</w:t>
      </w:r>
    </w:p>
    <w:p>
      <w:pPr>
        <w:pStyle w:val="yIndenta"/>
      </w:pPr>
      <w:r>
        <w:tab/>
        <w:t>(a)</w:t>
      </w:r>
      <w:r>
        <w:tab/>
        <w:t>subject to subclauses (2) and (3) has a direct or indirect pecuniary interest in the matter; or</w:t>
      </w:r>
    </w:p>
    <w:p>
      <w:pPr>
        <w:pStyle w:val="yIndenta"/>
      </w:pPr>
      <w:r>
        <w:tab/>
        <w:t>(b)</w:t>
      </w:r>
      <w:r>
        <w:tab/>
        <w:t>has given advice for remuneration in relation to the matter to the Board; or</w:t>
      </w:r>
    </w:p>
    <w:p>
      <w:pPr>
        <w:pStyle w:val="yIndenta"/>
      </w:pPr>
      <w:r>
        <w:tab/>
        <w:t>(c)</w:t>
      </w:r>
      <w:r>
        <w:tab/>
        <w:t>subject to subclauses (2) and (3) has a non</w:t>
      </w:r>
      <w:r>
        <w:noBreakHyphen/>
        <w:t>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 or</w:t>
      </w:r>
    </w:p>
    <w:p>
      <w:pPr>
        <w:pStyle w:val="yIndenta"/>
      </w:pPr>
      <w:r>
        <w:tab/>
        <w:t>(b)</w:t>
      </w:r>
      <w:r>
        <w:tab/>
        <w:t>a person who works for an Employer; or</w:t>
      </w:r>
    </w:p>
    <w:p>
      <w:pPr>
        <w:pStyle w:val="yIndenta"/>
      </w:pPr>
      <w:r>
        <w:lastRenderedPageBreak/>
        <w:tab/>
        <w:t>(c)</w:t>
      </w:r>
      <w:r>
        <w:tab/>
        <w:t>an Employer or a member of the board or other body responsible for the control or direction of an Employer; or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Corporations Act) in </w:t>
      </w:r>
      <w:smartTag w:uri="urn:schemas-microsoft-com:office:smarttags" w:element="place">
        <w:smartTag w:uri="urn:schemas-microsoft-com:office:smarttags" w:element="country-region">
          <w:r>
            <w:t>Australia</w:t>
          </w:r>
        </w:smartTag>
      </w:smartTag>
      <w:r>
        <w:t xml:space="preserve">,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No. 21 of 2003 s. 34; No. 25 of 2007 s. 18 and 19(2).]</w:t>
      </w:r>
    </w:p>
    <w:p>
      <w:pPr>
        <w:pStyle w:val="yHeading5"/>
        <w:keepNext w:val="0"/>
        <w:keepLines w:val="0"/>
        <w:outlineLvl w:val="0"/>
      </w:pPr>
      <w:bookmarkStart w:id="194" w:name="_Toc408233496"/>
      <w:bookmarkStart w:id="195" w:name="_Toc146034205"/>
      <w:r>
        <w:rPr>
          <w:rStyle w:val="CharSClsNo"/>
        </w:rPr>
        <w:t>10</w:t>
      </w:r>
      <w:r>
        <w:t>.</w:t>
      </w:r>
      <w:r>
        <w:tab/>
        <w:t>Material interests to be disclosed etc.</w:t>
      </w:r>
      <w:bookmarkEnd w:id="194"/>
      <w:bookmarkEnd w:id="195"/>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 or</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Footnotesection"/>
      </w:pPr>
      <w:r>
        <w:tab/>
        <w:t>[Clause 10 amended: No. 25 of 2007 s. 19(2).]</w:t>
      </w:r>
    </w:p>
    <w:p>
      <w:pPr>
        <w:pStyle w:val="yHeading5"/>
        <w:keepNext w:val="0"/>
        <w:keepLines w:val="0"/>
        <w:outlineLvl w:val="0"/>
        <w:rPr>
          <w:iCs/>
          <w:snapToGrid w:val="0"/>
          <w:szCs w:val="22"/>
        </w:rPr>
      </w:pPr>
      <w:bookmarkStart w:id="196" w:name="_Toc408233497"/>
      <w:bookmarkStart w:id="197" w:name="_Toc146034206"/>
      <w:r>
        <w:rPr>
          <w:rStyle w:val="CharSClsNo"/>
        </w:rPr>
        <w:lastRenderedPageBreak/>
        <w:t>11</w:t>
      </w:r>
      <w:r>
        <w:rPr>
          <w:iCs/>
          <w:snapToGrid w:val="0"/>
          <w:szCs w:val="22"/>
        </w:rPr>
        <w:t>.</w:t>
      </w:r>
      <w:r>
        <w:rPr>
          <w:iCs/>
          <w:snapToGrid w:val="0"/>
          <w:szCs w:val="22"/>
        </w:rPr>
        <w:tab/>
        <w:t>Director etc. with material interest not to vote etc.</w:t>
      </w:r>
      <w:bookmarkEnd w:id="196"/>
      <w:bookmarkEnd w:id="197"/>
    </w:p>
    <w:p>
      <w:pPr>
        <w:pStyle w:val="ySubsection"/>
      </w:pPr>
      <w:r>
        <w:tab/>
        <w:t>(1)</w:t>
      </w:r>
      <w:r>
        <w:tab/>
        <w:t xml:space="preserve">A director or committee member who has a material interest in a matter being considered by the Board or committee — </w:t>
      </w:r>
    </w:p>
    <w:p>
      <w:pPr>
        <w:pStyle w:val="yIndenta"/>
        <w:spacing w:before="60"/>
      </w:pPr>
      <w:r>
        <w:tab/>
        <w:t>(a)</w:t>
      </w:r>
      <w:r>
        <w:tab/>
        <w:t>must not be present while the matter is being considered at a meeting of the Board or committee; and</w:t>
      </w:r>
    </w:p>
    <w:p>
      <w:pPr>
        <w:pStyle w:val="yIndenta"/>
        <w:spacing w:before="60"/>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Treasurer may deal with the matter.</w:t>
      </w:r>
    </w:p>
    <w:p>
      <w:pPr>
        <w:pStyle w:val="yFootnotesection"/>
        <w:spacing w:before="100"/>
      </w:pPr>
      <w:r>
        <w:tab/>
        <w:t>[Clause 11 amended: No. 35 of 2011 s. 31.]</w:t>
      </w:r>
    </w:p>
    <w:p>
      <w:pPr>
        <w:pStyle w:val="yHeading5"/>
        <w:keepNext w:val="0"/>
        <w:keepLines w:val="0"/>
        <w:outlineLvl w:val="0"/>
        <w:rPr>
          <w:iCs/>
          <w:snapToGrid w:val="0"/>
          <w:szCs w:val="22"/>
        </w:rPr>
      </w:pPr>
      <w:bookmarkStart w:id="198" w:name="_Toc408233498"/>
      <w:bookmarkStart w:id="199" w:name="_Toc146034207"/>
      <w:r>
        <w:rPr>
          <w:rStyle w:val="CharSClsNo"/>
        </w:rPr>
        <w:t>12</w:t>
      </w:r>
      <w:r>
        <w:rPr>
          <w:iCs/>
          <w:snapToGrid w:val="0"/>
          <w:sz w:val="24"/>
        </w:rPr>
        <w:t>.</w:t>
      </w:r>
      <w:r>
        <w:rPr>
          <w:iCs/>
          <w:snapToGrid w:val="0"/>
          <w:sz w:val="24"/>
        </w:rPr>
        <w:tab/>
        <w:t xml:space="preserve">Clause </w:t>
      </w:r>
      <w:r>
        <w:rPr>
          <w:iCs/>
          <w:snapToGrid w:val="0"/>
          <w:szCs w:val="22"/>
        </w:rPr>
        <w:t>11 may be disapplied</w:t>
      </w:r>
      <w:bookmarkEnd w:id="198"/>
      <w:bookmarkEnd w:id="199"/>
    </w:p>
    <w:p>
      <w:pPr>
        <w:pStyle w:val="ySubsection"/>
      </w:pPr>
      <w:r>
        <w:tab/>
        <w:t>(1)</w:t>
      </w:r>
      <w:r>
        <w:tab/>
        <w:t xml:space="preserve">Clause 11 does not apply if the Board has at any time passed a resolution that — </w:t>
      </w:r>
    </w:p>
    <w:p>
      <w:pPr>
        <w:pStyle w:val="yIndenta"/>
        <w:spacing w:before="60"/>
      </w:pPr>
      <w:r>
        <w:tab/>
        <w:t>(a)</w:t>
      </w:r>
      <w:r>
        <w:tab/>
        <w:t>specifies the director or committee member, the interest and the matter; and</w:t>
      </w:r>
    </w:p>
    <w:p>
      <w:pPr>
        <w:pStyle w:val="yIndenta"/>
        <w:spacing w:before="60"/>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spacing w:before="60"/>
      </w:pPr>
      <w:r>
        <w:tab/>
        <w:t>(a)</w:t>
      </w:r>
      <w:r>
        <w:tab/>
        <w:t>must not be present at a meeting of the Board while a proposed resolution under subclause (1) in relation to that matter is being considered; and</w:t>
      </w:r>
    </w:p>
    <w:p>
      <w:pPr>
        <w:pStyle w:val="yIndenta"/>
        <w:spacing w:before="60"/>
      </w:pPr>
      <w:r>
        <w:tab/>
        <w:t>(b)</w:t>
      </w:r>
      <w:r>
        <w:tab/>
        <w:t xml:space="preserve">must not vote, whether at a meeting or otherwise, on a proposed resolution under subclause (1) in relation to the matter, whether in relation to that or a different director. </w:t>
      </w:r>
    </w:p>
    <w:p>
      <w:pPr>
        <w:pStyle w:val="ySubsection"/>
        <w:spacing w:before="150"/>
      </w:pPr>
      <w:r>
        <w:tab/>
        <w:t>(3)</w:t>
      </w:r>
      <w:r>
        <w:tab/>
        <w:t>The Treasurer may by notice to the Board declare that clause 11 does not apply in relation to a specified matter either generally or in voting on particular resolutions.</w:t>
      </w:r>
    </w:p>
    <w:p>
      <w:pPr>
        <w:pStyle w:val="ySubsection"/>
        <w:spacing w:before="150"/>
      </w:pPr>
      <w:r>
        <w:tab/>
        <w:t>(4)</w:t>
      </w:r>
      <w:r>
        <w:tab/>
        <w:t xml:space="preserve">The text of any declaration received by the Board is to be included in the annual report submitted by the accountable authority of the Board under Part 5 of the </w:t>
      </w:r>
      <w:r>
        <w:rPr>
          <w:i/>
          <w:iCs/>
        </w:rPr>
        <w:t>Financial Management Act 2006</w:t>
      </w:r>
      <w:r>
        <w:t>.</w:t>
      </w:r>
    </w:p>
    <w:p>
      <w:pPr>
        <w:pStyle w:val="yFootnotesection"/>
        <w:spacing w:before="100"/>
      </w:pPr>
      <w:r>
        <w:tab/>
        <w:t>[Clause 12 amended: No. 77 of 2006 Sch. 1 cl. 160(3); No. 35 of 2011 s. 31.]</w:t>
      </w:r>
    </w:p>
    <w:p>
      <w:pPr>
        <w:pStyle w:val="yScheduleHeading"/>
      </w:pPr>
      <w:bookmarkStart w:id="200" w:name="_Toc392508187"/>
      <w:bookmarkStart w:id="201" w:name="_Toc397337839"/>
      <w:bookmarkStart w:id="202" w:name="_Toc397954880"/>
      <w:bookmarkStart w:id="203" w:name="_Toc408233499"/>
      <w:bookmarkStart w:id="204" w:name="_Toc424548278"/>
      <w:bookmarkStart w:id="205" w:name="_Toc434856223"/>
      <w:bookmarkStart w:id="206" w:name="_Toc146034208"/>
      <w:r>
        <w:rPr>
          <w:rStyle w:val="CharSchNo"/>
        </w:rPr>
        <w:lastRenderedPageBreak/>
        <w:t>Schedule 3</w:t>
      </w:r>
      <w:r>
        <w:t> — </w:t>
      </w:r>
      <w:r>
        <w:rPr>
          <w:rStyle w:val="CharSchText"/>
        </w:rPr>
        <w:t>Provisions to be included in constitution of subsidiary</w:t>
      </w:r>
      <w:bookmarkEnd w:id="200"/>
      <w:bookmarkEnd w:id="201"/>
      <w:bookmarkEnd w:id="202"/>
      <w:bookmarkEnd w:id="203"/>
      <w:bookmarkEnd w:id="204"/>
      <w:bookmarkEnd w:id="205"/>
      <w:bookmarkEnd w:id="206"/>
    </w:p>
    <w:p>
      <w:pPr>
        <w:pStyle w:val="yShoulderClause"/>
        <w:spacing w:before="80"/>
      </w:pPr>
      <w:r>
        <w:t>[s. 7B]</w:t>
      </w:r>
    </w:p>
    <w:p>
      <w:pPr>
        <w:pStyle w:val="yFootnoteheading"/>
        <w:spacing w:before="80"/>
      </w:pPr>
      <w:r>
        <w:tab/>
        <w:t>[Heading inserted: No. 18 of 2006 s. 16.]</w:t>
      </w:r>
    </w:p>
    <w:p>
      <w:pPr>
        <w:pStyle w:val="yHeading5"/>
        <w:outlineLvl w:val="0"/>
      </w:pPr>
      <w:bookmarkStart w:id="207" w:name="_Toc408233500"/>
      <w:bookmarkStart w:id="208" w:name="_Toc146034209"/>
      <w:r>
        <w:rPr>
          <w:rStyle w:val="CharSClsNo"/>
        </w:rPr>
        <w:t>1</w:t>
      </w:r>
      <w:r>
        <w:t>.</w:t>
      </w:r>
      <w:r>
        <w:rPr>
          <w:b w:val="0"/>
        </w:rPr>
        <w:tab/>
      </w:r>
      <w:r>
        <w:t>Term used: prior approval</w:t>
      </w:r>
      <w:bookmarkEnd w:id="207"/>
      <w:bookmarkEnd w:id="208"/>
    </w:p>
    <w:p>
      <w:pPr>
        <w:pStyle w:val="ySubsection"/>
      </w:pPr>
      <w:r>
        <w:tab/>
      </w:r>
      <w:r>
        <w:tab/>
        <w:t xml:space="preserve">In this Schedule — </w:t>
      </w:r>
    </w:p>
    <w:p>
      <w:pPr>
        <w:pStyle w:val="yDefstart"/>
      </w:pPr>
      <w:r>
        <w:tab/>
      </w:r>
      <w:r>
        <w:rPr>
          <w:rStyle w:val="CharDefText"/>
        </w:rPr>
        <w:t>prior approval</w:t>
      </w:r>
      <w:r>
        <w:t xml:space="preserve"> means the prior written approval of the Treasurer.</w:t>
      </w:r>
    </w:p>
    <w:p>
      <w:pPr>
        <w:pStyle w:val="yFootnotesection"/>
        <w:spacing w:before="100"/>
      </w:pPr>
      <w:r>
        <w:tab/>
        <w:t>[Clause 1 inserted: No. 18 of 2006 s. 16; amended: No. 35 of 2011 s. 39.]</w:t>
      </w:r>
    </w:p>
    <w:p>
      <w:pPr>
        <w:pStyle w:val="yHeading5"/>
        <w:outlineLvl w:val="0"/>
      </w:pPr>
      <w:bookmarkStart w:id="209" w:name="_Toc408233501"/>
      <w:bookmarkStart w:id="210" w:name="_Toc146034210"/>
      <w:r>
        <w:rPr>
          <w:rStyle w:val="CharSClsNo"/>
        </w:rPr>
        <w:t>2</w:t>
      </w:r>
      <w:r>
        <w:t>.</w:t>
      </w:r>
      <w:r>
        <w:rPr>
          <w:b w:val="0"/>
        </w:rPr>
        <w:tab/>
      </w:r>
      <w:r>
        <w:t>Disposal of shares</w:t>
      </w:r>
      <w:bookmarkEnd w:id="209"/>
      <w:bookmarkEnd w:id="210"/>
    </w:p>
    <w:p>
      <w:pPr>
        <w:pStyle w:val="ySubsection"/>
      </w:pPr>
      <w:r>
        <w:tab/>
        <w:t>(1)</w:t>
      </w:r>
      <w:r>
        <w:tab/>
        <w:t>The Board must not sell or otherwise dispose of shares in the subsidiary without prior approval.</w:t>
      </w:r>
    </w:p>
    <w:p>
      <w:pPr>
        <w:pStyle w:val="ySubsection"/>
      </w:pPr>
      <w:r>
        <w:tab/>
        <w:t>(2)</w:t>
      </w:r>
      <w:r>
        <w:tab/>
        <w:t>The Treasurer is empowered to execute a transfer of any shares in the subsidiary held by the Board.</w:t>
      </w:r>
    </w:p>
    <w:p>
      <w:pPr>
        <w:pStyle w:val="yFootnotesection"/>
        <w:spacing w:before="100"/>
      </w:pPr>
      <w:r>
        <w:tab/>
        <w:t>[Clause 2 inserted: No. 18 of 2006 s. 16; amended: No. 35 of 2011 s. 31.]</w:t>
      </w:r>
    </w:p>
    <w:p>
      <w:pPr>
        <w:pStyle w:val="yHeading5"/>
        <w:outlineLvl w:val="0"/>
      </w:pPr>
      <w:bookmarkStart w:id="211" w:name="_Toc408233502"/>
      <w:bookmarkStart w:id="212" w:name="_Toc146034211"/>
      <w:r>
        <w:rPr>
          <w:rStyle w:val="CharSClsNo"/>
        </w:rPr>
        <w:t>3</w:t>
      </w:r>
      <w:r>
        <w:t>.</w:t>
      </w:r>
      <w:r>
        <w:tab/>
        <w:t>Directors</w:t>
      </w:r>
      <w:bookmarkEnd w:id="211"/>
      <w:bookmarkEnd w:id="212"/>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The board of the subsidiary is accountable to the Treasurer in the manner set out in section 36 and in the constitution of the subsidiary.</w:t>
      </w:r>
    </w:p>
    <w:p>
      <w:pPr>
        <w:pStyle w:val="yFootnotesection"/>
        <w:spacing w:before="100"/>
      </w:pPr>
      <w:r>
        <w:tab/>
        <w:t>[Clause 3 inserted: No. 18 of 2006 s. 16; amended: No. 35 of 2011 s. 31.]</w:t>
      </w:r>
    </w:p>
    <w:p>
      <w:pPr>
        <w:pStyle w:val="yHeading5"/>
        <w:outlineLvl w:val="0"/>
      </w:pPr>
      <w:bookmarkStart w:id="213" w:name="_Toc408233503"/>
      <w:bookmarkStart w:id="214" w:name="_Toc146034212"/>
      <w:r>
        <w:rPr>
          <w:rStyle w:val="CharSClsNo"/>
        </w:rPr>
        <w:t>4</w:t>
      </w:r>
      <w:r>
        <w:t>.</w:t>
      </w:r>
      <w:r>
        <w:tab/>
        <w:t>Further shares</w:t>
      </w:r>
      <w:bookmarkEnd w:id="213"/>
      <w:bookmarkEnd w:id="214"/>
    </w:p>
    <w:p>
      <w:pPr>
        <w:pStyle w:val="ySubsection"/>
      </w:pPr>
      <w:r>
        <w:tab/>
      </w:r>
      <w:r>
        <w:tab/>
        <w:t>Shares in the subsidiary must not be issued or transferred without prior approval.</w:t>
      </w:r>
    </w:p>
    <w:p>
      <w:pPr>
        <w:pStyle w:val="yFootnotesection"/>
        <w:spacing w:before="100"/>
      </w:pPr>
      <w:r>
        <w:tab/>
        <w:t>[Clause 4 inserted: No. 18 of 2006 s. 16.]</w:t>
      </w:r>
    </w:p>
    <w:p>
      <w:pPr>
        <w:pStyle w:val="yHeading5"/>
        <w:outlineLvl w:val="0"/>
      </w:pPr>
      <w:bookmarkStart w:id="215" w:name="_Toc408233504"/>
      <w:bookmarkStart w:id="216" w:name="_Toc146034213"/>
      <w:r>
        <w:rPr>
          <w:rStyle w:val="CharSClsNo"/>
        </w:rPr>
        <w:lastRenderedPageBreak/>
        <w:t>5</w:t>
      </w:r>
      <w:r>
        <w:t>.</w:t>
      </w:r>
      <w:r>
        <w:rPr>
          <w:b w:val="0"/>
        </w:rPr>
        <w:tab/>
      </w:r>
      <w:r>
        <w:t>Alteration of constitution</w:t>
      </w:r>
      <w:bookmarkEnd w:id="215"/>
      <w:bookmarkEnd w:id="216"/>
    </w:p>
    <w:p>
      <w:pPr>
        <w:pStyle w:val="ySubsection"/>
      </w:pPr>
      <w:r>
        <w:tab/>
      </w:r>
      <w:r>
        <w:tab/>
        <w:t>The constitution of the subsidiary must not be modified or replaced without prior approval.</w:t>
      </w:r>
    </w:p>
    <w:p>
      <w:pPr>
        <w:pStyle w:val="yFootnotesection"/>
      </w:pPr>
      <w:r>
        <w:tab/>
        <w:t>[Clause 5 inserted: No. 18 of 2006 s. 16.]</w:t>
      </w:r>
    </w:p>
    <w:p>
      <w:pPr>
        <w:pStyle w:val="yHeading5"/>
        <w:outlineLvl w:val="0"/>
      </w:pPr>
      <w:bookmarkStart w:id="217" w:name="_Toc408233505"/>
      <w:bookmarkStart w:id="218" w:name="_Toc146034214"/>
      <w:r>
        <w:rPr>
          <w:rStyle w:val="CharSClsNo"/>
        </w:rPr>
        <w:t>6</w:t>
      </w:r>
      <w:r>
        <w:t>.</w:t>
      </w:r>
      <w:r>
        <w:tab/>
        <w:t>Subsidiaries of subsidiary</w:t>
      </w:r>
      <w:bookmarkEnd w:id="217"/>
      <w:bookmarkEnd w:id="218"/>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6 inserted: No. 18 of 2006 s. 16.]</w:t>
      </w: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4"/>
          <w:headerReference w:type="default" r:id="rId25"/>
          <w:headerReference w:type="first" r:id="rId26"/>
          <w:type w:val="continuous"/>
          <w:pgSz w:w="11907" w:h="16840" w:code="9"/>
          <w:pgMar w:top="2376" w:right="2405" w:bottom="3542" w:left="2405" w:header="706" w:footer="3380" w:gutter="0"/>
          <w:cols w:space="720"/>
          <w:noEndnote/>
          <w:docGrid w:linePitch="326"/>
        </w:sectPr>
      </w:pPr>
    </w:p>
    <w:p>
      <w:pPr>
        <w:pStyle w:val="nHeading2"/>
        <w:outlineLvl w:val="0"/>
      </w:pPr>
      <w:bookmarkStart w:id="220" w:name="_Toc392508194"/>
      <w:bookmarkStart w:id="221" w:name="_Toc397337846"/>
      <w:bookmarkStart w:id="222" w:name="_Toc397954887"/>
      <w:bookmarkStart w:id="223" w:name="_Toc408233506"/>
      <w:bookmarkStart w:id="224" w:name="_Toc424548285"/>
      <w:bookmarkStart w:id="225" w:name="_Toc434856230"/>
      <w:bookmarkStart w:id="226" w:name="_Toc146034215"/>
      <w:r>
        <w:lastRenderedPageBreak/>
        <w:t>Notes</w:t>
      </w:r>
      <w:bookmarkEnd w:id="220"/>
      <w:bookmarkEnd w:id="221"/>
      <w:bookmarkEnd w:id="222"/>
      <w:bookmarkEnd w:id="223"/>
      <w:bookmarkEnd w:id="224"/>
      <w:bookmarkEnd w:id="225"/>
      <w:bookmarkEnd w:id="226"/>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Act 2000</w:t>
      </w:r>
      <w:r>
        <w:rPr>
          <w:snapToGrid w:val="0"/>
        </w:rPr>
        <w:t xml:space="preserve"> and includes the amendments made by the other written laws referred to in the following table.  The table also contains information about any reprint.</w:t>
      </w:r>
    </w:p>
    <w:p>
      <w:pPr>
        <w:pStyle w:val="nHeading3"/>
        <w:outlineLvl w:val="1"/>
        <w:rPr>
          <w:snapToGrid w:val="0"/>
        </w:rPr>
      </w:pPr>
      <w:bookmarkStart w:id="227" w:name="_Toc408233507"/>
      <w:bookmarkStart w:id="228" w:name="_Toc146034216"/>
      <w:r>
        <w:rPr>
          <w:snapToGrid w:val="0"/>
        </w:rPr>
        <w:t>Compilation table</w:t>
      </w:r>
      <w:bookmarkEnd w:id="227"/>
      <w:bookmarkEnd w:id="2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State Superannuation Act 2000</w:t>
            </w:r>
          </w:p>
        </w:tc>
        <w:tc>
          <w:tcPr>
            <w:tcW w:w="1134" w:type="dxa"/>
            <w:tcBorders>
              <w:top w:val="single" w:sz="8" w:space="0" w:color="auto"/>
            </w:tcBorders>
          </w:tcPr>
          <w:p>
            <w:pPr>
              <w:pStyle w:val="nTable"/>
              <w:spacing w:after="40"/>
            </w:pPr>
            <w:r>
              <w:t>42 of 2000</w:t>
            </w:r>
          </w:p>
        </w:tc>
        <w:tc>
          <w:tcPr>
            <w:tcW w:w="1134" w:type="dxa"/>
            <w:tcBorders>
              <w:top w:val="single" w:sz="8" w:space="0" w:color="auto"/>
            </w:tcBorders>
          </w:tcPr>
          <w:p>
            <w:pPr>
              <w:pStyle w:val="nTable"/>
              <w:spacing w:after="40"/>
            </w:pPr>
            <w:r>
              <w:t>2 Nov 2000</w:t>
            </w:r>
          </w:p>
        </w:tc>
        <w:tc>
          <w:tcPr>
            <w:tcW w:w="2552" w:type="dxa"/>
            <w:tcBorders>
              <w:top w:val="single" w:sz="8" w:space="0" w:color="auto"/>
            </w:tcBorders>
          </w:tcPr>
          <w:p>
            <w:pPr>
              <w:pStyle w:val="nTable"/>
              <w:spacing w:after="40"/>
            </w:pPr>
            <w:r>
              <w:t>s. 1 and 2: 2 Nov 2000;</w:t>
            </w:r>
            <w:r>
              <w:br/>
              <w:t xml:space="preserve">Act other than s. 1 and 2: 17 Feb 2001 (see s. 2 and </w:t>
            </w:r>
            <w:r>
              <w:rPr>
                <w:i/>
              </w:rPr>
              <w:t>Gazette</w:t>
            </w:r>
            <w:r>
              <w:t xml:space="preserve"> 16 Feb 2001 p. 903)</w:t>
            </w:r>
          </w:p>
        </w:tc>
      </w:tr>
      <w:tr>
        <w:tc>
          <w:tcPr>
            <w:tcW w:w="2268" w:type="dxa"/>
          </w:tcPr>
          <w:p>
            <w:pPr>
              <w:pStyle w:val="nTable"/>
              <w:spacing w:after="40"/>
              <w:rPr>
                <w:i/>
                <w:snapToGrid w:val="0"/>
              </w:rPr>
            </w:pPr>
            <w:r>
              <w:rPr>
                <w:i/>
                <w:snapToGrid w:val="0"/>
              </w:rPr>
              <w:t>Corporations (Consequential Amendments) Act 2001</w:t>
            </w:r>
            <w:r>
              <w:rPr>
                <w:snapToGrid w:val="0"/>
              </w:rPr>
              <w:t xml:space="preserve"> </w:t>
            </w:r>
            <w:r>
              <w:t>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snapToGrid w:val="0"/>
              </w:rPr>
            </w:pPr>
            <w:r>
              <w:rPr>
                <w:i/>
                <w:snapToGrid w:val="0"/>
              </w:rPr>
              <w:t>Acts Amendment (Lesbian and Gay Law Reform) Act 2002</w:t>
            </w:r>
            <w:r>
              <w:rPr>
                <w:snapToGrid w:val="0"/>
              </w:rPr>
              <w:t xml:space="preserve"> Pt. 19</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c>
          <w:tcPr>
            <w:tcW w:w="2268" w:type="dxa"/>
          </w:tcPr>
          <w:p>
            <w:pPr>
              <w:pStyle w:val="nTable"/>
              <w:spacing w:after="40"/>
              <w:rPr>
                <w:snapToGrid w:val="0"/>
              </w:rPr>
            </w:pPr>
            <w:r>
              <w:rPr>
                <w:i/>
                <w:snapToGrid w:val="0"/>
              </w:rPr>
              <w:t>Corporations (Consequential Amendments) Act (No. 3) 2003</w:t>
            </w:r>
            <w:r>
              <w:rPr>
                <w:snapToGrid w:val="0"/>
              </w:rPr>
              <w:t xml:space="preserve"> Pt. 15</w:t>
            </w:r>
            <w:r>
              <w:rPr>
                <w:snapToGrid w:val="0"/>
                <w:vertAlign w:val="superscript"/>
              </w:rPr>
              <w:t xml:space="preserve"> 3</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c>
          <w:tcPr>
            <w:tcW w:w="2268" w:type="dxa"/>
          </w:tcPr>
          <w:p>
            <w:pPr>
              <w:pStyle w:val="nTable"/>
              <w:spacing w:after="40"/>
              <w:rPr>
                <w:i/>
                <w:snapToGrid w:val="0"/>
              </w:rPr>
            </w:pPr>
            <w:r>
              <w:rPr>
                <w:i/>
                <w:snapToGrid w:val="0"/>
              </w:rPr>
              <w:t>State Administrative Tribunal (Conferral of Jurisdiction) Amendment and Repeal Act 2004</w:t>
            </w:r>
            <w:r>
              <w:rPr>
                <w:iCs/>
                <w:snapToGrid w:val="0"/>
              </w:rPr>
              <w:t xml:space="preserve"> Pt. 2 Div. 120</w:t>
            </w:r>
            <w:r>
              <w:rPr>
                <w:iCs/>
                <w:snapToGrid w:val="0"/>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iCs/>
                <w:vertAlign w:val="superscript"/>
              </w:rPr>
            </w:pPr>
            <w:r>
              <w:rPr>
                <w:i/>
              </w:rPr>
              <w:t>Superannuation Legislation Amendment and Validation Act 2006</w:t>
            </w:r>
            <w:r>
              <w:rPr>
                <w:iCs/>
              </w:rPr>
              <w:t xml:space="preserve"> Pt. 3</w:t>
            </w:r>
            <w:r>
              <w:rPr>
                <w:iCs/>
                <w:vertAlign w:val="superscript"/>
              </w:rPr>
              <w:t>5</w:t>
            </w:r>
          </w:p>
        </w:tc>
        <w:tc>
          <w:tcPr>
            <w:tcW w:w="1134" w:type="dxa"/>
          </w:tcPr>
          <w:p>
            <w:pPr>
              <w:pStyle w:val="nTable"/>
              <w:spacing w:after="40"/>
            </w:pPr>
            <w:r>
              <w:t>18 of 2006</w:t>
            </w:r>
          </w:p>
        </w:tc>
        <w:tc>
          <w:tcPr>
            <w:tcW w:w="1134" w:type="dxa"/>
          </w:tcPr>
          <w:p>
            <w:pPr>
              <w:pStyle w:val="nTable"/>
              <w:spacing w:after="40"/>
            </w:pPr>
            <w:r>
              <w:t>31 May 2006</w:t>
            </w:r>
          </w:p>
        </w:tc>
        <w:tc>
          <w:tcPr>
            <w:tcW w:w="2552" w:type="dxa"/>
          </w:tcPr>
          <w:p>
            <w:pPr>
              <w:pStyle w:val="nTable"/>
              <w:spacing w:after="40"/>
            </w:pPr>
            <w:r>
              <w:t>31 May 2006 (see s. 2)</w:t>
            </w:r>
          </w:p>
        </w:tc>
      </w:tr>
      <w:tr>
        <w:tc>
          <w:tcPr>
            <w:tcW w:w="2268" w:type="dxa"/>
          </w:tcPr>
          <w:p>
            <w:pPr>
              <w:pStyle w:val="nTable"/>
              <w:spacing w:after="40"/>
              <w:rPr>
                <w:i/>
                <w:vertAlign w:val="superscript"/>
              </w:rPr>
            </w:pPr>
            <w:r>
              <w:rPr>
                <w:i/>
                <w:snapToGrid w:val="0"/>
              </w:rPr>
              <w:t>Machinery of Government (Miscellaneous Amendments) Act 2006</w:t>
            </w:r>
            <w:r>
              <w:rPr>
                <w:i/>
                <w:iCs/>
                <w:snapToGrid w:val="0"/>
              </w:rPr>
              <w:t xml:space="preserve"> </w:t>
            </w:r>
            <w:r>
              <w:rPr>
                <w:snapToGrid w:val="0"/>
              </w:rPr>
              <w:t>Pt. 17 Div. 9</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rPr>
          <w:cantSplit/>
        </w:trPr>
        <w:tc>
          <w:tcPr>
            <w:tcW w:w="7088" w:type="dxa"/>
            <w:gridSpan w:val="4"/>
          </w:tcPr>
          <w:p>
            <w:pPr>
              <w:pStyle w:val="nTable"/>
              <w:spacing w:after="40"/>
            </w:pPr>
            <w:r>
              <w:rPr>
                <w:b/>
                <w:bCs/>
              </w:rPr>
              <w:t xml:space="preserve">Reprint 1: The </w:t>
            </w:r>
            <w:r>
              <w:rPr>
                <w:b/>
                <w:bCs/>
                <w:i/>
                <w:snapToGrid w:val="0"/>
              </w:rPr>
              <w:t xml:space="preserve">State Superannuation Act 2000 </w:t>
            </w:r>
            <w:r>
              <w:rPr>
                <w:b/>
                <w:bCs/>
                <w:iCs/>
                <w:snapToGrid w:val="0"/>
              </w:rPr>
              <w:t>as at 18 Aug 2006</w:t>
            </w:r>
            <w:r>
              <w:rPr>
                <w:iCs/>
                <w:snapToGrid w:val="0"/>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and Sch. 1 cl. 160</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vertAlign w:val="superscript"/>
              </w:rPr>
            </w:pPr>
            <w:r>
              <w:rPr>
                <w:i/>
                <w:snapToGrid w:val="0"/>
              </w:rPr>
              <w:lastRenderedPageBreak/>
              <w:t>State Superannuation Amendment Act 2007</w:t>
            </w:r>
            <w:r>
              <w:rPr>
                <w:iCs/>
                <w:snapToGrid w:val="0"/>
              </w:rPr>
              <w:t xml:space="preserve"> Pt. 1, 2 and 5 </w:t>
            </w:r>
            <w:r>
              <w:t>Div. 3 Subdiv. 1</w:t>
            </w:r>
            <w:r>
              <w:rPr>
                <w:iCs/>
                <w:snapToGrid w:val="0"/>
              </w:rPr>
              <w:t> </w:t>
            </w:r>
            <w:r>
              <w:rPr>
                <w:iCs/>
                <w:snapToGrid w:val="0"/>
                <w:vertAlign w:val="superscript"/>
              </w:rPr>
              <w:t>6</w:t>
            </w:r>
          </w:p>
        </w:tc>
        <w:tc>
          <w:tcPr>
            <w:tcW w:w="1134" w:type="dxa"/>
            <w:tcBorders>
              <w:top w:val="nil"/>
              <w:bottom w:val="nil"/>
            </w:tcBorders>
          </w:tcPr>
          <w:p>
            <w:pPr>
              <w:pStyle w:val="nTable"/>
              <w:spacing w:after="40"/>
              <w:rPr>
                <w:snapToGrid w:val="0"/>
              </w:rPr>
            </w:pPr>
            <w:r>
              <w:rPr>
                <w:snapToGrid w:val="0"/>
              </w:rPr>
              <w:t>25 of 2007</w:t>
            </w:r>
          </w:p>
        </w:tc>
        <w:tc>
          <w:tcPr>
            <w:tcW w:w="1134" w:type="dxa"/>
            <w:tcBorders>
              <w:top w:val="nil"/>
              <w:bottom w:val="nil"/>
            </w:tcBorders>
          </w:tcPr>
          <w:p>
            <w:pPr>
              <w:pStyle w:val="nTable"/>
              <w:spacing w:after="40"/>
              <w:rPr>
                <w:snapToGrid w:val="0"/>
              </w:rPr>
            </w:pPr>
            <w:r>
              <w:t>16 Oct 2007</w:t>
            </w:r>
          </w:p>
        </w:tc>
        <w:tc>
          <w:tcPr>
            <w:tcW w:w="2552" w:type="dxa"/>
            <w:tcBorders>
              <w:top w:val="nil"/>
              <w:bottom w:val="nil"/>
            </w:tcBorders>
          </w:tcPr>
          <w:p>
            <w:pPr>
              <w:pStyle w:val="nTable"/>
              <w:rPr>
                <w:snapToGrid w:val="0"/>
                <w:u w:val="words"/>
              </w:rPr>
            </w:pPr>
            <w:r>
              <w:t>Pt. 1: 16 Oct 2007 (see s. 2(1)(a));</w:t>
            </w:r>
            <w:r>
              <w:br/>
              <w:t xml:space="preserve">Pt. 2: 6 Dec 2007 (see s. 2(1)(b) and </w:t>
            </w:r>
            <w:r>
              <w:rPr>
                <w:i/>
                <w:iCs/>
              </w:rPr>
              <w:t>Gazette</w:t>
            </w:r>
            <w:r>
              <w:t xml:space="preserve"> 5 Dec 2007 p. 5973);</w:t>
            </w:r>
            <w:r>
              <w:br/>
              <w:t xml:space="preserve">Pt. 5 Div. 3 Subdiv. 1: 6 Dec 2007 (see s. 2(1)(e) and </w:t>
            </w:r>
            <w:r>
              <w:rPr>
                <w:i/>
                <w:iCs/>
              </w:rPr>
              <w:t>Gazette</w:t>
            </w:r>
            <w:r>
              <w:t xml:space="preserve"> 5 Dec 2007 p. 5973)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pPr>
            <w:r>
              <w:t>1 Oct 2010</w:t>
            </w:r>
          </w:p>
        </w:tc>
        <w:tc>
          <w:tcPr>
            <w:tcW w:w="2552" w:type="dxa"/>
            <w:tcBorders>
              <w:top w:val="nil"/>
              <w:bottom w:val="nil"/>
            </w:tcBorders>
          </w:tcPr>
          <w:p>
            <w:pPr>
              <w:pStyle w:val="nTable"/>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State Superannuation Amendment Act 2011</w:t>
            </w:r>
          </w:p>
        </w:tc>
        <w:tc>
          <w:tcPr>
            <w:tcW w:w="1134" w:type="dxa"/>
            <w:tcBorders>
              <w:top w:val="nil"/>
              <w:bottom w:val="nil"/>
            </w:tcBorders>
          </w:tcPr>
          <w:p>
            <w:pPr>
              <w:pStyle w:val="nTable"/>
              <w:spacing w:after="40"/>
              <w:rPr>
                <w:snapToGrid w:val="0"/>
              </w:rPr>
            </w:pPr>
            <w:r>
              <w:rPr>
                <w:snapToGrid w:val="0"/>
              </w:rPr>
              <w:t>35 of 2011</w:t>
            </w:r>
          </w:p>
        </w:tc>
        <w:tc>
          <w:tcPr>
            <w:tcW w:w="1134" w:type="dxa"/>
            <w:tcBorders>
              <w:top w:val="nil"/>
              <w:bottom w:val="nil"/>
            </w:tcBorders>
          </w:tcPr>
          <w:p>
            <w:pPr>
              <w:pStyle w:val="nTable"/>
              <w:spacing w:after="40"/>
            </w:pPr>
            <w:r>
              <w:t>12 Sep 2011</w:t>
            </w:r>
          </w:p>
        </w:tc>
        <w:tc>
          <w:tcPr>
            <w:tcW w:w="2552" w:type="dxa"/>
            <w:tcBorders>
              <w:top w:val="nil"/>
              <w:bottom w:val="nil"/>
            </w:tcBorders>
          </w:tcPr>
          <w:p>
            <w:pPr>
              <w:pStyle w:val="nTable"/>
              <w:rPr>
                <w:snapToGrid w:val="0"/>
              </w:rPr>
            </w:pPr>
            <w:r>
              <w:rPr>
                <w:snapToGrid w:val="0"/>
              </w:rPr>
              <w:t>s. 1 and 2: 12 Sep 2011 (see s. 2(a));</w:t>
            </w:r>
            <w:r>
              <w:rPr>
                <w:snapToGrid w:val="0"/>
              </w:rPr>
              <w:br/>
              <w:t xml:space="preserve">Act other than s. 1 and 2: 30 Mar 2012 (see s. 2(b) and </w:t>
            </w:r>
            <w:r>
              <w:rPr>
                <w:i/>
                <w:snapToGrid w:val="0"/>
              </w:rPr>
              <w:t>Gazette</w:t>
            </w:r>
            <w:r>
              <w:rPr>
                <w:snapToGrid w:val="0"/>
              </w:rPr>
              <w:t xml:space="preserve"> 16 Mar 2012 p. 1245)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iCs/>
                <w:snapToGrid w:val="0"/>
              </w:rPr>
              <w:t>Statutes (Repeals and Minor Amendments) Act 2011</w:t>
            </w:r>
            <w:r>
              <w:rPr>
                <w:iCs/>
                <w:snapToGrid w:val="0"/>
              </w:rPr>
              <w:t xml:space="preserve"> s. 27</w:t>
            </w:r>
          </w:p>
        </w:tc>
        <w:tc>
          <w:tcPr>
            <w:tcW w:w="1134" w:type="dxa"/>
            <w:tcBorders>
              <w:top w:val="nil"/>
              <w:bottom w:val="nil"/>
            </w:tcBorders>
          </w:tcPr>
          <w:p>
            <w:pPr>
              <w:pStyle w:val="nTable"/>
              <w:spacing w:after="40"/>
              <w:rPr>
                <w:snapToGrid w:val="0"/>
              </w:rPr>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rPr>
                <w:snapToGrid w:val="0"/>
              </w:rPr>
            </w:pPr>
            <w:r>
              <w:rPr>
                <w:snapToGrid w:val="0"/>
              </w:rPr>
              <w:t>26 Oct 2011 (see s. 2(b))</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tcPr>
          <w:p>
            <w:pPr>
              <w:pStyle w:val="nTable"/>
              <w:rPr>
                <w:snapToGrid w:val="0"/>
              </w:rPr>
            </w:pPr>
            <w:r>
              <w:rPr>
                <w:b/>
                <w:bCs/>
              </w:rPr>
              <w:t xml:space="preserve">Reprint 2: The </w:t>
            </w:r>
            <w:r>
              <w:rPr>
                <w:b/>
                <w:bCs/>
                <w:i/>
                <w:snapToGrid w:val="0"/>
              </w:rPr>
              <w:t xml:space="preserve">State Superannuation Act 2000 </w:t>
            </w:r>
            <w:r>
              <w:rPr>
                <w:b/>
                <w:bCs/>
                <w:iCs/>
                <w:snapToGrid w:val="0"/>
              </w:rPr>
              <w:t>as at 11 May 2012</w:t>
            </w:r>
            <w:r>
              <w:rPr>
                <w:iCs/>
                <w:snapToGrid w:val="0"/>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iCs/>
                <w:snapToGrid w:val="0"/>
              </w:rPr>
              <w:t>Statutes (Repeals and Minor Amendments) Act 2014</w:t>
            </w:r>
            <w:r>
              <w:rPr>
                <w:iCs/>
                <w:snapToGrid w:val="0"/>
              </w:rPr>
              <w:t xml:space="preserve"> s. 40</w:t>
            </w:r>
          </w:p>
        </w:tc>
        <w:tc>
          <w:tcPr>
            <w:tcW w:w="1134" w:type="dxa"/>
            <w:tcBorders>
              <w:top w:val="nil"/>
              <w:bottom w:val="nil"/>
            </w:tcBorders>
          </w:tcPr>
          <w:p>
            <w:pPr>
              <w:pStyle w:val="nTable"/>
              <w:spacing w:after="40"/>
              <w:rPr>
                <w:snapToGrid w:val="0"/>
              </w:rPr>
            </w:pPr>
            <w:r>
              <w:rPr>
                <w:snapToGrid w:val="0"/>
              </w:rPr>
              <w:t>17 of 2014</w:t>
            </w:r>
          </w:p>
        </w:tc>
        <w:tc>
          <w:tcPr>
            <w:tcW w:w="1134" w:type="dxa"/>
            <w:tcBorders>
              <w:top w:val="nil"/>
              <w:bottom w:val="nil"/>
            </w:tcBorders>
          </w:tcPr>
          <w:p>
            <w:pPr>
              <w:pStyle w:val="nTable"/>
              <w:spacing w:after="40"/>
            </w:pPr>
            <w:r>
              <w:rPr>
                <w:snapToGrid w:val="0"/>
              </w:rPr>
              <w:t>2 Jul 2014</w:t>
            </w:r>
          </w:p>
        </w:tc>
        <w:tc>
          <w:tcPr>
            <w:tcW w:w="2552" w:type="dxa"/>
            <w:tcBorders>
              <w:top w:val="nil"/>
              <w:bottom w:val="nil"/>
            </w:tcBorders>
          </w:tcPr>
          <w:p>
            <w:pPr>
              <w:pStyle w:val="nTable"/>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iCs/>
                <w:snapToGrid w:val="0"/>
              </w:rPr>
            </w:pPr>
            <w:r>
              <w:rPr>
                <w:i/>
                <w:snapToGrid w:val="0"/>
              </w:rPr>
              <w:t>Unclaimed Money (Superannuation and RSA Providers) Amendment and Expiry Act 2014</w:t>
            </w:r>
            <w:r>
              <w:rPr>
                <w:snapToGrid w:val="0"/>
              </w:rPr>
              <w:t xml:space="preserve"> Pt. 3</w:t>
            </w:r>
          </w:p>
        </w:tc>
        <w:tc>
          <w:tcPr>
            <w:tcW w:w="1134" w:type="dxa"/>
            <w:tcBorders>
              <w:top w:val="nil"/>
              <w:bottom w:val="single" w:sz="4" w:space="0" w:color="auto"/>
            </w:tcBorders>
          </w:tcPr>
          <w:p>
            <w:pPr>
              <w:pStyle w:val="nTable"/>
              <w:spacing w:after="40"/>
              <w:rPr>
                <w:snapToGrid w:val="0"/>
              </w:rPr>
            </w:pPr>
            <w:r>
              <w:t>22 of 2014</w:t>
            </w:r>
          </w:p>
        </w:tc>
        <w:tc>
          <w:tcPr>
            <w:tcW w:w="1134" w:type="dxa"/>
            <w:tcBorders>
              <w:top w:val="nil"/>
              <w:bottom w:val="single" w:sz="4" w:space="0" w:color="auto"/>
            </w:tcBorders>
          </w:tcPr>
          <w:p>
            <w:pPr>
              <w:pStyle w:val="nTable"/>
              <w:spacing w:after="40"/>
              <w:rPr>
                <w:snapToGrid w:val="0"/>
              </w:rPr>
            </w:pPr>
            <w:r>
              <w:t>29 Aug 2014</w:t>
            </w:r>
          </w:p>
        </w:tc>
        <w:tc>
          <w:tcPr>
            <w:tcW w:w="2552" w:type="dxa"/>
            <w:tcBorders>
              <w:top w:val="nil"/>
              <w:bottom w:val="single" w:sz="4" w:space="0" w:color="auto"/>
            </w:tcBorders>
          </w:tcPr>
          <w:p>
            <w:pPr>
              <w:pStyle w:val="nTable"/>
              <w:rPr>
                <w:snapToGrid w:val="0"/>
              </w:rPr>
            </w:pPr>
            <w:r>
              <w:rPr>
                <w:snapToGrid w:val="0"/>
              </w:rPr>
              <w:t xml:space="preserve">7 Jan 2015 (see s. 2(b) and </w:t>
            </w:r>
            <w:r>
              <w:rPr>
                <w:i/>
                <w:snapToGrid w:val="0"/>
              </w:rPr>
              <w:t>Gazette</w:t>
            </w:r>
            <w:r>
              <w:rPr>
                <w:snapToGrid w:val="0"/>
              </w:rPr>
              <w:t xml:space="preserve"> 6 Jan 2015 p. 3)</w:t>
            </w:r>
          </w:p>
        </w:tc>
      </w:tr>
    </w:tbl>
    <w:p>
      <w:pPr>
        <w:pStyle w:val="nSubsection"/>
        <w:spacing w:before="120"/>
      </w:pPr>
      <w:r>
        <w:rPr>
          <w:vertAlign w:val="superscript"/>
        </w:rPr>
        <w:t>3</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lastRenderedPageBreak/>
        <w:t>3</w:t>
      </w:r>
      <w:r>
        <w:t>.</w:t>
      </w:r>
      <w:r>
        <w:tab/>
        <w:t>Interpretation</w:t>
      </w:r>
    </w:p>
    <w:p>
      <w:pPr>
        <w:pStyle w:val="nzSubsection"/>
        <w:keepNext/>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spacing w:before="120"/>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iCs/>
        </w:rPr>
      </w:pPr>
      <w:r>
        <w:rPr>
          <w:iCs/>
          <w:vertAlign w:val="superscript"/>
        </w:rPr>
        <w:lastRenderedPageBreak/>
        <w:t>5</w:t>
      </w:r>
      <w:r>
        <w:rPr>
          <w:iCs/>
        </w:rPr>
        <w:tab/>
        <w:t xml:space="preserve">The </w:t>
      </w:r>
      <w:r>
        <w:rPr>
          <w:i/>
        </w:rPr>
        <w:t>Superannuation Legislation Amendment and Validation Act 2006</w:t>
      </w:r>
      <w:r>
        <w:rPr>
          <w:iCs/>
        </w:rPr>
        <w:t xml:space="preserve"> s. 17 and 18 read as follows:</w:t>
      </w:r>
    </w:p>
    <w:p>
      <w:pPr>
        <w:pStyle w:val="BlankOpen"/>
      </w:pPr>
    </w:p>
    <w:p>
      <w:pPr>
        <w:pStyle w:val="nzHeading5"/>
      </w:pPr>
      <w:r>
        <w:rPr>
          <w:rStyle w:val="CharSectno"/>
        </w:rPr>
        <w:t>17</w:t>
      </w:r>
      <w:r>
        <w:t>.</w:t>
      </w:r>
      <w:r>
        <w:tab/>
        <w:t>Validation of certain payments</w:t>
      </w:r>
    </w:p>
    <w:p>
      <w:pPr>
        <w:pStyle w:val="nzSubsection"/>
      </w:pPr>
      <w:r>
        <w:tab/>
        <w:t>(1)</w:t>
      </w:r>
      <w:r>
        <w:tab/>
        <w:t xml:space="preserve">In this section — </w:t>
      </w:r>
    </w:p>
    <w:p>
      <w:pPr>
        <w:pStyle w:val="nzDefstart"/>
      </w:pPr>
      <w:r>
        <w:rPr>
          <w:b/>
        </w:rPr>
        <w:tab/>
      </w:r>
      <w:r>
        <w:rPr>
          <w:rStyle w:val="CharDefText"/>
        </w:rPr>
        <w:t>Superannuation Act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pPr>
      <w:r>
        <w:rPr>
          <w:rStyle w:val="CharSectno"/>
        </w:rPr>
        <w:lastRenderedPageBreak/>
        <w:t>18</w:t>
      </w:r>
      <w:r>
        <w:t>.</w:t>
      </w:r>
      <w:r>
        <w:tab/>
        <w:t>Validation of contributions made for visiting medical practitioners</w:t>
      </w:r>
    </w:p>
    <w:p>
      <w:pPr>
        <w:pStyle w:val="nzSubsection"/>
        <w:keepNext/>
      </w:pPr>
      <w:r>
        <w:tab/>
        <w:t>(1)</w:t>
      </w:r>
      <w:r>
        <w:tab/>
        <w:t xml:space="preserve">In this section — </w:t>
      </w:r>
    </w:p>
    <w:p>
      <w:pPr>
        <w:pStyle w:val="nzDefstart"/>
      </w:pPr>
      <w:r>
        <w:rPr>
          <w:b/>
        </w:rPr>
        <w:tab/>
      </w:r>
      <w:r>
        <w:rPr>
          <w:rStyle w:val="CharDefText"/>
        </w:rPr>
        <w:t>Board</w:t>
      </w:r>
      <w:r>
        <w:t xml:space="preserve"> means the Government Employees Superannuation Board referred to in the </w:t>
      </w:r>
      <w:r>
        <w:rPr>
          <w:i/>
          <w:iCs/>
        </w:rPr>
        <w:t>State Superannuation Act 2000</w:t>
      </w:r>
      <w:r>
        <w:t xml:space="preserve"> section 5;</w:t>
      </w:r>
    </w:p>
    <w:p>
      <w:pPr>
        <w:pStyle w:val="nzDefstart"/>
      </w:pPr>
      <w:r>
        <w:rPr>
          <w:b/>
        </w:rPr>
        <w:tab/>
      </w:r>
      <w:r>
        <w:rPr>
          <w:rStyle w:val="CharDefText"/>
        </w:rPr>
        <w:t>visiting medical practitioner</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BlankClose"/>
      </w:pPr>
    </w:p>
    <w:p>
      <w:pPr>
        <w:pStyle w:val="nSubsection"/>
      </w:pPr>
      <w:r>
        <w:rPr>
          <w:vertAlign w:val="superscript"/>
        </w:rPr>
        <w:t>6</w:t>
      </w:r>
      <w:r>
        <w:tab/>
        <w:t xml:space="preserve">The </w:t>
      </w:r>
      <w:r>
        <w:rPr>
          <w:i/>
        </w:rPr>
        <w:t>State Superannuation Amendment Act 2007</w:t>
      </w:r>
      <w:r>
        <w:t xml:space="preserve"> Pt. 5 Div. 1 and 2 were repealed by the </w:t>
      </w:r>
      <w:r>
        <w:rPr>
          <w:i/>
        </w:rPr>
        <w:t>State Superannuation Amendment Act 2007</w:t>
      </w:r>
      <w:r>
        <w:t xml:space="preserve"> s. 2(8)(a) and Pt. 3, 4, 5 Div. 3 Subdiv. 2 and Pt. 6 Div. 2 were repealed by the </w:t>
      </w:r>
      <w:r>
        <w:rPr>
          <w:i/>
        </w:rPr>
        <w:t>State Superannuation Amendment Act 2011</w:t>
      </w:r>
      <w:r>
        <w:t xml:space="preserve"> s. 4 before they purported to come into operation.</w:t>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230" w:name="_Toc434856232"/>
      <w:bookmarkStart w:id="231" w:name="_Toc146034217"/>
      <w:r>
        <w:rPr>
          <w:sz w:val="28"/>
        </w:rPr>
        <w:lastRenderedPageBreak/>
        <w:t>Defined terms</w:t>
      </w:r>
      <w:bookmarkEnd w:id="230"/>
      <w:bookmarkEnd w:id="2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actuary</w:t>
      </w:r>
      <w:r>
        <w:tab/>
        <w:t>3(1)</w:t>
      </w:r>
    </w:p>
    <w:p>
      <w:pPr>
        <w:pStyle w:val="DefinedTerms"/>
      </w:pPr>
      <w:r>
        <w:t>beneficiary</w:t>
      </w:r>
      <w:r>
        <w:tab/>
        <w:t>36(4)</w:t>
      </w:r>
    </w:p>
    <w:p>
      <w:pPr>
        <w:pStyle w:val="DefinedTerms"/>
      </w:pPr>
      <w:r>
        <w:t>benefit</w:t>
      </w:r>
      <w:r>
        <w:tab/>
        <w:t>3(1)</w:t>
      </w:r>
    </w:p>
    <w:p>
      <w:pPr>
        <w:pStyle w:val="DefinedTerms"/>
      </w:pPr>
      <w:r>
        <w:t>benefits</w:t>
      </w:r>
      <w:r>
        <w:tab/>
        <w:t>28(3)</w:t>
      </w:r>
    </w:p>
    <w:p>
      <w:pPr>
        <w:pStyle w:val="DefinedTerms"/>
      </w:pPr>
      <w:r>
        <w:t>Board</w:t>
      </w:r>
      <w:r>
        <w:tab/>
        <w:t>3(1)</w:t>
      </w:r>
    </w:p>
    <w:p>
      <w:pPr>
        <w:pStyle w:val="DefinedTerms"/>
      </w:pPr>
      <w:r>
        <w:t>Board officer</w:t>
      </w:r>
      <w:r>
        <w:tab/>
        <w:t>11(3)</w:t>
      </w:r>
    </w:p>
    <w:p>
      <w:pPr>
        <w:pStyle w:val="DefinedTerms"/>
      </w:pPr>
      <w:r>
        <w:t>borrow money</w:t>
      </w:r>
      <w:r>
        <w:tab/>
        <w:t>24(3)</w:t>
      </w:r>
    </w:p>
    <w:p>
      <w:pPr>
        <w:pStyle w:val="DefinedTerms"/>
      </w:pPr>
      <w:r>
        <w:t>chosen fund</w:t>
      </w:r>
      <w:r>
        <w:tab/>
        <w:t>4A(1)</w:t>
      </w:r>
    </w:p>
    <w:p>
      <w:pPr>
        <w:pStyle w:val="DefinedTerms"/>
      </w:pPr>
      <w:r>
        <w:t>Corporations Act</w:t>
      </w:r>
      <w:r>
        <w:tab/>
        <w:t>3(1)</w:t>
      </w:r>
    </w:p>
    <w:p>
      <w:pPr>
        <w:pStyle w:val="DefinedTerms"/>
      </w:pPr>
      <w:r>
        <w:t>default fund</w:t>
      </w:r>
      <w:r>
        <w:tab/>
        <w:t>4A(1)</w:t>
      </w:r>
    </w:p>
    <w:p>
      <w:pPr>
        <w:pStyle w:val="DefinedTerms"/>
      </w:pPr>
      <w:r>
        <w:t>Department</w:t>
      </w:r>
      <w:r>
        <w:tab/>
        <w:t>33(4B)</w:t>
      </w:r>
    </w:p>
    <w:p>
      <w:pPr>
        <w:pStyle w:val="DefinedTerms"/>
      </w:pPr>
      <w:r>
        <w:t>document</w:t>
      </w:r>
      <w:r>
        <w:tab/>
        <w:t>36(4)</w:t>
      </w:r>
    </w:p>
    <w:p>
      <w:pPr>
        <w:pStyle w:val="DefinedTerms"/>
      </w:pPr>
      <w:r>
        <w:t>employee</w:t>
      </w:r>
      <w:r>
        <w:tab/>
        <w:t>4A(1)</w:t>
      </w:r>
    </w:p>
    <w:p>
      <w:pPr>
        <w:pStyle w:val="DefinedTerms"/>
      </w:pPr>
      <w:r>
        <w:t>Employer</w:t>
      </w:r>
      <w:r>
        <w:tab/>
        <w:t>3(1)</w:t>
      </w:r>
    </w:p>
    <w:p>
      <w:pPr>
        <w:pStyle w:val="DefinedTerms"/>
      </w:pPr>
      <w:r>
        <w:t>exempt employee</w:t>
      </w:r>
      <w:r>
        <w:tab/>
        <w:t>4A(1)</w:t>
      </w:r>
    </w:p>
    <w:p>
      <w:pPr>
        <w:pStyle w:val="DefinedTerms"/>
      </w:pPr>
      <w:r>
        <w:t>Fund</w:t>
      </w:r>
      <w:r>
        <w:tab/>
        <w:t>3(1)</w:t>
      </w:r>
    </w:p>
    <w:p>
      <w:pPr>
        <w:pStyle w:val="DefinedTerms"/>
      </w:pPr>
      <w:r>
        <w:t>fund</w:t>
      </w:r>
      <w:r>
        <w:tab/>
        <w:t>4A(1)</w:t>
      </w:r>
    </w:p>
    <w:p>
      <w:pPr>
        <w:pStyle w:val="DefinedTerms"/>
      </w:pPr>
      <w:r>
        <w:t>GES Act</w:t>
      </w:r>
      <w:r>
        <w:tab/>
        <w:t>3(1)</w:t>
      </w:r>
    </w:p>
    <w:p>
      <w:pPr>
        <w:pStyle w:val="DefinedTerms"/>
      </w:pPr>
      <w:r>
        <w:t>individual superannuation guarantee shortfall</w:t>
      </w:r>
      <w:r>
        <w:tab/>
        <w:t>4A(1)</w:t>
      </w:r>
    </w:p>
    <w:p>
      <w:pPr>
        <w:pStyle w:val="DefinedTerms"/>
      </w:pPr>
      <w:r>
        <w:t>information</w:t>
      </w:r>
      <w:r>
        <w:tab/>
        <w:t>36(4)</w:t>
      </w:r>
    </w:p>
    <w:p>
      <w:pPr>
        <w:pStyle w:val="DefinedTerms"/>
      </w:pPr>
      <w:r>
        <w:t>Member</w:t>
      </w:r>
      <w:r>
        <w:tab/>
        <w:t>3(1)</w:t>
      </w:r>
    </w:p>
    <w:p>
      <w:pPr>
        <w:pStyle w:val="DefinedTerms"/>
      </w:pPr>
      <w:r>
        <w:t>multiplying factor</w:t>
      </w:r>
      <w:r>
        <w:tab/>
        <w:t>38(5B)</w:t>
      </w:r>
    </w:p>
    <w:p>
      <w:pPr>
        <w:pStyle w:val="DefinedTerms"/>
      </w:pPr>
      <w:r>
        <w:t>parliamentary purposes</w:t>
      </w:r>
      <w:r>
        <w:tab/>
        <w:t>36(4)</w:t>
      </w:r>
    </w:p>
    <w:p>
      <w:pPr>
        <w:pStyle w:val="DefinedTerms"/>
      </w:pPr>
      <w:r>
        <w:t>pension value factor</w:t>
      </w:r>
      <w:r>
        <w:tab/>
        <w:t>38(5B)</w:t>
      </w:r>
    </w:p>
    <w:p>
      <w:pPr>
        <w:pStyle w:val="DefinedTerms"/>
      </w:pPr>
      <w:r>
        <w:t>prior approval</w:t>
      </w:r>
      <w:r>
        <w:tab/>
        <w:t>Sch. 3 cl. 1</w:t>
      </w:r>
    </w:p>
    <w:p>
      <w:pPr>
        <w:pStyle w:val="DefinedTerms"/>
      </w:pPr>
      <w:r>
        <w:t>relevant benefit</w:t>
      </w:r>
      <w:r>
        <w:tab/>
        <w:t>38(5B)</w:t>
      </w:r>
    </w:p>
    <w:p>
      <w:pPr>
        <w:pStyle w:val="DefinedTerms"/>
      </w:pPr>
      <w:r>
        <w:t>scheme</w:t>
      </w:r>
      <w:r>
        <w:tab/>
        <w:t>3(1)</w:t>
      </w:r>
    </w:p>
    <w:p>
      <w:pPr>
        <w:pStyle w:val="DefinedTerms"/>
      </w:pPr>
      <w:r>
        <w:t>SGA Act</w:t>
      </w:r>
      <w:r>
        <w:tab/>
        <w:t>4A(1)</w:t>
      </w:r>
    </w:p>
    <w:p>
      <w:pPr>
        <w:pStyle w:val="DefinedTerms"/>
      </w:pPr>
      <w:r>
        <w:t>spouse</w:t>
      </w:r>
      <w:r>
        <w:tab/>
        <w:t>28(3)</w:t>
      </w:r>
    </w:p>
    <w:p>
      <w:pPr>
        <w:pStyle w:val="DefinedTerms"/>
      </w:pPr>
      <w:r>
        <w:t>subsidiary</w:t>
      </w:r>
      <w:r>
        <w:tab/>
        <w:t>3(1)</w:t>
      </w:r>
    </w:p>
    <w:p>
      <w:pPr>
        <w:pStyle w:val="DefinedTerms"/>
      </w:pPr>
      <w:r>
        <w:t>superannuation guarantee charge</w:t>
      </w:r>
      <w:r>
        <w:tab/>
        <w:t>4A(1)</w:t>
      </w:r>
    </w:p>
    <w:p>
      <w:pPr>
        <w:pStyle w:val="DefinedTerms"/>
      </w:pPr>
      <w:r>
        <w:t>Treasurer’s guidelines</w:t>
      </w:r>
      <w:r>
        <w:tab/>
        <w:t>3(1)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Jan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Jan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State Superannuation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64"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64" w:type="dxa"/>
        </w:tcPr>
        <w:p>
          <w:pPr>
            <w:pStyle w:val="Header"/>
            <w:spacing w:before="40"/>
          </w:pPr>
        </w:p>
      </w:tc>
    </w:tr>
    <w:tr>
      <w:tc>
        <w:tcPr>
          <w:tcW w:w="1548" w:type="dxa"/>
          <w:tcBorders>
            <w:bottom w:val="single" w:sz="4" w:space="0" w:color="auto"/>
          </w:tcBorders>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4" w:type="dxa"/>
          <w:tcBorders>
            <w:bottom w:val="single" w:sz="4" w:space="0" w:color="auto"/>
          </w:tcBorders>
        </w:tcPr>
        <w:p>
          <w:pPr>
            <w:pStyle w:val="Header"/>
            <w:spacing w:before="40"/>
          </w:pPr>
        </w:p>
      </w:tc>
    </w:tr>
  </w:tbl>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Borders>
            <w:bottom w:val="single" w:sz="4" w:space="0" w:color="auto"/>
          </w:tcBorders>
        </w:tcPr>
        <w:p>
          <w:pPr>
            <w:pStyle w:val="Header"/>
            <w:spacing w:before="40"/>
            <w:jc w:val="right"/>
          </w:pPr>
        </w:p>
      </w:tc>
      <w:tc>
        <w:tcPr>
          <w:tcW w:w="1548" w:type="dxa"/>
          <w:tcBorders>
            <w:bottom w:val="single" w:sz="4" w:space="0" w:color="auto"/>
          </w:tcBorders>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Pr>
    <w:bookmarkStart w:id="219" w:name="Schedule"/>
    <w:bookmarkEnd w:id="2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State Superannuation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9" w:name="Compilation"/>
    <w:bookmarkEnd w:id="22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Superannuation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2" w:name="DefinedTerms"/>
    <w:bookmarkEnd w:id="23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3" w:name="Coversheet"/>
    <w:bookmarkEnd w:id="23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Superannuation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425"/>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09175323"/>
    <w:docVar w:name="WAFER_20140110162145" w:val="RemoveTocBookmarks,RemoveUnusedBookmarks,RemoveLanguageTags,UsedStyles,ResetPageSize,UpdateArrangement"/>
    <w:docVar w:name="WAFER_20140110162145_GUID" w:val="cd43cee8-f1ec-4ff0-89af-f7f90b7032a5"/>
    <w:docVar w:name="WAFER_20140110162422" w:val="RemoveTocBookmarks,RunningHeaders"/>
    <w:docVar w:name="WAFER_20140110162422_GUID" w:val="09788a88-6356-4b4a-a45b-07f1b8ca1094"/>
    <w:docVar w:name="WAFER_20150713103746" w:val="ResetPageSize,UpdateArrangement,UpdateNTable"/>
    <w:docVar w:name="WAFER_20150713103746_GUID" w:val="c760d952-89d9-4920-a4c2-794f92074064"/>
    <w:docVar w:name="WAFER_20151109175323" w:val="UpdateStyles,UsedStyles"/>
    <w:docVar w:name="WAFER_20151109175323_GUID" w:val="9ce2c577-d457-4cd7-b574-0f8d5e62f7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3793"/>
    <o:shapelayout v:ext="edit">
      <o:idmap v:ext="edit" data="1"/>
    </o:shapelayout>
  </w:shapeDefaults>
  <w:decimalSymbol w:val="."/>
  <w:listSeparator w:val=","/>
  <w15:docId w15:val="{8FC9AFF8-77A6-4F12-ACE3-97D78B0F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customStyle="1" w:styleId="THeadingNAm">
    <w:name w:val="THeadingNAm"/>
    <w:basedOn w:val="THeading"/>
    <w:pPr>
      <w:ind w:left="879" w:right="142"/>
    </w:pPr>
  </w:style>
  <w:style w:type="paragraph" w:customStyle="1" w:styleId="TableNAm">
    <w:name w:val="TableNAm"/>
    <w:basedOn w:val="TableAm"/>
    <w:pPr>
      <w:tabs>
        <w:tab w:val="left" w:pos="567"/>
      </w:tabs>
    </w:p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12801</Words>
  <Characters>60549</Characters>
  <Application>Microsoft Office Word</Application>
  <DocSecurity>0</DocSecurity>
  <Lines>1780</Lines>
  <Paragraphs>1146</Paragraphs>
  <ScaleCrop>false</ScaleCrop>
  <HeadingPairs>
    <vt:vector size="2" baseType="variant">
      <vt:variant>
        <vt:lpstr>Title</vt:lpstr>
      </vt:variant>
      <vt:variant>
        <vt:i4>1</vt:i4>
      </vt:variant>
    </vt:vector>
  </HeadingPairs>
  <TitlesOfParts>
    <vt:vector size="1" baseType="lpstr">
      <vt:lpstr>State Superannuation Act 2000</vt:lpstr>
    </vt:vector>
  </TitlesOfParts>
  <Manager/>
  <Company/>
  <LinksUpToDate>false</LinksUpToDate>
  <CharactersWithSpaces>72204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2000 - 02-e0-04</dc:title>
  <dc:subject/>
  <dc:creator/>
  <cp:keywords/>
  <dc:description/>
  <cp:lastModifiedBy>Master Repository Process</cp:lastModifiedBy>
  <cp:revision>4</cp:revision>
  <cp:lastPrinted>2012-05-23T06:39:00Z</cp:lastPrinted>
  <dcterms:created xsi:type="dcterms:W3CDTF">2023-09-19T08:44:00Z</dcterms:created>
  <dcterms:modified xsi:type="dcterms:W3CDTF">2023-09-19T08:44:00Z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20150107</vt:lpwstr>
  </property>
  <property fmtid="{D5CDD505-2E9C-101B-9397-08002B2CF9AE}" pid="4" name="DocumentType">
    <vt:lpwstr>Act</vt:lpwstr>
  </property>
  <property fmtid="{D5CDD505-2E9C-101B-9397-08002B2CF9AE}" pid="5" name="OwlsUID">
    <vt:i4>2027</vt:i4>
  </property>
  <property fmtid="{D5CDD505-2E9C-101B-9397-08002B2CF9AE}" pid="6" name="ReprintNo">
    <vt:lpwstr>2</vt:lpwstr>
  </property>
  <property fmtid="{D5CDD505-2E9C-101B-9397-08002B2CF9AE}" pid="7" name="ReprintedAsAt">
    <vt:filetime>2012-05-10T16:00:00Z</vt:filetime>
  </property>
  <property fmtid="{D5CDD505-2E9C-101B-9397-08002B2CF9AE}" pid="8" name="AsAtDate">
    <vt:lpwstr>07 Jan 2015</vt:lpwstr>
  </property>
  <property fmtid="{D5CDD505-2E9C-101B-9397-08002B2CF9AE}" pid="9" name="Suffix">
    <vt:lpwstr>02-e0-04</vt:lpwstr>
  </property>
</Properties>
</file>