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_Toc416883835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_Toc416883836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Forms</w:t>
      </w:r>
    </w:p>
    <w:p>
      <w:pPr>
        <w:pStyle w:val="TOC8"/>
        <w:rPr>
          <w:rFonts w:asciiTheme="minorHAnsi" w:eastAsiaTheme="minorEastAsia" w:hAnsiTheme="minorHAnsi" w:cstheme="minorBidi"/>
          <w:szCs w:val="22"/>
        </w:rPr>
      </w:pPr>
      <w:r>
        <w:t>3.</w:t>
      </w:r>
      <w:r>
        <w:tab/>
        <w:t>Form of register of transactions</w:t>
      </w:r>
      <w:r>
        <w:tab/>
      </w:r>
      <w:r>
        <w:fldChar w:fldCharType="begin"/>
      </w:r>
      <w:r>
        <w:instrText xml:space="preserve"> PAGEREF _Toc416883838 \h </w:instrText>
      </w:r>
      <w:r>
        <w:fldChar w:fldCharType="separate"/>
      </w:r>
      <w:r>
        <w:t>2</w:t>
      </w:r>
      <w:r>
        <w:fldChar w:fldCharType="end"/>
      </w:r>
    </w:p>
    <w:p>
      <w:pPr>
        <w:pStyle w:val="TOC8"/>
        <w:rPr>
          <w:rFonts w:asciiTheme="minorHAnsi" w:eastAsiaTheme="minorEastAsia" w:hAnsiTheme="minorHAnsi" w:cstheme="minorBidi"/>
          <w:szCs w:val="22"/>
        </w:rPr>
      </w:pPr>
      <w:r>
        <w:t>4.</w:t>
      </w:r>
      <w:r>
        <w:tab/>
        <w:t>Registers kept in writing</w:t>
      </w:r>
      <w:r>
        <w:tab/>
      </w:r>
      <w:r>
        <w:fldChar w:fldCharType="begin"/>
      </w:r>
      <w:r>
        <w:instrText xml:space="preserve"> PAGEREF _Toc416883839 \h </w:instrText>
      </w:r>
      <w:r>
        <w:fldChar w:fldCharType="separate"/>
      </w:r>
      <w:r>
        <w:t>2</w:t>
      </w:r>
      <w:r>
        <w:fldChar w:fldCharType="end"/>
      </w:r>
    </w:p>
    <w:p>
      <w:pPr>
        <w:pStyle w:val="TOC8"/>
        <w:rPr>
          <w:rFonts w:asciiTheme="minorHAnsi" w:eastAsiaTheme="minorEastAsia" w:hAnsiTheme="minorHAnsi" w:cstheme="minorBidi"/>
          <w:szCs w:val="22"/>
        </w:rPr>
      </w:pPr>
      <w:r>
        <w:t>4A.</w:t>
      </w:r>
      <w:r>
        <w:tab/>
        <w:t>Registers kept in electronic form</w:t>
      </w:r>
      <w:r>
        <w:tab/>
      </w:r>
      <w:r>
        <w:fldChar w:fldCharType="begin"/>
      </w:r>
      <w:r>
        <w:instrText xml:space="preserve"> PAGEREF _Toc416883840 \h </w:instrText>
      </w:r>
      <w:r>
        <w:fldChar w:fldCharType="separate"/>
      </w:r>
      <w:r>
        <w:t>3</w:t>
      </w:r>
      <w:r>
        <w:fldChar w:fldCharType="end"/>
      </w:r>
    </w:p>
    <w:p>
      <w:pPr>
        <w:pStyle w:val="TOC8"/>
        <w:rPr>
          <w:rFonts w:asciiTheme="minorHAnsi" w:eastAsiaTheme="minorEastAsia" w:hAnsiTheme="minorHAnsi" w:cstheme="minorBidi"/>
          <w:szCs w:val="22"/>
        </w:rPr>
      </w:pPr>
      <w:r>
        <w:t>5.</w:t>
      </w:r>
      <w:r>
        <w:tab/>
        <w:t>Notice of required particulars (section 33)</w:t>
      </w:r>
      <w:r>
        <w:tab/>
      </w:r>
      <w:r>
        <w:fldChar w:fldCharType="begin"/>
      </w:r>
      <w:r>
        <w:instrText xml:space="preserve"> PAGEREF _Toc416883841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excluded defects (Form 5)</w:t>
      </w:r>
      <w:r>
        <w:tab/>
      </w:r>
      <w:r>
        <w:fldChar w:fldCharType="begin"/>
      </w:r>
      <w:r>
        <w:instrText xml:space="preserve"> PAGEREF _Toc416883842 \h </w:instrText>
      </w:r>
      <w:r>
        <w:fldChar w:fldCharType="separate"/>
      </w:r>
      <w:r>
        <w:t>6</w:t>
      </w:r>
      <w:r>
        <w:fldChar w:fldCharType="end"/>
      </w:r>
    </w:p>
    <w:p>
      <w:pPr>
        <w:pStyle w:val="TOC8"/>
        <w:rPr>
          <w:rFonts w:asciiTheme="minorHAnsi" w:eastAsiaTheme="minorEastAsia" w:hAnsiTheme="minorHAnsi" w:cstheme="minorBidi"/>
          <w:szCs w:val="22"/>
        </w:rPr>
      </w:pPr>
      <w:r>
        <w:t>7.</w:t>
      </w:r>
      <w:r>
        <w:tab/>
        <w:t>Copies of notice at time of sale (section 33(7))</w:t>
      </w:r>
      <w:r>
        <w:tab/>
      </w:r>
      <w:r>
        <w:fldChar w:fldCharType="begin"/>
      </w:r>
      <w:r>
        <w:instrText xml:space="preserve"> PAGEREF _Toc416883843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Trust accounts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10A.</w:t>
      </w:r>
      <w:r>
        <w:tab/>
      </w:r>
      <w:r>
        <w:rPr>
          <w:snapToGrid w:val="0"/>
        </w:rPr>
        <w:t>Application</w:t>
      </w:r>
      <w:r>
        <w:tab/>
      </w:r>
      <w:r>
        <w:fldChar w:fldCharType="begin"/>
      </w:r>
      <w:r>
        <w:instrText xml:space="preserve"> PAGEREF _Toc416883846 \h </w:instrText>
      </w:r>
      <w:r>
        <w:fldChar w:fldCharType="separate"/>
      </w:r>
      <w:r>
        <w:t>8</w:t>
      </w:r>
      <w:r>
        <w:fldChar w:fldCharType="end"/>
      </w:r>
    </w:p>
    <w:p>
      <w:pPr>
        <w:pStyle w:val="TOC8"/>
        <w:rPr>
          <w:rFonts w:asciiTheme="minorHAnsi" w:eastAsiaTheme="minorEastAsia" w:hAnsiTheme="minorHAnsi" w:cstheme="minorBidi"/>
          <w:szCs w:val="22"/>
        </w:rPr>
      </w:pPr>
      <w:r>
        <w:t>10B.</w:t>
      </w:r>
      <w:r>
        <w:tab/>
        <w:t>Prescribed financial institutions (section 32C)</w:t>
      </w:r>
      <w:r>
        <w:tab/>
      </w:r>
      <w:r>
        <w:fldChar w:fldCharType="begin"/>
      </w:r>
      <w:r>
        <w:instrText xml:space="preserve"> PAGEREF _Toc416883847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Keeping and management of trust accounts</w:t>
      </w:r>
    </w:p>
    <w:p>
      <w:pPr>
        <w:pStyle w:val="TOC8"/>
        <w:rPr>
          <w:rFonts w:asciiTheme="minorHAnsi" w:eastAsiaTheme="minorEastAsia" w:hAnsiTheme="minorHAnsi" w:cstheme="minorBidi"/>
          <w:szCs w:val="22"/>
        </w:rPr>
      </w:pPr>
      <w:r>
        <w:t>10C.</w:t>
      </w:r>
      <w:r>
        <w:tab/>
        <w:t>Information to be given by the dealer to the Commissioner</w:t>
      </w:r>
      <w:r>
        <w:tab/>
      </w:r>
      <w:r>
        <w:fldChar w:fldCharType="begin"/>
      </w:r>
      <w:r>
        <w:instrText xml:space="preserve"> PAGEREF _Toc416883849 \h </w:instrText>
      </w:r>
      <w:r>
        <w:fldChar w:fldCharType="separate"/>
      </w:r>
      <w:r>
        <w:t>8</w:t>
      </w:r>
      <w:r>
        <w:fldChar w:fldCharType="end"/>
      </w:r>
    </w:p>
    <w:p>
      <w:pPr>
        <w:pStyle w:val="TOC8"/>
        <w:rPr>
          <w:rFonts w:asciiTheme="minorHAnsi" w:eastAsiaTheme="minorEastAsia" w:hAnsiTheme="minorHAnsi" w:cstheme="minorBidi"/>
          <w:szCs w:val="22"/>
        </w:rPr>
      </w:pPr>
      <w:r>
        <w:t>10D.</w:t>
      </w:r>
      <w:r>
        <w:tab/>
        <w:t>Trust accounts records</w:t>
      </w:r>
      <w:r>
        <w:tab/>
      </w:r>
      <w:r>
        <w:fldChar w:fldCharType="begin"/>
      </w:r>
      <w:r>
        <w:instrText xml:space="preserve"> PAGEREF _Toc416883850 \h </w:instrText>
      </w:r>
      <w:r>
        <w:fldChar w:fldCharType="separate"/>
      </w:r>
      <w:r>
        <w:t>9</w:t>
      </w:r>
      <w:r>
        <w:fldChar w:fldCharType="end"/>
      </w:r>
    </w:p>
    <w:p>
      <w:pPr>
        <w:pStyle w:val="TOC8"/>
        <w:rPr>
          <w:rFonts w:asciiTheme="minorHAnsi" w:eastAsiaTheme="minorEastAsia" w:hAnsiTheme="minorHAnsi" w:cstheme="minorBidi"/>
          <w:szCs w:val="22"/>
        </w:rPr>
      </w:pPr>
      <w:r>
        <w:t>10E.</w:t>
      </w:r>
      <w:r>
        <w:tab/>
        <w:t>Manner of accounting for moneys received</w:t>
      </w:r>
      <w:r>
        <w:tab/>
      </w:r>
      <w:r>
        <w:fldChar w:fldCharType="begin"/>
      </w:r>
      <w:r>
        <w:instrText xml:space="preserve"> PAGEREF _Toc416883851 \h </w:instrText>
      </w:r>
      <w:r>
        <w:fldChar w:fldCharType="separate"/>
      </w:r>
      <w:r>
        <w:t>9</w:t>
      </w:r>
      <w:r>
        <w:fldChar w:fldCharType="end"/>
      </w:r>
    </w:p>
    <w:p>
      <w:pPr>
        <w:pStyle w:val="TOC8"/>
        <w:rPr>
          <w:rFonts w:asciiTheme="minorHAnsi" w:eastAsiaTheme="minorEastAsia" w:hAnsiTheme="minorHAnsi" w:cstheme="minorBidi"/>
          <w:szCs w:val="22"/>
        </w:rPr>
      </w:pPr>
      <w:r>
        <w:t>10F.</w:t>
      </w:r>
      <w:r>
        <w:tab/>
        <w:t>Statutory declaration</w:t>
      </w:r>
      <w:r>
        <w:tab/>
      </w:r>
      <w:r>
        <w:fldChar w:fldCharType="begin"/>
      </w:r>
      <w:r>
        <w:instrText xml:space="preserve"> PAGEREF _Toc416883852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Duties of financial institutions</w:t>
      </w:r>
    </w:p>
    <w:p>
      <w:pPr>
        <w:pStyle w:val="TOC8"/>
        <w:rPr>
          <w:rFonts w:asciiTheme="minorHAnsi" w:eastAsiaTheme="minorEastAsia" w:hAnsiTheme="minorHAnsi" w:cstheme="minorBidi"/>
          <w:szCs w:val="22"/>
        </w:rPr>
      </w:pPr>
      <w:r>
        <w:t>10G.</w:t>
      </w:r>
      <w:r>
        <w:tab/>
        <w:t>Reporting overdrawn accounts</w:t>
      </w:r>
      <w:r>
        <w:tab/>
      </w:r>
      <w:r>
        <w:fldChar w:fldCharType="begin"/>
      </w:r>
      <w:r>
        <w:instrText xml:space="preserve"> PAGEREF _Toc416883854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Auditing of trust accounts</w:t>
      </w:r>
    </w:p>
    <w:p>
      <w:pPr>
        <w:pStyle w:val="TOC8"/>
        <w:rPr>
          <w:rFonts w:asciiTheme="minorHAnsi" w:eastAsiaTheme="minorEastAsia" w:hAnsiTheme="minorHAnsi" w:cstheme="minorBidi"/>
          <w:szCs w:val="22"/>
        </w:rPr>
      </w:pPr>
      <w:r>
        <w:t>10H.</w:t>
      </w:r>
      <w:r>
        <w:tab/>
        <w:t>Appointment of auditors</w:t>
      </w:r>
      <w:r>
        <w:tab/>
      </w:r>
      <w:r>
        <w:fldChar w:fldCharType="begin"/>
      </w:r>
      <w:r>
        <w:instrText xml:space="preserve"> PAGEREF _Toc416883856 \h </w:instrText>
      </w:r>
      <w:r>
        <w:fldChar w:fldCharType="separate"/>
      </w:r>
      <w:r>
        <w:t>10</w:t>
      </w:r>
      <w:r>
        <w:fldChar w:fldCharType="end"/>
      </w:r>
    </w:p>
    <w:p>
      <w:pPr>
        <w:pStyle w:val="TOC8"/>
        <w:rPr>
          <w:rFonts w:asciiTheme="minorHAnsi" w:eastAsiaTheme="minorEastAsia" w:hAnsiTheme="minorHAnsi" w:cstheme="minorBidi"/>
          <w:szCs w:val="22"/>
        </w:rPr>
      </w:pPr>
      <w:r>
        <w:t>10I.</w:t>
      </w:r>
      <w:r>
        <w:tab/>
        <w:t>Production of records to auditors</w:t>
      </w:r>
      <w:r>
        <w:tab/>
      </w:r>
      <w:r>
        <w:fldChar w:fldCharType="begin"/>
      </w:r>
      <w:r>
        <w:instrText xml:space="preserve"> PAGEREF _Toc416883857 \h </w:instrText>
      </w:r>
      <w:r>
        <w:fldChar w:fldCharType="separate"/>
      </w:r>
      <w:r>
        <w:t>11</w:t>
      </w:r>
      <w:r>
        <w:fldChar w:fldCharType="end"/>
      </w:r>
    </w:p>
    <w:p>
      <w:pPr>
        <w:pStyle w:val="TOC8"/>
        <w:rPr>
          <w:rFonts w:asciiTheme="minorHAnsi" w:eastAsiaTheme="minorEastAsia" w:hAnsiTheme="minorHAnsi" w:cstheme="minorBidi"/>
          <w:szCs w:val="22"/>
        </w:rPr>
      </w:pPr>
      <w:r>
        <w:t>10J.</w:t>
      </w:r>
      <w:r>
        <w:tab/>
        <w:t>Conduct of audits</w:t>
      </w:r>
      <w:r>
        <w:tab/>
      </w:r>
      <w:r>
        <w:fldChar w:fldCharType="begin"/>
      </w:r>
      <w:r>
        <w:instrText xml:space="preserve"> PAGEREF _Toc416883858 \h </w:instrText>
      </w:r>
      <w:r>
        <w:fldChar w:fldCharType="separate"/>
      </w:r>
      <w:r>
        <w:t>11</w:t>
      </w:r>
      <w:r>
        <w:fldChar w:fldCharType="end"/>
      </w:r>
    </w:p>
    <w:p>
      <w:pPr>
        <w:pStyle w:val="TOC8"/>
        <w:rPr>
          <w:rFonts w:asciiTheme="minorHAnsi" w:eastAsiaTheme="minorEastAsia" w:hAnsiTheme="minorHAnsi" w:cstheme="minorBidi"/>
          <w:szCs w:val="22"/>
        </w:rPr>
      </w:pPr>
      <w:r>
        <w:t>10K.</w:t>
      </w:r>
      <w:r>
        <w:tab/>
        <w:t>Auditors’ reports, contents of</w:t>
      </w:r>
      <w:r>
        <w:tab/>
      </w:r>
      <w:r>
        <w:fldChar w:fldCharType="begin"/>
      </w:r>
      <w:r>
        <w:instrText xml:space="preserve"> PAGEREF _Toc416883859 \h </w:instrText>
      </w:r>
      <w:r>
        <w:fldChar w:fldCharType="separate"/>
      </w:r>
      <w:r>
        <w:t>11</w:t>
      </w:r>
      <w:r>
        <w:fldChar w:fldCharType="end"/>
      </w:r>
    </w:p>
    <w:p>
      <w:pPr>
        <w:pStyle w:val="TOC8"/>
        <w:rPr>
          <w:rFonts w:asciiTheme="minorHAnsi" w:eastAsiaTheme="minorEastAsia" w:hAnsiTheme="minorHAnsi" w:cstheme="minorBidi"/>
          <w:szCs w:val="22"/>
        </w:rPr>
      </w:pPr>
      <w:r>
        <w:t>10L.</w:t>
      </w:r>
      <w:r>
        <w:tab/>
        <w:t>Obligation of auditor to disclose certain information</w:t>
      </w:r>
      <w:r>
        <w:tab/>
      </w:r>
      <w:r>
        <w:fldChar w:fldCharType="begin"/>
      </w:r>
      <w:r>
        <w:instrText xml:space="preserve"> PAGEREF _Toc416883860 \h </w:instrText>
      </w:r>
      <w:r>
        <w:fldChar w:fldCharType="separate"/>
      </w:r>
      <w:r>
        <w:t>12</w:t>
      </w:r>
      <w:r>
        <w:fldChar w:fldCharType="end"/>
      </w:r>
    </w:p>
    <w:p>
      <w:pPr>
        <w:pStyle w:val="TOC8"/>
        <w:rPr>
          <w:rFonts w:asciiTheme="minorHAnsi" w:eastAsiaTheme="minorEastAsia" w:hAnsiTheme="minorHAnsi" w:cstheme="minorBidi"/>
          <w:szCs w:val="22"/>
        </w:rPr>
      </w:pPr>
      <w:r>
        <w:t>10M.</w:t>
      </w:r>
      <w:r>
        <w:tab/>
        <w:t>Costs of auditing</w:t>
      </w:r>
      <w:r>
        <w:tab/>
      </w:r>
      <w:r>
        <w:fldChar w:fldCharType="begin"/>
      </w:r>
      <w:r>
        <w:instrText xml:space="preserve"> PAGEREF _Toc416883861 \h </w:instrText>
      </w:r>
      <w:r>
        <w:fldChar w:fldCharType="separate"/>
      </w:r>
      <w:r>
        <w:t>12</w:t>
      </w:r>
      <w:r>
        <w:fldChar w:fldCharType="end"/>
      </w:r>
    </w:p>
    <w:p>
      <w:pPr>
        <w:pStyle w:val="TOC8"/>
        <w:rPr>
          <w:rFonts w:asciiTheme="minorHAnsi" w:eastAsiaTheme="minorEastAsia" w:hAnsiTheme="minorHAnsi" w:cstheme="minorBidi"/>
          <w:szCs w:val="22"/>
        </w:rPr>
      </w:pPr>
      <w:r>
        <w:t>10N.</w:t>
      </w:r>
      <w:r>
        <w:tab/>
        <w:t>When and to whom the auditor must report</w:t>
      </w:r>
      <w:r>
        <w:tab/>
      </w:r>
      <w:r>
        <w:fldChar w:fldCharType="begin"/>
      </w:r>
      <w:r>
        <w:instrText xml:space="preserve"> PAGEREF _Toc416883862 \h </w:instrText>
      </w:r>
      <w:r>
        <w:fldChar w:fldCharType="separate"/>
      </w:r>
      <w:r>
        <w:t>12</w:t>
      </w:r>
      <w:r>
        <w:fldChar w:fldCharType="end"/>
      </w:r>
    </w:p>
    <w:p>
      <w:pPr>
        <w:pStyle w:val="TOC8"/>
        <w:rPr>
          <w:rFonts w:asciiTheme="minorHAnsi" w:eastAsiaTheme="minorEastAsia" w:hAnsiTheme="minorHAnsi" w:cstheme="minorBidi"/>
          <w:szCs w:val="22"/>
        </w:rPr>
      </w:pPr>
      <w:r>
        <w:t>10O.</w:t>
      </w:r>
      <w:r>
        <w:tab/>
        <w:t>Confidentiality of audit information</w:t>
      </w:r>
      <w:r>
        <w:tab/>
      </w:r>
      <w:r>
        <w:fldChar w:fldCharType="begin"/>
      </w:r>
      <w:r>
        <w:instrText xml:space="preserve"> PAGEREF _Toc416883863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Advertising</w:t>
      </w:r>
      <w:r>
        <w:tab/>
      </w:r>
      <w:r>
        <w:fldChar w:fldCharType="begin"/>
      </w:r>
      <w:r>
        <w:instrText xml:space="preserve"> PAGEREF _Toc416883865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Undesirable practices (Schedule 2)</w:t>
      </w:r>
      <w:r>
        <w:tab/>
      </w:r>
      <w:r>
        <w:fldChar w:fldCharType="begin"/>
      </w:r>
      <w:r>
        <w:instrText xml:space="preserve"> PAGEREF _Toc416883866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Prescribed accessories (Schedule 3)</w:t>
      </w:r>
      <w:r>
        <w:tab/>
      </w:r>
      <w:r>
        <w:fldChar w:fldCharType="begin"/>
      </w:r>
      <w:r>
        <w:instrText xml:space="preserve"> PAGEREF _Toc416883867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requirements</w:t>
      </w:r>
      <w:r>
        <w:rPr>
          <w:snapToGrid w:val="0"/>
        </w:rPr>
        <w:t xml:space="preserve"> for vehicle consignment agreements (Schedule 4)</w:t>
      </w:r>
      <w:r>
        <w:tab/>
      </w:r>
      <w:r>
        <w:fldChar w:fldCharType="begin"/>
      </w:r>
      <w:r>
        <w:instrText xml:space="preserve"> PAGEREF _Toc416883868 \h </w:instrText>
      </w:r>
      <w:r>
        <w:fldChar w:fldCharType="separate"/>
      </w:r>
      <w:r>
        <w:t>14</w:t>
      </w:r>
      <w:r>
        <w:fldChar w:fldCharType="end"/>
      </w:r>
    </w:p>
    <w:p>
      <w:pPr>
        <w:pStyle w:val="TOC8"/>
        <w:rPr>
          <w:rFonts w:asciiTheme="minorHAnsi" w:eastAsiaTheme="minorEastAsia" w:hAnsiTheme="minorHAnsi" w:cstheme="minorBidi"/>
          <w:szCs w:val="22"/>
        </w:rPr>
      </w:pPr>
      <w:r>
        <w:t>13B.</w:t>
      </w:r>
      <w:r>
        <w:tab/>
        <w:t>Prescribed requirements for vehicle sale agreements (Schedule 5)</w:t>
      </w:r>
      <w:r>
        <w:tab/>
      </w:r>
      <w:r>
        <w:fldChar w:fldCharType="begin"/>
      </w:r>
      <w:r>
        <w:instrText xml:space="preserve"> PAGEREF _Toc416883869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_Toc416883870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 — Register of transactions</w:t>
      </w:r>
    </w:p>
    <w:p>
      <w:pPr>
        <w:pStyle w:val="TOC4"/>
        <w:tabs>
          <w:tab w:val="right" w:leader="dot" w:pos="7077"/>
        </w:tabs>
        <w:rPr>
          <w:rFonts w:asciiTheme="minorHAnsi" w:eastAsiaTheme="minorEastAsia" w:hAnsiTheme="minorHAnsi" w:cstheme="minorBidi"/>
          <w:b w:val="0"/>
          <w:szCs w:val="22"/>
        </w:rPr>
      </w:pPr>
      <w:r>
        <w:t>Form 4</w:t>
      </w:r>
      <w:r>
        <w:rPr>
          <w:b w:val="0"/>
        </w:rPr>
        <w:t> — </w:t>
      </w:r>
      <w:r>
        <w:t>Vehicle particulars and warranty</w:t>
      </w:r>
    </w:p>
    <w:p>
      <w:pPr>
        <w:pStyle w:val="TOC4"/>
        <w:tabs>
          <w:tab w:val="right" w:leader="dot" w:pos="7077"/>
        </w:tabs>
        <w:rPr>
          <w:rFonts w:asciiTheme="minorHAnsi" w:eastAsiaTheme="minorEastAsia" w:hAnsiTheme="minorHAnsi" w:cstheme="minorBidi"/>
          <w:b w:val="0"/>
          <w:szCs w:val="22"/>
        </w:rPr>
      </w:pPr>
      <w:r>
        <w:t>Form 5</w:t>
      </w:r>
      <w:r>
        <w:rPr>
          <w:b w:val="0"/>
        </w:rPr>
        <w:t> — </w:t>
      </w:r>
      <w:r>
        <w:t>Notice of defects excluded from warranty</w:t>
      </w:r>
    </w:p>
    <w:p>
      <w:pPr>
        <w:pStyle w:val="TOC4"/>
        <w:tabs>
          <w:tab w:val="right" w:leader="dot" w:pos="7077"/>
        </w:tabs>
        <w:rPr>
          <w:rFonts w:asciiTheme="minorHAnsi" w:eastAsiaTheme="minorEastAsia" w:hAnsiTheme="minorHAnsi" w:cstheme="minorBidi"/>
          <w:b w:val="0"/>
          <w:szCs w:val="22"/>
        </w:rPr>
      </w:pPr>
      <w:r>
        <w:t>Form 6</w:t>
      </w:r>
      <w:r>
        <w:rPr>
          <w:b w:val="0"/>
        </w:rPr>
        <w:t> — </w:t>
      </w:r>
      <w:r>
        <w:t>Vehicle particulars — no warranty</w:t>
      </w:r>
    </w:p>
    <w:p>
      <w:pPr>
        <w:pStyle w:val="TOC2"/>
        <w:tabs>
          <w:tab w:val="right" w:leader="dot" w:pos="7077"/>
        </w:tabs>
        <w:rPr>
          <w:rFonts w:asciiTheme="minorHAnsi" w:eastAsiaTheme="minorEastAsia" w:hAnsiTheme="minorHAnsi" w:cstheme="minorBidi"/>
          <w:b w:val="0"/>
          <w:sz w:val="22"/>
          <w:szCs w:val="22"/>
        </w:rPr>
      </w:pPr>
      <w:r>
        <w:t>Schedule 2 — Undesirable practices</w:t>
      </w:r>
    </w:p>
    <w:p>
      <w:pPr>
        <w:pStyle w:val="TOC2"/>
        <w:tabs>
          <w:tab w:val="right" w:leader="dot" w:pos="7077"/>
        </w:tabs>
        <w:rPr>
          <w:rFonts w:asciiTheme="minorHAnsi" w:eastAsiaTheme="minorEastAsia" w:hAnsiTheme="minorHAnsi" w:cstheme="minorBidi"/>
          <w:b w:val="0"/>
          <w:sz w:val="22"/>
          <w:szCs w:val="22"/>
        </w:rPr>
      </w:pPr>
      <w:r>
        <w:t>Schedule 3 — Prescribed accessories</w:t>
      </w:r>
    </w:p>
    <w:p>
      <w:pPr>
        <w:pStyle w:val="TOC2"/>
        <w:tabs>
          <w:tab w:val="right" w:leader="dot" w:pos="7077"/>
        </w:tabs>
        <w:rPr>
          <w:rFonts w:asciiTheme="minorHAnsi" w:eastAsiaTheme="minorEastAsia" w:hAnsiTheme="minorHAnsi" w:cstheme="minorBidi"/>
          <w:b w:val="0"/>
          <w:sz w:val="22"/>
          <w:szCs w:val="22"/>
        </w:rPr>
      </w:pPr>
      <w:r>
        <w:t>Schedule 4 — Vehicle consignment contract</w:t>
      </w:r>
    </w:p>
    <w:p>
      <w:pPr>
        <w:pStyle w:val="TOC2"/>
        <w:tabs>
          <w:tab w:val="right" w:leader="dot" w:pos="7077"/>
        </w:tabs>
        <w:rPr>
          <w:rFonts w:asciiTheme="minorHAnsi" w:eastAsiaTheme="minorEastAsia" w:hAnsiTheme="minorHAnsi" w:cstheme="minorBidi"/>
          <w:b w:val="0"/>
          <w:sz w:val="22"/>
          <w:szCs w:val="22"/>
        </w:rPr>
      </w:pPr>
      <w:r>
        <w:t>Schedule 5 — Vehicle sale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_Toc416883881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_Toc416883882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3" w:name="_Toc416883785"/>
      <w:bookmarkStart w:id="4" w:name="_Toc416883834"/>
      <w:r>
        <w:rPr>
          <w:rStyle w:val="CharPartNo"/>
        </w:rPr>
        <w:t>Part 1</w:t>
      </w:r>
      <w:r>
        <w:t xml:space="preserve"> — </w:t>
      </w:r>
      <w:r>
        <w:rPr>
          <w:rStyle w:val="CharPartText"/>
        </w:rPr>
        <w:t>Preliminary</w:t>
      </w:r>
      <w:bookmarkEnd w:id="3"/>
      <w:bookmarkEnd w:id="4"/>
    </w:p>
    <w:p>
      <w:pPr>
        <w:pStyle w:val="Footnoteheading"/>
        <w:tabs>
          <w:tab w:val="left" w:pos="851"/>
        </w:tabs>
      </w:pPr>
      <w:r>
        <w:tab/>
        <w:t>[Heading inserted in Gazette 13 Aug 2002 p. 4159.]</w:t>
      </w:r>
    </w:p>
    <w:p>
      <w:pPr>
        <w:pStyle w:val="Heading5"/>
        <w:spacing w:before="180"/>
        <w:rPr>
          <w:snapToGrid w:val="0"/>
        </w:rPr>
      </w:pPr>
      <w:bookmarkStart w:id="5" w:name="_Toc416883835"/>
      <w:r>
        <w:rPr>
          <w:rStyle w:val="CharSectno"/>
        </w:rPr>
        <w:t>1</w:t>
      </w:r>
      <w:r>
        <w:rPr>
          <w:snapToGrid w:val="0"/>
        </w:rPr>
        <w:t>.</w:t>
      </w:r>
      <w:r>
        <w:rPr>
          <w:snapToGrid w:val="0"/>
        </w:rPr>
        <w:tab/>
        <w:t>Citation</w:t>
      </w:r>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6" w:name="_Toc416883836"/>
      <w:r>
        <w:rPr>
          <w:rStyle w:val="CharSectno"/>
        </w:rPr>
        <w:t>2</w:t>
      </w:r>
      <w:r>
        <w:rPr>
          <w:snapToGrid w:val="0"/>
        </w:rPr>
        <w:t>.</w:t>
      </w:r>
      <w:r>
        <w:rPr>
          <w:snapToGrid w:val="0"/>
        </w:rPr>
        <w:tab/>
        <w:t>Interpretation</w:t>
      </w:r>
      <w:bookmarkEnd w:id="6"/>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7" w:name="_Toc416883788"/>
      <w:bookmarkStart w:id="8" w:name="_Toc416883837"/>
      <w:r>
        <w:rPr>
          <w:rStyle w:val="CharPartNo"/>
        </w:rPr>
        <w:t>Part 2</w:t>
      </w:r>
      <w:r>
        <w:t xml:space="preserve"> — </w:t>
      </w:r>
      <w:r>
        <w:rPr>
          <w:rStyle w:val="CharPartText"/>
        </w:rPr>
        <w:t>Forms</w:t>
      </w:r>
      <w:bookmarkEnd w:id="7"/>
      <w:bookmarkEnd w:id="8"/>
    </w:p>
    <w:p>
      <w:pPr>
        <w:pStyle w:val="Footnoteheading"/>
        <w:tabs>
          <w:tab w:val="left" w:pos="851"/>
        </w:tabs>
      </w:pPr>
      <w:r>
        <w:tab/>
        <w:t>[Heading inserted in Gazette 13 Aug 2002 p. 4159.]</w:t>
      </w:r>
    </w:p>
    <w:p>
      <w:pPr>
        <w:pStyle w:val="Heading5"/>
      </w:pPr>
      <w:bookmarkStart w:id="9" w:name="_Toc416883838"/>
      <w:r>
        <w:rPr>
          <w:rStyle w:val="CharSectno"/>
        </w:rPr>
        <w:t>3</w:t>
      </w:r>
      <w:r>
        <w:t>.</w:t>
      </w:r>
      <w:r>
        <w:tab/>
        <w:t>Form of register of transactions</w:t>
      </w:r>
      <w:bookmarkEnd w:id="9"/>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10" w:name="_Toc416883839"/>
      <w:r>
        <w:rPr>
          <w:rStyle w:val="CharSectno"/>
        </w:rPr>
        <w:t>4</w:t>
      </w:r>
      <w:r>
        <w:t>.</w:t>
      </w:r>
      <w:r>
        <w:tab/>
        <w:t>Registers kept in writing</w:t>
      </w:r>
      <w:bookmarkEnd w:id="10"/>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11" w:name="_Toc416883840"/>
      <w:r>
        <w:rPr>
          <w:rStyle w:val="CharSectno"/>
        </w:rPr>
        <w:t>4A</w:t>
      </w:r>
      <w:r>
        <w:t>.</w:t>
      </w:r>
      <w:r>
        <w:tab/>
        <w:t>Registers kept in electronic form</w:t>
      </w:r>
      <w:bookmarkEnd w:id="11"/>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12" w:name="_Toc416883841"/>
      <w:r>
        <w:rPr>
          <w:rStyle w:val="CharSectno"/>
        </w:rPr>
        <w:t>5</w:t>
      </w:r>
      <w:r>
        <w:t>.</w:t>
      </w:r>
      <w:r>
        <w:tab/>
        <w:t>Notice of required particulars (section 33)</w:t>
      </w:r>
      <w:bookmarkEnd w:id="12"/>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w:t>
      </w:r>
    </w:p>
    <w:p>
      <w:pPr>
        <w:pStyle w:val="Ednotesection"/>
        <w:rPr>
          <w:b/>
        </w:rPr>
      </w:pPr>
      <w:r>
        <w:t>[</w:t>
      </w:r>
      <w:r>
        <w:rPr>
          <w:b/>
        </w:rPr>
        <w:t>5A.</w:t>
      </w:r>
      <w:r>
        <w:rPr>
          <w:b/>
        </w:rPr>
        <w:tab/>
      </w:r>
      <w:r>
        <w:t>Deleted in Gazette 13 Aug 2002 p. 4160.]</w:t>
      </w:r>
    </w:p>
    <w:p>
      <w:pPr>
        <w:pStyle w:val="Heading5"/>
        <w:rPr>
          <w:snapToGrid w:val="0"/>
        </w:rPr>
      </w:pPr>
      <w:bookmarkStart w:id="13" w:name="_Toc416883842"/>
      <w:r>
        <w:rPr>
          <w:rStyle w:val="CharSectno"/>
        </w:rPr>
        <w:t>6</w:t>
      </w:r>
      <w:r>
        <w:rPr>
          <w:snapToGrid w:val="0"/>
        </w:rPr>
        <w:t>.</w:t>
      </w:r>
      <w:r>
        <w:rPr>
          <w:snapToGrid w:val="0"/>
        </w:rPr>
        <w:tab/>
        <w:t>Notice of excluded defects (Form 5)</w:t>
      </w:r>
      <w:bookmarkEnd w:id="13"/>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14" w:name="_Toc416883843"/>
      <w:r>
        <w:rPr>
          <w:rStyle w:val="CharSectno"/>
        </w:rPr>
        <w:t>7</w:t>
      </w:r>
      <w:r>
        <w:t>.</w:t>
      </w:r>
      <w:r>
        <w:tab/>
        <w:t>Copies of notice at time of sale (section 33(7))</w:t>
      </w:r>
      <w:bookmarkEnd w:id="14"/>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15" w:name="_Toc416883795"/>
      <w:bookmarkStart w:id="16" w:name="_Toc416883844"/>
      <w:r>
        <w:rPr>
          <w:rStyle w:val="CharPartNo"/>
        </w:rPr>
        <w:t>Part 3</w:t>
      </w:r>
      <w:r>
        <w:t xml:space="preserve"> — </w:t>
      </w:r>
      <w:r>
        <w:rPr>
          <w:rStyle w:val="CharPartText"/>
        </w:rPr>
        <w:t>Trust accounts</w:t>
      </w:r>
      <w:bookmarkEnd w:id="15"/>
      <w:bookmarkEnd w:id="16"/>
    </w:p>
    <w:p>
      <w:pPr>
        <w:pStyle w:val="Footnoteheading"/>
        <w:tabs>
          <w:tab w:val="left" w:pos="851"/>
        </w:tabs>
      </w:pPr>
      <w:r>
        <w:tab/>
        <w:t>[Heading inserted in Gazette 13 Aug 2002 p. 4160.]</w:t>
      </w:r>
    </w:p>
    <w:p>
      <w:pPr>
        <w:pStyle w:val="Heading3"/>
      </w:pPr>
      <w:bookmarkStart w:id="17" w:name="_Toc416883796"/>
      <w:bookmarkStart w:id="18" w:name="_Toc416883845"/>
      <w:r>
        <w:rPr>
          <w:rStyle w:val="CharDivNo"/>
        </w:rPr>
        <w:t>Division 1</w:t>
      </w:r>
      <w:r>
        <w:t xml:space="preserve"> — </w:t>
      </w:r>
      <w:r>
        <w:rPr>
          <w:rStyle w:val="CharDivText"/>
        </w:rPr>
        <w:t>General</w:t>
      </w:r>
      <w:bookmarkEnd w:id="17"/>
      <w:bookmarkEnd w:id="18"/>
    </w:p>
    <w:p>
      <w:pPr>
        <w:pStyle w:val="Footnoteheading"/>
        <w:tabs>
          <w:tab w:val="left" w:pos="851"/>
        </w:tabs>
      </w:pPr>
      <w:r>
        <w:tab/>
        <w:t>[Heading inserted in Gazette 13 Aug 2002 p. 4160.]</w:t>
      </w:r>
    </w:p>
    <w:p>
      <w:pPr>
        <w:pStyle w:val="Heading5"/>
      </w:pPr>
      <w:bookmarkStart w:id="19" w:name="_Toc416883846"/>
      <w:r>
        <w:rPr>
          <w:rStyle w:val="CharSectno"/>
        </w:rPr>
        <w:t>10A</w:t>
      </w:r>
      <w:r>
        <w:t>.</w:t>
      </w:r>
      <w:r>
        <w:tab/>
      </w:r>
      <w:r>
        <w:rPr>
          <w:snapToGrid w:val="0"/>
        </w:rPr>
        <w:t>Application</w:t>
      </w:r>
      <w:bookmarkEnd w:id="19"/>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20" w:name="_Toc416883847"/>
      <w:r>
        <w:rPr>
          <w:rStyle w:val="CharSectno"/>
        </w:rPr>
        <w:t>10B</w:t>
      </w:r>
      <w:r>
        <w:t>.</w:t>
      </w:r>
      <w:r>
        <w:tab/>
        <w:t>Prescribed financial institutions (section 32C)</w:t>
      </w:r>
      <w:bookmarkEnd w:id="20"/>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21" w:name="_Toc416883799"/>
      <w:bookmarkStart w:id="22" w:name="_Toc416883848"/>
      <w:r>
        <w:rPr>
          <w:rStyle w:val="CharDivNo"/>
        </w:rPr>
        <w:t>Division 2</w:t>
      </w:r>
      <w:r>
        <w:t xml:space="preserve"> — </w:t>
      </w:r>
      <w:r>
        <w:rPr>
          <w:rStyle w:val="CharDivText"/>
        </w:rPr>
        <w:t>Keeping and management of trust accounts</w:t>
      </w:r>
      <w:bookmarkEnd w:id="21"/>
      <w:bookmarkEnd w:id="22"/>
    </w:p>
    <w:p>
      <w:pPr>
        <w:pStyle w:val="Footnoteheading"/>
        <w:tabs>
          <w:tab w:val="left" w:pos="851"/>
        </w:tabs>
      </w:pPr>
      <w:r>
        <w:tab/>
        <w:t>[Heading inserted in Gazette 13 Aug 2002 p. 4160.]</w:t>
      </w:r>
    </w:p>
    <w:p>
      <w:pPr>
        <w:pStyle w:val="Heading5"/>
      </w:pPr>
      <w:bookmarkStart w:id="23" w:name="_Toc416883849"/>
      <w:r>
        <w:rPr>
          <w:rStyle w:val="CharSectno"/>
        </w:rPr>
        <w:t>10C</w:t>
      </w:r>
      <w:r>
        <w:t>.</w:t>
      </w:r>
      <w:r>
        <w:tab/>
        <w:t>Information to be given by the dealer to the Commissioner</w:t>
      </w:r>
      <w:bookmarkEnd w:id="23"/>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4160; amended in Gazette 30 Jun 2011 p. 2660.]</w:t>
      </w:r>
    </w:p>
    <w:p>
      <w:pPr>
        <w:pStyle w:val="Heading5"/>
      </w:pPr>
      <w:bookmarkStart w:id="24" w:name="_Toc416883850"/>
      <w:r>
        <w:rPr>
          <w:rStyle w:val="CharSectno"/>
        </w:rPr>
        <w:t>10D</w:t>
      </w:r>
      <w:r>
        <w:t>.</w:t>
      </w:r>
      <w:r>
        <w:tab/>
        <w:t>Trust accounts records</w:t>
      </w:r>
      <w:bookmarkEnd w:id="24"/>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25" w:name="_Toc416883851"/>
      <w:r>
        <w:rPr>
          <w:rStyle w:val="CharSectno"/>
        </w:rPr>
        <w:t>10E</w:t>
      </w:r>
      <w:r>
        <w:t>.</w:t>
      </w:r>
      <w:r>
        <w:tab/>
        <w:t>Manner of accounting for moneys received</w:t>
      </w:r>
      <w:bookmarkEnd w:id="25"/>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26" w:name="_Toc416883852"/>
      <w:r>
        <w:rPr>
          <w:rStyle w:val="CharSectno"/>
        </w:rPr>
        <w:t>10F</w:t>
      </w:r>
      <w:r>
        <w:t>.</w:t>
      </w:r>
      <w:r>
        <w:tab/>
        <w:t>Statutory declaration</w:t>
      </w:r>
      <w:bookmarkEnd w:id="26"/>
    </w:p>
    <w:p>
      <w:pPr>
        <w:pStyle w:val="Subsection"/>
      </w:pPr>
      <w:r>
        <w:tab/>
      </w:r>
      <w:r>
        <w:tab/>
        <w:t>Where in a calendar year a dealer has neither held nor received money in relation to a trust account, the dealer must, within 3 months of the end of that year, provide the Commissioner with a statutory declaration to this effect.</w:t>
      </w:r>
    </w:p>
    <w:p>
      <w:pPr>
        <w:pStyle w:val="Footnotesection"/>
      </w:pPr>
      <w:r>
        <w:tab/>
        <w:t>[Regulation 10F inserted in Gazette 13 Aug 2002 p. 4161; amended in Gazette 30 Jun 2011 p. 2660.]</w:t>
      </w:r>
    </w:p>
    <w:p>
      <w:pPr>
        <w:pStyle w:val="Heading3"/>
      </w:pPr>
      <w:bookmarkStart w:id="27" w:name="_Toc416883804"/>
      <w:bookmarkStart w:id="28" w:name="_Toc416883853"/>
      <w:r>
        <w:rPr>
          <w:rStyle w:val="CharDivNo"/>
        </w:rPr>
        <w:t>Division 3</w:t>
      </w:r>
      <w:r>
        <w:t xml:space="preserve"> — </w:t>
      </w:r>
      <w:r>
        <w:rPr>
          <w:rStyle w:val="CharDivText"/>
        </w:rPr>
        <w:t>Duties of financial institutions</w:t>
      </w:r>
      <w:bookmarkEnd w:id="27"/>
      <w:bookmarkEnd w:id="28"/>
    </w:p>
    <w:p>
      <w:pPr>
        <w:pStyle w:val="Footnoteheading"/>
        <w:tabs>
          <w:tab w:val="left" w:pos="851"/>
        </w:tabs>
      </w:pPr>
      <w:r>
        <w:tab/>
        <w:t>[Heading inserted in Gazette 13 Aug 2002 p. 4161.]</w:t>
      </w:r>
    </w:p>
    <w:p>
      <w:pPr>
        <w:pStyle w:val="Heading5"/>
      </w:pPr>
      <w:bookmarkStart w:id="29" w:name="_Toc416883854"/>
      <w:r>
        <w:rPr>
          <w:rStyle w:val="CharSectno"/>
        </w:rPr>
        <w:t>10G</w:t>
      </w:r>
      <w:r>
        <w:t>.</w:t>
      </w:r>
      <w:r>
        <w:tab/>
        <w:t>Reporting overdrawn accounts</w:t>
      </w:r>
      <w:bookmarkEnd w:id="29"/>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4161; amended in Gazette 30 Jun 2011 p. 2660.]</w:t>
      </w:r>
    </w:p>
    <w:p>
      <w:pPr>
        <w:pStyle w:val="Heading3"/>
      </w:pPr>
      <w:bookmarkStart w:id="30" w:name="_Toc416883806"/>
      <w:bookmarkStart w:id="31" w:name="_Toc416883855"/>
      <w:r>
        <w:rPr>
          <w:rStyle w:val="CharDivNo"/>
        </w:rPr>
        <w:t>Division 4</w:t>
      </w:r>
      <w:r>
        <w:t xml:space="preserve"> — </w:t>
      </w:r>
      <w:r>
        <w:rPr>
          <w:rStyle w:val="CharDivText"/>
        </w:rPr>
        <w:t>Auditing of trust accounts</w:t>
      </w:r>
      <w:bookmarkEnd w:id="30"/>
      <w:bookmarkEnd w:id="31"/>
    </w:p>
    <w:p>
      <w:pPr>
        <w:pStyle w:val="Footnoteheading"/>
        <w:tabs>
          <w:tab w:val="left" w:pos="851"/>
        </w:tabs>
      </w:pPr>
      <w:r>
        <w:tab/>
        <w:t>[Heading inserted in Gazette 13 Aug 2002 p. 4161.]</w:t>
      </w:r>
    </w:p>
    <w:p>
      <w:pPr>
        <w:pStyle w:val="Heading5"/>
      </w:pPr>
      <w:bookmarkStart w:id="32" w:name="_Toc416883856"/>
      <w:r>
        <w:rPr>
          <w:rStyle w:val="CharSectno"/>
        </w:rPr>
        <w:t>10H</w:t>
      </w:r>
      <w:r>
        <w:t>.</w:t>
      </w:r>
      <w:r>
        <w:tab/>
        <w:t>Appointment of auditors</w:t>
      </w:r>
      <w:bookmarkEnd w:id="32"/>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in Gazette 13 Aug 2002 p. 4161</w:t>
      </w:r>
      <w:r>
        <w:noBreakHyphen/>
        <w:t>2; amended in Gazette 30 Jun 2011 p. 2660.]</w:t>
      </w:r>
    </w:p>
    <w:p>
      <w:pPr>
        <w:pStyle w:val="Heading5"/>
      </w:pPr>
      <w:bookmarkStart w:id="33" w:name="_Toc416883857"/>
      <w:r>
        <w:rPr>
          <w:rStyle w:val="CharSectno"/>
        </w:rPr>
        <w:t>10I</w:t>
      </w:r>
      <w:r>
        <w:t>.</w:t>
      </w:r>
      <w:r>
        <w:tab/>
        <w:t>Production of records to auditors</w:t>
      </w:r>
      <w:bookmarkEnd w:id="33"/>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34" w:name="_Toc416883858"/>
      <w:r>
        <w:rPr>
          <w:rStyle w:val="CharSectno"/>
        </w:rPr>
        <w:t>10J</w:t>
      </w:r>
      <w:r>
        <w:t>.</w:t>
      </w:r>
      <w:r>
        <w:tab/>
        <w:t>Conduct of audits</w:t>
      </w:r>
      <w:bookmarkEnd w:id="34"/>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35" w:name="_Toc416883859"/>
      <w:r>
        <w:rPr>
          <w:rStyle w:val="CharSectno"/>
        </w:rPr>
        <w:t>10K</w:t>
      </w:r>
      <w:r>
        <w:t>.</w:t>
      </w:r>
      <w:r>
        <w:tab/>
        <w:t>Auditors’ reports, contents of</w:t>
      </w:r>
      <w:bookmarkEnd w:id="35"/>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in Gazette 13 Aug 2002 p. 4162; amended in Gazette 30 Jun 2011 p. 2660.]</w:t>
      </w:r>
    </w:p>
    <w:p>
      <w:pPr>
        <w:pStyle w:val="Heading5"/>
      </w:pPr>
      <w:bookmarkStart w:id="36" w:name="_Toc416883860"/>
      <w:r>
        <w:rPr>
          <w:rStyle w:val="CharSectno"/>
        </w:rPr>
        <w:t>10L</w:t>
      </w:r>
      <w:r>
        <w:t>.</w:t>
      </w:r>
      <w:r>
        <w:tab/>
        <w:t>Obligation of auditor to disclose certain information</w:t>
      </w:r>
      <w:bookmarkEnd w:id="36"/>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in Gazette 13 Aug 2002 p. 4162; amended in Gazette 30 Jun 2011 p. 2659 and 2660.]</w:t>
      </w:r>
    </w:p>
    <w:p>
      <w:pPr>
        <w:pStyle w:val="Heading5"/>
      </w:pPr>
      <w:bookmarkStart w:id="37" w:name="_Toc416883861"/>
      <w:r>
        <w:rPr>
          <w:rStyle w:val="CharSectno"/>
        </w:rPr>
        <w:t>10M</w:t>
      </w:r>
      <w:r>
        <w:t>.</w:t>
      </w:r>
      <w:r>
        <w:tab/>
        <w:t>Costs of auditing</w:t>
      </w:r>
      <w:bookmarkEnd w:id="37"/>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38" w:name="_Toc416883862"/>
      <w:r>
        <w:rPr>
          <w:rStyle w:val="CharSectno"/>
        </w:rPr>
        <w:t>10N</w:t>
      </w:r>
      <w:r>
        <w:t>.</w:t>
      </w:r>
      <w:r>
        <w:tab/>
        <w:t>When and to whom the auditor must report</w:t>
      </w:r>
      <w:bookmarkEnd w:id="38"/>
    </w:p>
    <w:p>
      <w:pPr>
        <w:pStyle w:val="Subsection"/>
      </w:pPr>
      <w:r>
        <w:tab/>
        <w:t>(1)</w:t>
      </w:r>
      <w:r>
        <w:tab/>
        <w:t>The audit period is to be set by the Commissioner in relation to each dealer.</w:t>
      </w:r>
    </w:p>
    <w:p>
      <w:pPr>
        <w:pStyle w:val="Subsection"/>
      </w:pPr>
      <w:r>
        <w:tab/>
        <w:t>(2)</w:t>
      </w:r>
      <w:r>
        <w:tab/>
        <w:t>The auditor must within 3 months after the end of that period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4163; amended in Gazette 30 Jun 2011 p. 2660.]</w:t>
      </w:r>
    </w:p>
    <w:p>
      <w:pPr>
        <w:pStyle w:val="Heading5"/>
      </w:pPr>
      <w:bookmarkStart w:id="39" w:name="_Toc416883863"/>
      <w:r>
        <w:rPr>
          <w:rStyle w:val="CharSectno"/>
        </w:rPr>
        <w:t>10O</w:t>
      </w:r>
      <w:r>
        <w:t>.</w:t>
      </w:r>
      <w:r>
        <w:tab/>
        <w:t>Confidentiality of audit information</w:t>
      </w:r>
      <w:bookmarkEnd w:id="39"/>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in Gazette 13 Aug 2002 p. 4163; amended in Gazette 30 Jun 2011 p. 2660.]</w:t>
      </w:r>
    </w:p>
    <w:p>
      <w:pPr>
        <w:pStyle w:val="Heading2"/>
      </w:pPr>
      <w:bookmarkStart w:id="40" w:name="_Toc416883815"/>
      <w:bookmarkStart w:id="41" w:name="_Toc416883864"/>
      <w:r>
        <w:rPr>
          <w:rStyle w:val="CharPartNo"/>
        </w:rPr>
        <w:t>Part 4</w:t>
      </w:r>
      <w:r>
        <w:rPr>
          <w:rStyle w:val="CharDivText"/>
        </w:rPr>
        <w:t xml:space="preserve"> </w:t>
      </w:r>
      <w:r>
        <w:t>—</w:t>
      </w:r>
      <w:r>
        <w:rPr>
          <w:rStyle w:val="CharDivNo"/>
        </w:rPr>
        <w:t xml:space="preserve"> </w:t>
      </w:r>
      <w:r>
        <w:rPr>
          <w:rStyle w:val="CharPartText"/>
        </w:rPr>
        <w:t>Miscellaneous</w:t>
      </w:r>
      <w:bookmarkEnd w:id="40"/>
      <w:bookmarkEnd w:id="41"/>
    </w:p>
    <w:p>
      <w:pPr>
        <w:pStyle w:val="Footnoteheading"/>
        <w:tabs>
          <w:tab w:val="left" w:pos="851"/>
        </w:tabs>
      </w:pPr>
      <w:r>
        <w:tab/>
        <w:t>[Heading inserted in Gazette 13 Aug 2002 p. 4163.]</w:t>
      </w:r>
    </w:p>
    <w:p>
      <w:pPr>
        <w:pStyle w:val="Heading5"/>
        <w:spacing w:before="180"/>
        <w:rPr>
          <w:snapToGrid w:val="0"/>
        </w:rPr>
      </w:pPr>
      <w:bookmarkStart w:id="42" w:name="_Toc416883865"/>
      <w:r>
        <w:rPr>
          <w:rStyle w:val="CharSectno"/>
        </w:rPr>
        <w:t>11</w:t>
      </w:r>
      <w:r>
        <w:rPr>
          <w:snapToGrid w:val="0"/>
        </w:rPr>
        <w:t>.</w:t>
      </w:r>
      <w:r>
        <w:rPr>
          <w:snapToGrid w:val="0"/>
        </w:rPr>
        <w:tab/>
        <w:t>Advertising</w:t>
      </w:r>
      <w:bookmarkEnd w:id="42"/>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43" w:name="_Toc416883866"/>
      <w:r>
        <w:rPr>
          <w:rStyle w:val="CharSectno"/>
        </w:rPr>
        <w:t>12</w:t>
      </w:r>
      <w:r>
        <w:rPr>
          <w:snapToGrid w:val="0"/>
        </w:rPr>
        <w:t>.</w:t>
      </w:r>
      <w:r>
        <w:rPr>
          <w:snapToGrid w:val="0"/>
        </w:rPr>
        <w:tab/>
        <w:t>Undesirable practices (Schedule 2)</w:t>
      </w:r>
      <w:bookmarkEnd w:id="43"/>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44" w:name="_Toc416883867"/>
      <w:r>
        <w:rPr>
          <w:rStyle w:val="CharSectno"/>
        </w:rPr>
        <w:t>13</w:t>
      </w:r>
      <w:r>
        <w:rPr>
          <w:snapToGrid w:val="0"/>
        </w:rPr>
        <w:t>.</w:t>
      </w:r>
      <w:r>
        <w:rPr>
          <w:snapToGrid w:val="0"/>
        </w:rPr>
        <w:tab/>
        <w:t>Prescribed accessories (Schedule 3)</w:t>
      </w:r>
      <w:bookmarkEnd w:id="44"/>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45" w:name="_Toc416883868"/>
      <w:r>
        <w:rPr>
          <w:rStyle w:val="CharSectno"/>
        </w:rPr>
        <w:t>13A</w:t>
      </w:r>
      <w:r>
        <w:t>.</w:t>
      </w:r>
      <w:r>
        <w:tab/>
        <w:t>Prescribed requirements</w:t>
      </w:r>
      <w:r>
        <w:rPr>
          <w:snapToGrid w:val="0"/>
        </w:rPr>
        <w:t xml:space="preserve"> for vehicle consignment agreements (Schedule 4)</w:t>
      </w:r>
      <w:bookmarkEnd w:id="45"/>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46" w:name="_Toc416883869"/>
      <w:r>
        <w:rPr>
          <w:rStyle w:val="CharSectno"/>
        </w:rPr>
        <w:t>13B</w:t>
      </w:r>
      <w:r>
        <w:t>.</w:t>
      </w:r>
      <w:r>
        <w:tab/>
        <w:t>Prescribed requirements for vehicle sale agreements (Schedule 5)</w:t>
      </w:r>
      <w:bookmarkEnd w:id="46"/>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47" w:name="_Toc416883870"/>
      <w:r>
        <w:rPr>
          <w:rStyle w:val="CharSectno"/>
        </w:rPr>
        <w:t>14</w:t>
      </w:r>
      <w:r>
        <w:rPr>
          <w:snapToGrid w:val="0"/>
        </w:rPr>
        <w:t>.</w:t>
      </w:r>
      <w:r>
        <w:rPr>
          <w:snapToGrid w:val="0"/>
        </w:rPr>
        <w:tab/>
        <w:t>Penalties</w:t>
      </w:r>
      <w:bookmarkEnd w:id="47"/>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8" w:name="_Toc416883822"/>
      <w:bookmarkStart w:id="49" w:name="_Toc416883871"/>
      <w:r>
        <w:rPr>
          <w:rStyle w:val="CharSchNo"/>
        </w:rPr>
        <w:t>Schedule 1</w:t>
      </w:r>
      <w:r>
        <w:t> — </w:t>
      </w:r>
      <w:r>
        <w:rPr>
          <w:rStyle w:val="CharSchText"/>
        </w:rPr>
        <w:t>Forms</w:t>
      </w:r>
      <w:bookmarkEnd w:id="48"/>
      <w:bookmarkEnd w:id="49"/>
    </w:p>
    <w:p>
      <w:pPr>
        <w:pStyle w:val="yFootnoteheading"/>
        <w:spacing w:before="40"/>
      </w:pPr>
      <w:r>
        <w:tab/>
        <w:t>[Heading inserted in Gazette 17 Nov 2006 p. 4753.]</w:t>
      </w:r>
    </w:p>
    <w:p>
      <w:pPr>
        <w:pStyle w:val="yHeading3"/>
        <w:spacing w:before="80"/>
      </w:pPr>
      <w:bookmarkStart w:id="50" w:name="_Toc416883823"/>
      <w:bookmarkStart w:id="51" w:name="_Toc416883872"/>
      <w:r>
        <w:t>Form 1 — Register of transactions</w:t>
      </w:r>
      <w:bookmarkEnd w:id="50"/>
      <w:bookmarkEnd w:id="51"/>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52" w:name="_Toc416883824"/>
      <w:bookmarkStart w:id="53" w:name="_Toc416883873"/>
      <w:r>
        <w:t>Form 4</w:t>
      </w:r>
      <w:r>
        <w:rPr>
          <w:b w:val="0"/>
        </w:rPr>
        <w:t> — </w:t>
      </w:r>
      <w:r>
        <w:t>Vehicle particulars and warranty</w:t>
      </w:r>
      <w:bookmarkEnd w:id="52"/>
      <w:bookmarkEnd w:id="53"/>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Act 1974</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in Gazette 17 Nov 2006 p. 4754</w:t>
      </w:r>
      <w:r>
        <w:noBreakHyphen/>
        <w:t>5.]</w:t>
      </w:r>
    </w:p>
    <w:p>
      <w:pPr>
        <w:pStyle w:val="yHeading3"/>
      </w:pPr>
      <w:bookmarkStart w:id="54" w:name="_Toc416883825"/>
      <w:bookmarkStart w:id="55" w:name="_Toc416883874"/>
      <w:r>
        <w:t>Form 5</w:t>
      </w:r>
      <w:r>
        <w:rPr>
          <w:b w:val="0"/>
        </w:rPr>
        <w:t> — </w:t>
      </w:r>
      <w:r>
        <w:t>Notice of defects excluded from warranty</w:t>
      </w:r>
      <w:bookmarkEnd w:id="54"/>
      <w:bookmarkEnd w:id="55"/>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56" w:name="_Toc416883826"/>
      <w:bookmarkStart w:id="57" w:name="_Toc416883875"/>
      <w:r>
        <w:t>Form 6</w:t>
      </w:r>
      <w:r>
        <w:rPr>
          <w:b w:val="0"/>
        </w:rPr>
        <w:t> — </w:t>
      </w:r>
      <w:r>
        <w:t>Vehicle particulars — no warranty</w:t>
      </w:r>
      <w:bookmarkEnd w:id="56"/>
      <w:bookmarkEnd w:id="57"/>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Act 1974</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 amended in Gazette 30 Jun 2011 p. 2660.]</w:t>
      </w:r>
    </w:p>
    <w:p>
      <w:pPr>
        <w:pStyle w:val="yScheduleHeading"/>
      </w:pPr>
      <w:bookmarkStart w:id="58" w:name="_Toc416883827"/>
      <w:bookmarkStart w:id="59" w:name="_Toc416883876"/>
      <w:r>
        <w:rPr>
          <w:rStyle w:val="CharSchNo"/>
        </w:rPr>
        <w:t>Schedule 2</w:t>
      </w:r>
      <w:r>
        <w:t> — </w:t>
      </w:r>
      <w:r>
        <w:rPr>
          <w:rStyle w:val="CharSchText"/>
        </w:rPr>
        <w:t>Undesirable practices</w:t>
      </w:r>
      <w:bookmarkEnd w:id="58"/>
      <w:bookmarkEnd w:id="59"/>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60" w:name="_Toc416883828"/>
      <w:bookmarkStart w:id="61" w:name="_Toc416883877"/>
      <w:r>
        <w:rPr>
          <w:rStyle w:val="CharSchNo"/>
        </w:rPr>
        <w:t>Schedule 3</w:t>
      </w:r>
      <w:r>
        <w:t> — </w:t>
      </w:r>
      <w:r>
        <w:rPr>
          <w:rStyle w:val="CharSchText"/>
        </w:rPr>
        <w:t>Prescribed access</w:t>
      </w:r>
      <w:r>
        <w:t>ories</w:t>
      </w:r>
      <w:bookmarkEnd w:id="60"/>
      <w:bookmarkEnd w:id="61"/>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rPr>
          <w:snapToGrid/>
        </w:rPr>
      </w:pPr>
      <w:bookmarkStart w:id="63" w:name="_Toc416883829"/>
      <w:bookmarkStart w:id="64" w:name="_Toc416883878"/>
      <w:r>
        <w:rPr>
          <w:rStyle w:val="CharSchNo"/>
        </w:rPr>
        <w:t>Schedule 4</w:t>
      </w:r>
      <w:r>
        <w:t> — </w:t>
      </w:r>
      <w:r>
        <w:rPr>
          <w:rStyle w:val="CharSchText"/>
        </w:rPr>
        <w:t>Vehicle consignment contract</w:t>
      </w:r>
      <w:bookmarkEnd w:id="63"/>
      <w:bookmarkEnd w:id="64"/>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 amended in Gazette 30 Jun 2011 p. 2660.]</w:t>
      </w:r>
    </w:p>
    <w:p>
      <w:pPr>
        <w:pStyle w:val="yScheduleHeading"/>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rPr>
          <w:snapToGrid/>
        </w:rPr>
      </w:pPr>
      <w:bookmarkStart w:id="65" w:name="_Toc416883830"/>
      <w:bookmarkStart w:id="66" w:name="_Toc416883879"/>
      <w:r>
        <w:rPr>
          <w:rStyle w:val="CharSchNo"/>
        </w:rPr>
        <w:t>Schedule 5</w:t>
      </w:r>
      <w:r>
        <w:t> — </w:t>
      </w:r>
      <w:r>
        <w:rPr>
          <w:rStyle w:val="CharSchText"/>
        </w:rPr>
        <w:t>Vehicle sale contract</w:t>
      </w:r>
      <w:bookmarkEnd w:id="65"/>
      <w:bookmarkEnd w:id="66"/>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33"/>
          <w:pgSz w:w="11907" w:h="16840" w:code="9"/>
          <w:pgMar w:top="2376" w:right="2405" w:bottom="3542" w:left="2405" w:header="706" w:footer="3380" w:gutter="0"/>
          <w:cols w:space="720"/>
          <w:noEndnote/>
          <w:docGrid w:linePitch="326"/>
        </w:sectPr>
      </w:pPr>
    </w:p>
    <w:p>
      <w:pPr>
        <w:pStyle w:val="nHeading2"/>
      </w:pPr>
      <w:bookmarkStart w:id="67" w:name="_Toc416883831"/>
      <w:bookmarkStart w:id="68" w:name="_Toc416883880"/>
      <w:r>
        <w:t>Notes</w:t>
      </w:r>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 w:name="_Toc416883881"/>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rPr>
          <w:cantSplit/>
        </w:trPr>
        <w:tc>
          <w:tcPr>
            <w:tcW w:w="3118"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rPr>
          <w:cantSplit/>
        </w:trPr>
        <w:tc>
          <w:tcPr>
            <w:tcW w:w="3118"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rPr>
          <w:cantSplit/>
        </w:trPr>
        <w:tc>
          <w:tcPr>
            <w:tcW w:w="3118"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rPr>
          <w:cantSplit/>
        </w:trPr>
        <w:tc>
          <w:tcPr>
            <w:tcW w:w="3118"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rPr>
          <w:cantSplit/>
        </w:trPr>
        <w:tc>
          <w:tcPr>
            <w:tcW w:w="3118"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rPr>
          <w:cantSplit/>
        </w:trPr>
        <w:tc>
          <w:tcPr>
            <w:tcW w:w="3118"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rPr>
          <w:cantSplit/>
        </w:trPr>
        <w:tc>
          <w:tcPr>
            <w:tcW w:w="3118"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rPr>
          <w:cantSplit/>
        </w:trPr>
        <w:tc>
          <w:tcPr>
            <w:tcW w:w="3118"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rPr>
          <w:cantSplit/>
        </w:trPr>
        <w:tc>
          <w:tcPr>
            <w:tcW w:w="3118"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3118"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rPr>
          <w:cantSplit/>
        </w:trPr>
        <w:tc>
          <w:tcPr>
            <w:tcW w:w="3118"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rPr>
          <w:cantSplit/>
        </w:trPr>
        <w:tc>
          <w:tcPr>
            <w:tcW w:w="7087"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rPr>
          <w:cantSplit/>
        </w:trPr>
        <w:tc>
          <w:tcPr>
            <w:tcW w:w="3118" w:type="dxa"/>
            <w:tcBorders>
              <w:bottom w:val="single" w:sz="4" w:space="0" w:color="auto"/>
            </w:tcBorders>
          </w:tcPr>
          <w:p>
            <w:pPr>
              <w:pStyle w:val="nTable"/>
              <w:spacing w:after="40"/>
              <w:ind w:right="170"/>
              <w:rPr>
                <w:i/>
              </w:rPr>
            </w:pPr>
            <w:r>
              <w:rPr>
                <w:i/>
              </w:rPr>
              <w:t>Motor Vehicle Dealers (Sales) Amendment Regulations (No. 2) 2011</w:t>
            </w:r>
          </w:p>
        </w:tc>
        <w:tc>
          <w:tcPr>
            <w:tcW w:w="1276" w:type="dxa"/>
            <w:tcBorders>
              <w:bottom w:val="single" w:sz="4" w:space="0" w:color="auto"/>
            </w:tcBorders>
          </w:tcPr>
          <w:p>
            <w:pPr>
              <w:pStyle w:val="nTable"/>
              <w:spacing w:after="40"/>
            </w:pPr>
            <w:r>
              <w:t>30 Jun 2011 p. 2659-60</w:t>
            </w:r>
          </w:p>
        </w:tc>
        <w:tc>
          <w:tcPr>
            <w:tcW w:w="2693" w:type="dxa"/>
            <w:tcBorders>
              <w:bottom w:val="single" w:sz="4" w:space="0" w:color="auto"/>
            </w:tcBorders>
          </w:tcPr>
          <w:p>
            <w:pPr>
              <w:pStyle w:val="nTable"/>
              <w:spacing w:after="40"/>
            </w:pPr>
            <w:r>
              <w:t>r. 1 and 2: 30 Jun 2011 (see r. 1(a));</w:t>
            </w:r>
            <w:r>
              <w:br/>
              <w:t>Regulations other than r. 1 and 2: 1 Jul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 w:name="_Toc7405065"/>
      <w:bookmarkStart w:id="71" w:name="_Toc416883882"/>
      <w:r>
        <w:t>Provisions that have not come into operation</w:t>
      </w:r>
      <w:bookmarkEnd w:id="70"/>
      <w:bookmarkEnd w:id="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Motor Vehicle Dealers (Sales) Amendment Regulations 2014</w:t>
            </w:r>
            <w:r>
              <w:t xml:space="preserve"> r. 3 and 4 </w:t>
            </w:r>
            <w:r>
              <w:rPr>
                <w:vertAlign w:val="superscript"/>
              </w:rPr>
              <w:t>2</w:t>
            </w:r>
          </w:p>
        </w:tc>
        <w:tc>
          <w:tcPr>
            <w:tcW w:w="1276" w:type="dxa"/>
            <w:tcBorders>
              <w:top w:val="single" w:sz="8" w:space="0" w:color="auto"/>
              <w:bottom w:val="single" w:sz="8" w:space="0" w:color="auto"/>
            </w:tcBorders>
          </w:tcPr>
          <w:p>
            <w:pPr>
              <w:pStyle w:val="nTable"/>
              <w:spacing w:after="40"/>
            </w:pPr>
            <w:r>
              <w:t>8 Jan 2015 p. 89</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Motor Vehicle Dealers (Sales) Amendment Regulations 2014 </w:t>
      </w:r>
      <w:r>
        <w:t>r. 3 and 4</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Motor Vehicle Dealers (Sales) Regulations 1974</w:t>
      </w:r>
      <w:r>
        <w:t>.</w:t>
      </w:r>
    </w:p>
    <w:p>
      <w:pPr>
        <w:pStyle w:val="nzHeading5"/>
      </w:pPr>
      <w:r>
        <w:rPr>
          <w:rStyle w:val="CharSectno"/>
        </w:rPr>
        <w:t>4</w:t>
      </w:r>
      <w:r>
        <w:t>.</w:t>
      </w:r>
      <w:r>
        <w:tab/>
        <w:t>Schedule 1 amended</w:t>
      </w:r>
    </w:p>
    <w:p>
      <w:pPr>
        <w:pStyle w:val="nzSubsection"/>
      </w:pPr>
      <w:r>
        <w:tab/>
      </w:r>
      <w:r>
        <w:tab/>
        <w:t>In Schedule 1 Forms 4 and 6 delete “</w:t>
      </w:r>
      <w:r>
        <w:rPr>
          <w:i/>
          <w:iCs/>
          <w:sz w:val="18"/>
        </w:rPr>
        <w:t>Road Traffic Act 1974</w:t>
      </w:r>
      <w:r>
        <w:rPr>
          <w:sz w:val="18"/>
        </w:rPr>
        <w:t>,</w:t>
      </w:r>
      <w:r>
        <w:t>” and insert:</w:t>
      </w:r>
    </w:p>
    <w:p>
      <w:pPr>
        <w:pStyle w:val="BlankOpen"/>
      </w:pPr>
    </w:p>
    <w:p>
      <w:pPr>
        <w:pStyle w:val="nzSubsection"/>
      </w:pPr>
      <w:r>
        <w:rPr>
          <w:iCs/>
          <w:sz w:val="18"/>
        </w:rPr>
        <w:tab/>
      </w:r>
      <w:r>
        <w:rPr>
          <w:iCs/>
          <w:sz w:val="18"/>
        </w:rPr>
        <w:tab/>
      </w:r>
      <w:r>
        <w:rPr>
          <w:i/>
          <w:iCs/>
          <w:sz w:val="18"/>
        </w:rPr>
        <w:t>Road Traffic (Vehicles) Act 2012</w:t>
      </w:r>
      <w:r>
        <w:rPr>
          <w:sz w:val="18"/>
        </w:rPr>
        <w:t>,</w:t>
      </w:r>
    </w:p>
    <w:p>
      <w:pPr>
        <w:pStyle w:val="BlankClose"/>
      </w:pP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73" w:name="_Toc416883883"/>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section</w:t>
      </w:r>
      <w:r>
        <w:tab/>
        <w:t>2</w:t>
      </w:r>
    </w:p>
    <w:p>
      <w:pPr>
        <w:pStyle w:val="DefinedTerms"/>
      </w:pPr>
      <w:r>
        <w:t>the representee</w:t>
      </w:r>
      <w:r>
        <w:tab/>
        <w:t>Sch. 2</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Vehicle consignment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8BAAC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AB6665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32"/>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7885</Words>
  <Characters>41244</Characters>
  <Application>Microsoft Office Word</Application>
  <DocSecurity>0</DocSecurity>
  <Lines>1374</Lines>
  <Paragraphs>805</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1974 - 03-c0-01</dc:title>
  <dc:subject/>
  <dc:creator/>
  <cp:keywords/>
  <dc:description/>
  <cp:lastModifiedBy>svcMRProcess</cp:lastModifiedBy>
  <cp:revision>4</cp:revision>
  <cp:lastPrinted>2007-02-26T03:09:00Z</cp:lastPrinted>
  <dcterms:created xsi:type="dcterms:W3CDTF">2018-09-13T02:33:00Z</dcterms:created>
  <dcterms:modified xsi:type="dcterms:W3CDTF">2018-09-13T02:33:00Z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4650</vt:i4>
  </property>
  <property fmtid="{D5CDD505-2E9C-101B-9397-08002B2CF9AE}" pid="6" name="ReprintNo">
    <vt:lpwstr>3</vt:lpwstr>
  </property>
  <property fmtid="{D5CDD505-2E9C-101B-9397-08002B2CF9AE}" pid="7" name="AsAtDate">
    <vt:lpwstr>08 Jan 2015</vt:lpwstr>
  </property>
  <property fmtid="{D5CDD505-2E9C-101B-9397-08002B2CF9AE}" pid="8" name="Suffix">
    <vt:lpwstr>03-c0-01</vt:lpwstr>
  </property>
</Properties>
</file>