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_Toc416883947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_Toc416883948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_Toc416883949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_Toc416883950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_Toc416883951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_Toc416883952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_Toc416883953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_Toc416883954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_Toc416883955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_Toc416883956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_Toc416883957 \h </w:instrText>
      </w:r>
      <w:r>
        <w:fldChar w:fldCharType="separate"/>
      </w:r>
      <w:r>
        <w:t>2</w:t>
      </w:r>
      <w:r>
        <w:fldChar w:fldCharType="end"/>
      </w:r>
    </w:p>
    <w:p>
      <w:pPr>
        <w:pStyle w:val="TOC8"/>
        <w:rPr>
          <w:rFonts w:asciiTheme="minorHAnsi" w:eastAsiaTheme="minorEastAsia" w:hAnsiTheme="minorHAnsi" w:cstheme="minorBidi"/>
          <w:szCs w:val="22"/>
        </w:rPr>
      </w:pPr>
      <w:r>
        <w:t>12A.</w:t>
      </w:r>
      <w:r>
        <w:tab/>
        <w:t>Scope of a licence or permit (Sch. 4)</w:t>
      </w:r>
      <w:r>
        <w:tab/>
      </w:r>
      <w:r>
        <w:fldChar w:fldCharType="begin"/>
      </w:r>
      <w:r>
        <w:instrText xml:space="preserve"> PAGEREF _Toc416883958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_Toc416883959 \h </w:instrText>
      </w:r>
      <w:r>
        <w:fldChar w:fldCharType="separate"/>
      </w:r>
      <w:r>
        <w:t>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_Toc416883960 \h </w:instrText>
      </w:r>
      <w:r>
        <w:fldChar w:fldCharType="separate"/>
      </w:r>
      <w:r>
        <w:t>2</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_Toc416883961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_Toc416883962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_Toc416883968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_Toc416883969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3" w:name="_Toc41688394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16883948"/>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5" w:name="_Toc416883949"/>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16883950"/>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16883951"/>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1688395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16883953"/>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16883954"/>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16883955"/>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16883956"/>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13" w:name="_Toc416883957"/>
      <w:r>
        <w:rPr>
          <w:rStyle w:val="CharSectno"/>
        </w:rPr>
        <w:t>12</w:t>
      </w:r>
      <w:r>
        <w:rPr>
          <w:snapToGrid w:val="0"/>
        </w:rPr>
        <w:t>.</w:t>
      </w:r>
      <w:r>
        <w:rPr>
          <w:snapToGrid w:val="0"/>
        </w:rPr>
        <w:tab/>
        <w:t>Bodies prescribed (Act s. 7(4)); classes of vehicle prescribed</w:t>
      </w:r>
      <w:bookmarkEnd w:id="13"/>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14" w:name="_Toc416883958"/>
      <w:r>
        <w:rPr>
          <w:rStyle w:val="CharSectno"/>
        </w:rPr>
        <w:t>12A</w:t>
      </w:r>
      <w:r>
        <w:t>.</w:t>
      </w:r>
      <w:r>
        <w:tab/>
        <w:t>Scope of a licence or permit (Sch. 4)</w:t>
      </w:r>
      <w:bookmarkEnd w:id="1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5" w:name="_Toc416883959"/>
      <w:r>
        <w:rPr>
          <w:rStyle w:val="CharSectno"/>
        </w:rPr>
        <w:t>13</w:t>
      </w:r>
      <w:r>
        <w:rPr>
          <w:snapToGrid w:val="0"/>
        </w:rPr>
        <w:t>.</w:t>
      </w:r>
      <w:r>
        <w:rPr>
          <w:snapToGrid w:val="0"/>
        </w:rPr>
        <w:tab/>
        <w:t>Fees</w:t>
      </w:r>
      <w:bookmarkEnd w:id="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88.15</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5.10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153.25</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13 Jun 2014 p. 1905.] </w:t>
      </w:r>
    </w:p>
    <w:p>
      <w:pPr>
        <w:pStyle w:val="Heading5"/>
        <w:spacing w:before="260"/>
        <w:rPr>
          <w:snapToGrid w:val="0"/>
        </w:rPr>
      </w:pPr>
      <w:bookmarkStart w:id="16" w:name="_Toc416883960"/>
      <w:r>
        <w:rPr>
          <w:rStyle w:val="CharSectno"/>
        </w:rPr>
        <w:t>13A</w:t>
      </w:r>
      <w:r>
        <w:rPr>
          <w:snapToGrid w:val="0"/>
        </w:rPr>
        <w:t>.</w:t>
      </w:r>
      <w:r>
        <w:rPr>
          <w:snapToGrid w:val="0"/>
        </w:rPr>
        <w:tab/>
        <w:t>Exemption from Act’s requirements to pay fees</w:t>
      </w:r>
      <w:bookmarkEnd w:id="16"/>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17" w:name="_Toc416883961"/>
      <w:r>
        <w:rPr>
          <w:rStyle w:val="CharSectno"/>
        </w:rPr>
        <w:t>13B</w:t>
      </w:r>
      <w:r>
        <w:t>.</w:t>
      </w:r>
      <w:r>
        <w:tab/>
        <w:t>Exemptions from Act’s requirement to be licensed</w:t>
      </w:r>
      <w:bookmarkEnd w:id="1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8" w:name="_Toc416883962"/>
      <w:r>
        <w:rPr>
          <w:rStyle w:val="CharSectno"/>
        </w:rPr>
        <w:t>14</w:t>
      </w:r>
      <w:r>
        <w:rPr>
          <w:snapToGrid w:val="0"/>
        </w:rPr>
        <w:t>.</w:t>
      </w:r>
      <w:r>
        <w:rPr>
          <w:snapToGrid w:val="0"/>
        </w:rPr>
        <w:tab/>
        <w:t>Offence and penalty</w:t>
      </w:r>
      <w:bookmarkEnd w:id="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9" w:name="_Toc416883940"/>
      <w:bookmarkStart w:id="20" w:name="_Toc416883963"/>
      <w:r>
        <w:rPr>
          <w:rStyle w:val="CharSchNo"/>
        </w:rPr>
        <w:t>Schedule 1 </w:t>
      </w:r>
      <w:r>
        <w:t>— </w:t>
      </w:r>
      <w:r>
        <w:rPr>
          <w:rStyle w:val="CharSchText"/>
        </w:rPr>
        <w:t>Forms</w:t>
      </w:r>
      <w:bookmarkEnd w:id="19"/>
      <w:bookmarkEnd w:id="20"/>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21" w:name="_Toc416883941"/>
      <w:bookmarkStart w:id="22" w:name="_Toc416883964"/>
      <w:r>
        <w:rPr>
          <w:rStyle w:val="CharSchNo"/>
        </w:rPr>
        <w:t>Schedule 2</w:t>
      </w:r>
      <w:r>
        <w:t> — </w:t>
      </w:r>
      <w:r>
        <w:rPr>
          <w:rStyle w:val="CharSchText"/>
        </w:rPr>
        <w:t>Prescribed bodies</w:t>
      </w:r>
      <w:bookmarkEnd w:id="21"/>
      <w:bookmarkEnd w:id="2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Mobigo Pty Ltd trading as Mobigo Training Centre</w:t>
      </w:r>
    </w:p>
    <w:p>
      <w:pPr>
        <w:pStyle w:val="yFootnotesection"/>
      </w:pPr>
      <w:r>
        <w:tab/>
        <w:t>[Schedule 2 inserted in Gazette 30 Jan 2001 p. 619</w:t>
      </w:r>
      <w:r>
        <w:noBreakHyphen/>
        <w:t>20; amended in Gazette 11 Mar 2003 p. 751; 18 Aug 2006 p. 3371; 9 Nov 2010 p. 5633; 8 Feb 2013 p. 869; 4 Nov 2014 p. 4207.]</w:t>
      </w:r>
    </w:p>
    <w:p>
      <w:pPr>
        <w:pStyle w:val="yScheduleHeading"/>
      </w:pPr>
      <w:bookmarkStart w:id="23" w:name="_Toc416883942"/>
      <w:bookmarkStart w:id="24" w:name="_Toc416883965"/>
      <w:r>
        <w:rPr>
          <w:rStyle w:val="CharSchNo"/>
        </w:rPr>
        <w:t>Schedule 3</w:t>
      </w:r>
      <w:r>
        <w:t> — </w:t>
      </w:r>
      <w:r>
        <w:rPr>
          <w:rStyle w:val="CharSchText"/>
        </w:rPr>
        <w:t>Classes of vehicles</w:t>
      </w:r>
      <w:bookmarkEnd w:id="23"/>
      <w:bookmarkEnd w:id="24"/>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5" w:name="_Toc416883943"/>
      <w:bookmarkStart w:id="26" w:name="_Toc416883966"/>
      <w:r>
        <w:rPr>
          <w:rStyle w:val="CharSchNo"/>
        </w:rPr>
        <w:t>Schedule 4</w:t>
      </w:r>
      <w:r>
        <w:t> — </w:t>
      </w:r>
      <w:r>
        <w:rPr>
          <w:rStyle w:val="CharSchText"/>
        </w:rPr>
        <w:t>Scope of a licence or permit</w:t>
      </w:r>
      <w:bookmarkEnd w:id="25"/>
      <w:bookmarkEnd w:id="2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8" w:name="_Toc416883944"/>
      <w:bookmarkStart w:id="29" w:name="_Toc416883967"/>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 w:name="_Toc416883968"/>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5</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6</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7</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9" w:type="dxa"/>
            <w:tcBorders>
              <w:bottom w:val="single" w:sz="8" w:space="0" w:color="auto"/>
            </w:tcBorders>
            <w:shd w:val="clear" w:color="auto" w:fill="auto"/>
          </w:tcPr>
          <w:p>
            <w:pPr>
              <w:pStyle w:val="nTable"/>
              <w:spacing w:after="40"/>
              <w:rPr>
                <w:i/>
              </w:rPr>
            </w:pPr>
            <w:r>
              <w:rPr>
                <w:i/>
              </w:rPr>
              <w:t>Motor Vehicle Drivers Instructors Amendment Regulations (No. 3) 2014</w:t>
            </w:r>
          </w:p>
        </w:tc>
        <w:tc>
          <w:tcPr>
            <w:tcW w:w="1276" w:type="dxa"/>
            <w:tcBorders>
              <w:bottom w:val="single" w:sz="8" w:space="0" w:color="auto"/>
            </w:tcBorders>
            <w:shd w:val="clear" w:color="auto" w:fill="auto"/>
          </w:tcPr>
          <w:p>
            <w:pPr>
              <w:pStyle w:val="nTable"/>
              <w:spacing w:after="40"/>
            </w:pPr>
            <w:r>
              <w:t>4 Nov 2014 p. 4207</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4 Nov 2014 (see r. 2(a));</w:t>
            </w:r>
            <w:r>
              <w:rPr>
                <w:rFonts w:ascii="Times" w:hAnsi="Times"/>
                <w:bCs/>
                <w:snapToGrid w:val="0"/>
                <w:spacing w:val="-2"/>
              </w:rPr>
              <w:br/>
              <w:t>Regulations other than r. 1 and 2: 5 Nov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7405065"/>
      <w:bookmarkStart w:id="32" w:name="_Toc416883969"/>
      <w:r>
        <w:t>Provisions that have not come into operation</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Motor Vehicle Drivers Instructors Amendment Regulations 2014 </w:t>
            </w:r>
            <w:r>
              <w:t>r. 3</w:t>
            </w:r>
            <w:r>
              <w:noBreakHyphen/>
              <w:t>6 </w:t>
            </w:r>
            <w:r>
              <w:rPr>
                <w:vertAlign w:val="superscript"/>
              </w:rPr>
              <w:t>8</w:t>
            </w:r>
          </w:p>
        </w:tc>
        <w:tc>
          <w:tcPr>
            <w:tcW w:w="1276" w:type="dxa"/>
            <w:tcBorders>
              <w:top w:val="single" w:sz="8" w:space="0" w:color="auto"/>
              <w:bottom w:val="single" w:sz="8" w:space="0" w:color="auto"/>
            </w:tcBorders>
          </w:tcPr>
          <w:p>
            <w:pPr>
              <w:pStyle w:val="nTable"/>
              <w:spacing w:after="40"/>
            </w:pPr>
            <w:r>
              <w:t>8 Jan 2015 p. 57</w:t>
            </w:r>
            <w:r>
              <w:noBreakHyphen/>
              <w:t>9</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 xml:space="preserve">Motor Vehicle Drivers Instructors Amendment Regulations 2014 </w:t>
      </w:r>
      <w:r>
        <w:t>r. 3</w:t>
      </w:r>
      <w:r>
        <w:noBreakHyphen/>
        <w:t>6</w:t>
      </w:r>
      <w:r>
        <w:rPr>
          <w:i/>
        </w:rPr>
        <w:t xml:space="preserve">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Drivers Instructors Regulations 1964</w:t>
      </w:r>
      <w:r>
        <w:t>.</w:t>
      </w:r>
    </w:p>
    <w:p>
      <w:pPr>
        <w:pStyle w:val="nzHeading5"/>
      </w:pPr>
      <w:r>
        <w:rPr>
          <w:rStyle w:val="CharSectno"/>
        </w:rPr>
        <w:t>4</w:t>
      </w:r>
      <w:r>
        <w:t>.</w:t>
      </w:r>
      <w:r>
        <w:tab/>
        <w:t>Regulation 2 amended</w:t>
      </w:r>
    </w:p>
    <w:p>
      <w:pPr>
        <w:pStyle w:val="nzSubsection"/>
      </w:pPr>
      <w:r>
        <w:tab/>
        <w:t>(1)</w:t>
      </w:r>
      <w:r>
        <w:tab/>
        <w:t>In regulation 2 delete the definitions of:</w:t>
      </w:r>
    </w:p>
    <w:p>
      <w:pPr>
        <w:pStyle w:val="DeleteListSub"/>
        <w:ind w:left="1456"/>
        <w:rPr>
          <w:b/>
          <w:i/>
          <w:sz w:val="20"/>
        </w:rPr>
      </w:pPr>
      <w:r>
        <w:rPr>
          <w:b/>
          <w:i/>
          <w:sz w:val="20"/>
        </w:rPr>
        <w:t>axle</w:t>
      </w:r>
    </w:p>
    <w:p>
      <w:pPr>
        <w:pStyle w:val="DeleteListSub"/>
        <w:ind w:left="1456"/>
        <w:rPr>
          <w:b/>
          <w:i/>
          <w:sz w:val="20"/>
        </w:rPr>
      </w:pPr>
      <w:r>
        <w:rPr>
          <w:b/>
          <w:i/>
          <w:sz w:val="20"/>
        </w:rPr>
        <w:t>GVM</w:t>
      </w:r>
    </w:p>
    <w:p>
      <w:pPr>
        <w:pStyle w:val="DeleteListSub"/>
        <w:ind w:left="1456"/>
        <w:rPr>
          <w:b/>
          <w:i/>
          <w:sz w:val="20"/>
        </w:rPr>
      </w:pPr>
      <w:r>
        <w:rPr>
          <w:b/>
          <w:i/>
          <w:sz w:val="20"/>
        </w:rPr>
        <w:t>motor carrier</w:t>
      </w:r>
    </w:p>
    <w:p>
      <w:pPr>
        <w:pStyle w:val="DeleteListSub"/>
        <w:ind w:left="1456"/>
        <w:rPr>
          <w:b/>
          <w:i/>
          <w:sz w:val="20"/>
        </w:rPr>
      </w:pPr>
      <w:r>
        <w:rPr>
          <w:b/>
          <w:i/>
          <w:sz w:val="20"/>
        </w:rPr>
        <w:t>motor cycle</w:t>
      </w:r>
    </w:p>
    <w:p>
      <w:pPr>
        <w:pStyle w:val="DeleteListSub"/>
        <w:ind w:left="1456"/>
        <w:rPr>
          <w:b/>
          <w:i/>
          <w:sz w:val="20"/>
        </w:rPr>
      </w:pPr>
      <w:r>
        <w:rPr>
          <w:b/>
          <w:i/>
          <w:sz w:val="20"/>
        </w:rPr>
        <w:t>semi</w:t>
      </w:r>
      <w:r>
        <w:rPr>
          <w:b/>
          <w:i/>
          <w:sz w:val="20"/>
        </w:rPr>
        <w:noBreakHyphen/>
        <w:t>trailer</w:t>
      </w:r>
    </w:p>
    <w:p>
      <w:pPr>
        <w:pStyle w:val="DeleteListSub"/>
        <w:ind w:left="1456"/>
        <w:rPr>
          <w:b/>
          <w:i/>
          <w:sz w:val="20"/>
        </w:rPr>
      </w:pPr>
      <w:r>
        <w:rPr>
          <w:b/>
          <w:i/>
          <w:sz w:val="20"/>
        </w:rPr>
        <w:t>trailer</w:t>
      </w:r>
    </w:p>
    <w:p>
      <w:pPr>
        <w:pStyle w:val="nzSubsection"/>
      </w:pPr>
      <w:r>
        <w:tab/>
        <w:t>(2)</w:t>
      </w:r>
      <w:r>
        <w:tab/>
        <w:t>In regulation 2 insert in alphabetical order:</w:t>
      </w:r>
    </w:p>
    <w:p>
      <w:pPr>
        <w:pStyle w:val="BlankOpen"/>
      </w:pPr>
    </w:p>
    <w:p>
      <w:pPr>
        <w:pStyle w:val="nzDefstart"/>
      </w:pPr>
      <w:r>
        <w:tab/>
      </w:r>
      <w:r>
        <w:rPr>
          <w:rStyle w:val="CharDefText"/>
        </w:rPr>
        <w:t>axle</w:t>
      </w:r>
      <w:r>
        <w:t xml:space="preserve"> has the meaning given in the </w:t>
      </w:r>
      <w:r>
        <w:rPr>
          <w:i/>
        </w:rPr>
        <w:t>Road Traffic (Authorisation to Drive) Regulations 2014</w:t>
      </w:r>
      <w:r>
        <w:t xml:space="preserve"> regulation 3;</w:t>
      </w:r>
    </w:p>
    <w:p>
      <w:pPr>
        <w:pStyle w:val="nzDefstart"/>
      </w:pPr>
      <w:r>
        <w:tab/>
      </w:r>
      <w:r>
        <w:rPr>
          <w:rStyle w:val="CharDefText"/>
        </w:rPr>
        <w:t>GVM</w:t>
      </w:r>
      <w:r>
        <w:t xml:space="preserve"> has the meaning given in the </w:t>
      </w:r>
      <w:r>
        <w:rPr>
          <w:i/>
        </w:rPr>
        <w:t>Road Traffic (Vehicles) Act 2012</w:t>
      </w:r>
      <w:r>
        <w:t xml:space="preserve"> section 3(1);</w:t>
      </w:r>
    </w:p>
    <w:p>
      <w:pPr>
        <w:pStyle w:val="nz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nzDefstart"/>
      </w:pPr>
      <w:r>
        <w:tab/>
      </w:r>
      <w:r>
        <w:rPr>
          <w:rStyle w:val="CharDefText"/>
        </w:rPr>
        <w:t>motor cycle</w:t>
      </w:r>
      <w:r>
        <w:t xml:space="preserve"> has the meaning given in the </w:t>
      </w:r>
      <w:r>
        <w:rPr>
          <w:i/>
        </w:rPr>
        <w:t>Road Traffic (Authorisation to Drive) Regulations 2014</w:t>
      </w:r>
      <w:r>
        <w:t xml:space="preserve"> regulation 3;</w:t>
      </w:r>
    </w:p>
    <w:p>
      <w:pPr>
        <w:pStyle w:val="nz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nzDefstart"/>
      </w:pPr>
      <w:r>
        <w:tab/>
      </w:r>
      <w:r>
        <w:rPr>
          <w:rStyle w:val="CharDefText"/>
        </w:rPr>
        <w:t>trailer</w:t>
      </w:r>
      <w:r>
        <w:t xml:space="preserve"> has the meaning given in the </w:t>
      </w:r>
      <w:r>
        <w:rPr>
          <w:i/>
        </w:rPr>
        <w:t>Road Traffic (Vehicles) Regulations 2014</w:t>
      </w:r>
      <w:r>
        <w:t xml:space="preserve"> regulation 3.</w:t>
      </w:r>
    </w:p>
    <w:p>
      <w:pPr>
        <w:pStyle w:val="BlankClose"/>
      </w:pPr>
    </w:p>
    <w:p>
      <w:pPr>
        <w:pStyle w:val="nzSubsection"/>
      </w:pPr>
      <w:r>
        <w:tab/>
        <w:t>(3)</w:t>
      </w:r>
      <w:r>
        <w:tab/>
        <w:t xml:space="preserve">In regulation 2 in the definition of </w:t>
      </w:r>
      <w:r>
        <w:rPr>
          <w:b/>
          <w:i/>
        </w:rPr>
        <w:t>licensing officer</w:t>
      </w:r>
      <w:r>
        <w:t xml:space="preserve"> paragraph (b) delete “Part IVA of the </w:t>
      </w:r>
      <w:r>
        <w:rPr>
          <w:i/>
        </w:rPr>
        <w:t>Road Traffic Act 1974</w:t>
      </w:r>
      <w:r>
        <w:rPr>
          <w:iCs/>
        </w:rPr>
        <w:t>;</w:t>
      </w:r>
      <w:r>
        <w:t>” and insert:</w:t>
      </w:r>
    </w:p>
    <w:p>
      <w:pPr>
        <w:pStyle w:val="BlankOpen"/>
      </w:pPr>
    </w:p>
    <w:p>
      <w:pPr>
        <w:pStyle w:val="nzSubsection"/>
      </w:pPr>
      <w:r>
        <w:tab/>
      </w:r>
      <w:r>
        <w:tab/>
        <w:t xml:space="preserve">the </w:t>
      </w:r>
      <w:r>
        <w:rPr>
          <w:i/>
        </w:rPr>
        <w:t xml:space="preserve">Road Traffic (Authorisation to Drive) Act 2008 </w:t>
      </w:r>
      <w:r>
        <w:t>Part 2;</w:t>
      </w:r>
    </w:p>
    <w:p>
      <w:pPr>
        <w:pStyle w:val="BlankClose"/>
      </w:pPr>
    </w:p>
    <w:p>
      <w:pPr>
        <w:pStyle w:val="nzHeading5"/>
      </w:pPr>
      <w:r>
        <w:rPr>
          <w:rStyle w:val="CharSectno"/>
        </w:rPr>
        <w:t>5</w:t>
      </w:r>
      <w:r>
        <w:t>.</w:t>
      </w:r>
      <w:r>
        <w:tab/>
        <w:t>Regulation 12 amended</w:t>
      </w:r>
    </w:p>
    <w:p>
      <w:pPr>
        <w:pStyle w:val="nzSubsection"/>
      </w:pPr>
      <w:r>
        <w:tab/>
      </w:r>
      <w:r>
        <w:tab/>
        <w:t>In regulation 12(3) delete “</w:t>
      </w:r>
      <w:r>
        <w:rPr>
          <w:i/>
        </w:rPr>
        <w:t>2008</w:t>
      </w:r>
      <w:r>
        <w:t>” and insert:</w:t>
      </w:r>
    </w:p>
    <w:p>
      <w:pPr>
        <w:pStyle w:val="BlankOpen"/>
      </w:pPr>
    </w:p>
    <w:p>
      <w:pPr>
        <w:pStyle w:val="nzSubsection"/>
      </w:pPr>
      <w:r>
        <w:tab/>
      </w:r>
      <w:r>
        <w:tab/>
      </w:r>
      <w:r>
        <w:rPr>
          <w:i/>
        </w:rPr>
        <w:t>2014</w:t>
      </w:r>
    </w:p>
    <w:p>
      <w:pPr>
        <w:pStyle w:val="BlankClose"/>
      </w:pPr>
    </w:p>
    <w:p>
      <w:pPr>
        <w:pStyle w:val="nzHeading5"/>
      </w:pPr>
      <w:r>
        <w:rPr>
          <w:rStyle w:val="CharSectno"/>
        </w:rPr>
        <w:t>6</w:t>
      </w:r>
      <w:r>
        <w:t>.</w:t>
      </w:r>
      <w:r>
        <w:tab/>
        <w:t>Regulation 13A amended</w:t>
      </w:r>
    </w:p>
    <w:p>
      <w:pPr>
        <w:pStyle w:val="nzSubsection"/>
      </w:pPr>
      <w:r>
        <w:tab/>
      </w:r>
      <w:r>
        <w:tab/>
        <w:t>In regulation 13A(1)(a) delete “</w:t>
      </w:r>
      <w:r>
        <w:rPr>
          <w:snapToGrid w:val="0"/>
        </w:rPr>
        <w:t>Education Department of Western Australia</w:t>
      </w:r>
      <w:r>
        <w:t>” and insert:</w:t>
      </w:r>
    </w:p>
    <w:p>
      <w:pPr>
        <w:pStyle w:val="BlankOpen"/>
      </w:pPr>
    </w:p>
    <w:p>
      <w:pPr>
        <w:pStyle w:val="nzSubsection"/>
      </w:pPr>
      <w:r>
        <w:tab/>
      </w:r>
      <w:r>
        <w:tab/>
        <w:t>Department of Education and Training</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16883970"/>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3"/>
  </w:num>
  <w:num w:numId="15">
    <w:abstractNumId w:val="13"/>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51"/>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6060</Words>
  <Characters>30908</Characters>
  <Application>Microsoft Office Word</Application>
  <DocSecurity>0</DocSecurity>
  <Lines>1144</Lines>
  <Paragraphs>724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Company>Ministry of Justice</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1964 - 06-i0-02</dc:title>
  <dc:subject>SubIF_M</dc:subject>
  <dc:creator>Matthew Pether</dc:creator>
  <cp:lastModifiedBy>svcMRProcess</cp:lastModifiedBy>
  <cp:revision>4</cp:revision>
  <cp:lastPrinted>2012-03-19T05:39:00Z</cp:lastPrinted>
  <dcterms:created xsi:type="dcterms:W3CDTF">2015-04-16T03:19:00Z</dcterms:created>
  <dcterms:modified xsi:type="dcterms:W3CDTF">2015-04-16T03:19:00Z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AsAtDate">
    <vt:lpwstr>08 Jan 2015</vt:lpwstr>
  </property>
  <property fmtid="{D5CDD505-2E9C-101B-9397-08002B2CF9AE}" pid="9" name="Suffix">
    <vt:lpwstr>06-i0-02</vt:lpwstr>
  </property>
</Properties>
</file>