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bookmarkStart w:id="1" w:name="RuleErr_1"/>
      <w:r>
        <w:t>Fines, Penalties and Infringement Notices Enforcement Act 1994</w:t>
      </w:r>
    </w:p>
    <w:bookmarkEnd w:id="1"/>
    <w:p>
      <w:pPr>
        <w:pStyle w:val="NameofActRegPage1"/>
        <w:spacing w:before="1960" w:after="4200"/>
        <w:ind w:left="170" w:right="17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_Toc408823212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_Toc408823213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_Toc408823214 \h </w:instrText>
      </w:r>
      <w:r>
        <w:fldChar w:fldCharType="separate"/>
      </w:r>
      <w:r>
        <w:t>1</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_Toc408823215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Request under </w:t>
      </w:r>
      <w:r>
        <w:rPr>
          <w:snapToGrid w:val="0"/>
        </w:rPr>
        <w:t>Act </w:t>
      </w:r>
      <w:r>
        <w:t>s. 27A(1), form of</w:t>
      </w:r>
      <w:r>
        <w:tab/>
      </w:r>
      <w:r>
        <w:fldChar w:fldCharType="begin"/>
      </w:r>
      <w:r>
        <w:instrText xml:space="preserve"> PAGEREF _Toc408823216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_Toc408823217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_Toc408823218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to pay orders, applications for etc. (Act s. 33, 34 and 35)</w:t>
      </w:r>
      <w:r>
        <w:tab/>
      </w:r>
      <w:r>
        <w:fldChar w:fldCharType="begin"/>
      </w:r>
      <w:r>
        <w:instrText xml:space="preserve"> PAGEREF _Toc408823219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Required hours for WDO, calculation of (Act s. 50)</w:t>
      </w:r>
      <w:r>
        <w:tab/>
      </w:r>
      <w:r>
        <w:fldChar w:fldCharType="begin"/>
      </w:r>
      <w:r>
        <w:instrText xml:space="preserve"> PAGEREF _Toc408823220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_Toc408823221 \h </w:instrText>
      </w:r>
      <w:r>
        <w:fldChar w:fldCharType="separate"/>
      </w:r>
      <w:r>
        <w:t>5</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_Toc408823222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Request under </w:t>
      </w:r>
      <w:r>
        <w:rPr>
          <w:snapToGrid w:val="0"/>
        </w:rPr>
        <w:t>Act </w:t>
      </w:r>
      <w:r>
        <w:t>s. 55A(1), form of</w:t>
      </w:r>
      <w:r>
        <w:tab/>
      </w:r>
      <w:r>
        <w:fldChar w:fldCharType="begin"/>
      </w:r>
      <w:r>
        <w:instrText xml:space="preserve"> PAGEREF _Toc408823223 \h </w:instrText>
      </w:r>
      <w:r>
        <w:fldChar w:fldCharType="separate"/>
      </w:r>
      <w:r>
        <w:t>6</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_Toc408823224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_Toc408823225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_Toc408823226 \h </w:instrText>
      </w:r>
      <w:r>
        <w:fldChar w:fldCharType="separate"/>
      </w:r>
      <w:r>
        <w:t>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_Toc408823227 \h </w:instrText>
      </w:r>
      <w:r>
        <w:fldChar w:fldCharType="separate"/>
      </w:r>
      <w:r>
        <w:t>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_Toc408823228 \h </w:instrText>
      </w:r>
      <w:r>
        <w:fldChar w:fldCharType="separate"/>
      </w:r>
      <w:r>
        <w:t>9</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_Toc408823229 \h </w:instrText>
      </w:r>
      <w:r>
        <w:fldChar w:fldCharType="separate"/>
      </w:r>
      <w:r>
        <w:t>10</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_Toc408823230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_Toc408823231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 (Sch. 3)</w:t>
      </w:r>
      <w:r>
        <w:tab/>
      </w:r>
      <w:r>
        <w:fldChar w:fldCharType="begin"/>
      </w:r>
      <w:r>
        <w:instrText xml:space="preserve"> PAGEREF _Toc408823232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86"/>
        </w:tabs>
        <w:rPr>
          <w:rFonts w:asciiTheme="minorHAnsi" w:eastAsiaTheme="minorEastAsia" w:hAnsiTheme="minorHAnsi" w:cstheme="minorBidi"/>
          <w:b w:val="0"/>
          <w:sz w:val="22"/>
          <w:szCs w:val="22"/>
        </w:rPr>
      </w:pPr>
      <w:r>
        <w:t>Schedule 2 — Enforcement fees</w:t>
      </w:r>
    </w:p>
    <w:p>
      <w:pPr>
        <w:pStyle w:val="TOC4"/>
        <w:tabs>
          <w:tab w:val="right" w:leader="dot" w:pos="7086"/>
        </w:tabs>
        <w:rPr>
          <w:rFonts w:asciiTheme="minorHAnsi" w:eastAsiaTheme="minorEastAsia" w:hAnsiTheme="minorHAnsi" w:cstheme="minorBidi"/>
          <w:b w:val="0"/>
          <w:szCs w:val="22"/>
        </w:rPr>
      </w:pPr>
      <w:r>
        <w:t>Division 1</w:t>
      </w:r>
      <w:r>
        <w:rPr>
          <w:b w:val="0"/>
        </w:rPr>
        <w:t> — </w:t>
      </w:r>
      <w:r>
        <w:t>Enforcement fees for Part 3 of the Act</w:t>
      </w:r>
    </w:p>
    <w:p>
      <w:pPr>
        <w:pStyle w:val="TOC4"/>
        <w:tabs>
          <w:tab w:val="right" w:leader="dot" w:pos="7086"/>
        </w:tabs>
        <w:rPr>
          <w:rFonts w:asciiTheme="minorHAnsi" w:eastAsiaTheme="minorEastAsia" w:hAnsiTheme="minorHAnsi" w:cstheme="minorBidi"/>
          <w:b w:val="0"/>
          <w:szCs w:val="22"/>
        </w:rPr>
      </w:pPr>
      <w:r>
        <w:t>Division 2</w:t>
      </w:r>
      <w:r>
        <w:rPr>
          <w:b w:val="0"/>
        </w:rPr>
        <w:t> — </w:t>
      </w:r>
      <w:r>
        <w:t>Enforcement fees for Part 4 of the Act</w:t>
      </w:r>
    </w:p>
    <w:p>
      <w:pPr>
        <w:pStyle w:val="TOC4"/>
        <w:tabs>
          <w:tab w:val="right" w:leader="dot" w:pos="7086"/>
        </w:tabs>
        <w:rPr>
          <w:rFonts w:asciiTheme="minorHAnsi" w:eastAsiaTheme="minorEastAsia" w:hAnsiTheme="minorHAnsi" w:cstheme="minorBidi"/>
          <w:b w:val="0"/>
          <w:szCs w:val="22"/>
        </w:rPr>
      </w:pPr>
      <w:r>
        <w:t>Division 3</w:t>
      </w:r>
      <w:r>
        <w:rPr>
          <w:b w:val="0"/>
        </w:rPr>
        <w:t> — </w:t>
      </w:r>
      <w:r>
        <w:t>Enforcement fees for Part 7 of the Act</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_Toc408823239 \h </w:instrText>
      </w:r>
      <w:r>
        <w:fldChar w:fldCharType="separate"/>
      </w:r>
      <w:r>
        <w:t>20</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_Toc408823240 \h </w:instrText>
      </w:r>
      <w:r>
        <w:fldChar w:fldCharType="separate"/>
      </w:r>
      <w:r>
        <w:t>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_Toc408823241 \h </w:instrText>
      </w:r>
      <w:r>
        <w:fldChar w:fldCharType="separate"/>
      </w:r>
      <w:r>
        <w:t>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_Toc408823242 \h </w:instrText>
      </w:r>
      <w:r>
        <w:fldChar w:fldCharType="separate"/>
      </w:r>
      <w:r>
        <w:t>25</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_Toc408823243 \h </w:instrText>
      </w:r>
      <w:r>
        <w:fldChar w:fldCharType="separate"/>
      </w:r>
      <w:r>
        <w:t>26</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_Toc408823244 \h </w:instrText>
      </w:r>
      <w:r>
        <w:fldChar w:fldCharType="separate"/>
      </w:r>
      <w:r>
        <w:t>27</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_Toc408823245 \h </w:instrText>
      </w:r>
      <w:r>
        <w:fldChar w:fldCharType="separate"/>
      </w:r>
      <w:r>
        <w:t>28</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_Toc408823246 \h </w:instrText>
      </w:r>
      <w:r>
        <w:fldChar w:fldCharType="separate"/>
      </w:r>
      <w:r>
        <w:t>30</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_Toc408823247 \h </w:instrText>
      </w:r>
      <w:r>
        <w:fldChar w:fldCharType="separate"/>
      </w:r>
      <w:r>
        <w:t>32</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_Toc408823248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_Toc408823250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360" w:after="600"/>
        <w:rPr>
          <w:snapToGrid w:val="0"/>
        </w:rPr>
      </w:pPr>
      <w:bookmarkStart w:id="2" w:name="RuleErr_2"/>
      <w:r>
        <w:rPr>
          <w:snapToGrid w:val="0"/>
        </w:rPr>
        <w:t>Fines, Penalties and Infringement Notices Enforcement Act 1994</w:t>
      </w:r>
    </w:p>
    <w:bookmarkEnd w:id="2"/>
    <w:p>
      <w:pPr>
        <w:pStyle w:val="NameofActReg"/>
        <w:spacing w:before="960" w:after="960"/>
      </w:pPr>
      <w:r>
        <w:t>Fines, Penalties and Infringement Notices Enforcement Regulations 1994</w:t>
      </w:r>
    </w:p>
    <w:p>
      <w:pPr>
        <w:pStyle w:val="Heading5"/>
        <w:rPr>
          <w:snapToGrid w:val="0"/>
        </w:rPr>
      </w:pPr>
      <w:bookmarkStart w:id="3" w:name="_Toc408823212"/>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08823213"/>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5" w:name="_Toc408823214"/>
      <w:r>
        <w:rPr>
          <w:rStyle w:val="CharSectno"/>
        </w:rPr>
        <w:t>3</w:t>
      </w:r>
      <w:r>
        <w:rPr>
          <w:snapToGrid w:val="0"/>
        </w:rPr>
        <w:t>.</w:t>
      </w:r>
      <w:r>
        <w:rPr>
          <w:snapToGrid w:val="0"/>
        </w:rPr>
        <w:tab/>
        <w:t>Enactments prescribed for Act Part 3 (Act s. 12)</w:t>
      </w:r>
      <w:bookmarkEnd w:id="5"/>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6" w:name="_Toc408823215"/>
      <w:r>
        <w:rPr>
          <w:rStyle w:val="CharSectno"/>
        </w:rPr>
        <w:t>3AA</w:t>
      </w:r>
      <w:r>
        <w:t>.</w:t>
      </w:r>
      <w:r>
        <w:tab/>
        <w:t>Amount payable under Act s. 22(5)(c)</w:t>
      </w:r>
      <w:bookmarkEnd w:id="6"/>
    </w:p>
    <w:p>
      <w:pPr>
        <w:pStyle w:val="Subsection"/>
      </w:pPr>
      <w:r>
        <w:tab/>
        <w:t>(1)</w:t>
      </w:r>
      <w:r>
        <w:tab/>
        <w:t xml:space="preserve">In this regulation — </w:t>
      </w:r>
    </w:p>
    <w:p>
      <w:pPr>
        <w:pStyle w:val="Defstart"/>
      </w:pPr>
      <w:r>
        <w:tab/>
      </w:r>
      <w:r>
        <w:rPr>
          <w:rStyle w:val="CharDefText"/>
        </w:rPr>
        <w:t>GST</w:t>
      </w:r>
      <w:r>
        <w:t xml:space="preserve"> has the meaning given in the </w:t>
      </w:r>
      <w:bookmarkStart w:id="7" w:name="RuleErr_7"/>
      <w:r>
        <w:rPr>
          <w:i/>
        </w:rPr>
        <w:t>A New Tax System (Goods and Services Tax) Act 1999</w:t>
      </w:r>
      <w:bookmarkEnd w:id="7"/>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Road Traffic (Charges and Fees) Regulations 2006</w:t>
      </w:r>
      <w:r>
        <w:t xml:space="preserve"> in connection with the issue of a new vehicle licence in respect of the vehicle, including the following — </w:t>
      </w:r>
    </w:p>
    <w:p>
      <w:pPr>
        <w:pStyle w:val="Indenti"/>
      </w:pPr>
      <w:r>
        <w:tab/>
        <w:t>(i)</w:t>
      </w:r>
      <w:r>
        <w:tab/>
        <w:t>any examination fee under regulation 23 of those regulations;</w:t>
      </w:r>
    </w:p>
    <w:p>
      <w:pPr>
        <w:pStyle w:val="Indenti"/>
      </w:pPr>
      <w:r>
        <w:tab/>
        <w:t>(ii)</w:t>
      </w:r>
      <w:r>
        <w:tab/>
        <w:t>any recording fee under regulation 25 of those regulations;</w:t>
      </w:r>
    </w:p>
    <w:p>
      <w:pPr>
        <w:pStyle w:val="Indenti"/>
      </w:pPr>
      <w:r>
        <w:tab/>
        <w:t>(iii)</w:t>
      </w:r>
      <w:r>
        <w:tab/>
        <w:t>any fee for the issue of number plates under regulation 30 of those regulations;</w:t>
      </w:r>
    </w:p>
    <w:p>
      <w:pPr>
        <w:pStyle w:val="Indenta"/>
      </w:pPr>
      <w:r>
        <w:tab/>
      </w:r>
      <w:r>
        <w:tab/>
        <w:t>and</w:t>
      </w:r>
    </w:p>
    <w:p>
      <w:pPr>
        <w:pStyle w:val="Indenta"/>
      </w:pPr>
      <w:r>
        <w:tab/>
        <w:t>(c)</w:t>
      </w:r>
      <w:r>
        <w:tab/>
        <w:t xml:space="preserve">any amount paid or required to be paid by the alleged offender in connection with the issue of an unlicensed vehicle permit for the vehicle under the </w:t>
      </w:r>
      <w:r>
        <w:rPr>
          <w:i/>
        </w:rPr>
        <w:t>Road Traffic (Licensing) Regulations 1975</w:t>
      </w:r>
      <w:r>
        <w:t xml:space="preserve"> regulation 11, where the permit is issued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(Charges and Fees) Regulations 2006</w:t>
      </w:r>
      <w:r>
        <w:t xml:space="preserve">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w:t>
      </w:r>
    </w:p>
    <w:p>
      <w:pPr>
        <w:pStyle w:val="Heading5"/>
      </w:pPr>
      <w:bookmarkStart w:id="8" w:name="_Toc408823216"/>
      <w:r>
        <w:rPr>
          <w:rStyle w:val="CharSectno"/>
        </w:rPr>
        <w:t>3A</w:t>
      </w:r>
      <w:r>
        <w:t>.</w:t>
      </w:r>
      <w:r>
        <w:tab/>
        <w:t xml:space="preserve">Request under </w:t>
      </w:r>
      <w:r>
        <w:rPr>
          <w:snapToGrid w:val="0"/>
        </w:rPr>
        <w:t>Act </w:t>
      </w:r>
      <w:r>
        <w:t>s. 27A(1), form of</w:t>
      </w:r>
      <w:bookmarkEnd w:id="8"/>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9" w:name="_Toc408823217"/>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9"/>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bookmarkStart w:id="10" w:name="RuleErr_9"/>
            <w:r>
              <w:rPr>
                <w:b/>
                <w:i/>
                <w:spacing w:val="-1"/>
              </w:rPr>
              <w:t>Column 1</w:t>
            </w:r>
            <w:bookmarkEnd w:id="10"/>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1" w:name="_Toc408823218"/>
      <w:r>
        <w:rPr>
          <w:rStyle w:val="CharSectno"/>
        </w:rPr>
        <w:t>5</w:t>
      </w:r>
      <w:r>
        <w:rPr>
          <w:snapToGrid w:val="0"/>
        </w:rPr>
        <w:t>.</w:t>
      </w:r>
      <w:r>
        <w:rPr>
          <w:snapToGrid w:val="0"/>
        </w:rPr>
        <w:tab/>
        <w:t>Enactment prescribed for Act s. 31(b)</w:t>
      </w:r>
      <w:bookmarkEnd w:id="11"/>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12" w:name="_Toc408823219"/>
      <w:r>
        <w:rPr>
          <w:rStyle w:val="CharSectno"/>
        </w:rPr>
        <w:t>6</w:t>
      </w:r>
      <w:r>
        <w:rPr>
          <w:snapToGrid w:val="0"/>
        </w:rPr>
        <w:t>.</w:t>
      </w:r>
      <w:r>
        <w:rPr>
          <w:snapToGrid w:val="0"/>
        </w:rPr>
        <w:tab/>
        <w:t>Time to pay orders, applications for etc. (Act s. 33, 34 and 35)</w:t>
      </w:r>
      <w:bookmarkEnd w:id="12"/>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3" w:name="_Toc408823220"/>
      <w:r>
        <w:rPr>
          <w:rStyle w:val="CharSectno"/>
        </w:rPr>
        <w:t>6A</w:t>
      </w:r>
      <w:r>
        <w:rPr>
          <w:snapToGrid w:val="0"/>
        </w:rPr>
        <w:t>.</w:t>
      </w:r>
      <w:r>
        <w:rPr>
          <w:snapToGrid w:val="0"/>
        </w:rPr>
        <w:tab/>
        <w:t>Required hours for WDO, calculation of (Act s. 50)</w:t>
      </w:r>
      <w:bookmarkEnd w:id="13"/>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4" w:name="_Toc408823221"/>
      <w:r>
        <w:rPr>
          <w:rStyle w:val="CharSectno"/>
        </w:rPr>
        <w:t>6B</w:t>
      </w:r>
      <w:r>
        <w:rPr>
          <w:snapToGrid w:val="0"/>
        </w:rPr>
        <w:t>.</w:t>
      </w:r>
      <w:r>
        <w:rPr>
          <w:snapToGrid w:val="0"/>
        </w:rPr>
        <w:tab/>
        <w:t>Reductions under Act s. 51, how calculated</w:t>
      </w:r>
      <w:bookmarkEnd w:id="14"/>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5" w:name="_Toc408823222"/>
      <w:r>
        <w:rPr>
          <w:rStyle w:val="CharSectno"/>
        </w:rPr>
        <w:t>6BAA</w:t>
      </w:r>
      <w:r>
        <w:t>.</w:t>
      </w:r>
      <w:r>
        <w:tab/>
        <w:t>Amount p</w:t>
      </w:r>
      <w:r>
        <w:rPr>
          <w:bCs/>
        </w:rPr>
        <w:t>rescribed for warrant of commitment (</w:t>
      </w:r>
      <w:r>
        <w:rPr>
          <w:snapToGrid w:val="0"/>
        </w:rPr>
        <w:t>Act </w:t>
      </w:r>
      <w:r>
        <w:rPr>
          <w:bCs/>
        </w:rPr>
        <w:t>s. 53(3))</w:t>
      </w:r>
      <w:bookmarkEnd w:id="15"/>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16" w:name="_Toc408823223"/>
      <w:r>
        <w:rPr>
          <w:rStyle w:val="CharSectno"/>
        </w:rPr>
        <w:t>6BA</w:t>
      </w:r>
      <w:r>
        <w:t>.</w:t>
      </w:r>
      <w:r>
        <w:tab/>
        <w:t xml:space="preserve">Request under </w:t>
      </w:r>
      <w:r>
        <w:rPr>
          <w:snapToGrid w:val="0"/>
        </w:rPr>
        <w:t>Act </w:t>
      </w:r>
      <w:r>
        <w:t>s. 55A(1), form of</w:t>
      </w:r>
      <w:bookmarkEnd w:id="16"/>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17" w:name="_Toc408823224"/>
      <w:r>
        <w:rPr>
          <w:rStyle w:val="CharSectno"/>
        </w:rPr>
        <w:t>6C</w:t>
      </w:r>
      <w:r>
        <w:t>.</w:t>
      </w:r>
      <w:r>
        <w:tab/>
        <w:t>Reduction of liability to pay fine where WDO taken to be cancelled (</w:t>
      </w:r>
      <w:r>
        <w:rPr>
          <w:i/>
        </w:rPr>
        <w:t xml:space="preserve">Sentencing Act 1995 </w:t>
      </w:r>
      <w:r>
        <w:t>s. 57B(5))</w:t>
      </w:r>
      <w:bookmarkEnd w:id="17"/>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18" w:name="_Toc408823225"/>
      <w:r>
        <w:rPr>
          <w:rStyle w:val="CharSectno"/>
        </w:rPr>
        <w:t>7</w:t>
      </w:r>
      <w:r>
        <w:rPr>
          <w:snapToGrid w:val="0"/>
        </w:rPr>
        <w:t>.</w:t>
      </w:r>
      <w:r>
        <w:rPr>
          <w:snapToGrid w:val="0"/>
        </w:rPr>
        <w:tab/>
        <w:t>States, Territories and courts prescribed (Act s. 59)</w:t>
      </w:r>
      <w:bookmarkEnd w:id="18"/>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19" w:name="_Toc408823226"/>
      <w:r>
        <w:rPr>
          <w:rStyle w:val="CharSectno"/>
        </w:rPr>
        <w:t>8</w:t>
      </w:r>
      <w:r>
        <w:t>.</w:t>
      </w:r>
      <w:r>
        <w:tab/>
        <w:t>Property prescribed that cannot be seized etc. (Act s. 75)</w:t>
      </w:r>
      <w:bookmarkEnd w:id="19"/>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20" w:name="_Toc408823227"/>
      <w:r>
        <w:rPr>
          <w:rStyle w:val="CharSectno"/>
        </w:rPr>
        <w:t>8A</w:t>
      </w:r>
      <w:r>
        <w:rPr>
          <w:snapToGrid w:val="0"/>
        </w:rPr>
        <w:t>.</w:t>
      </w:r>
      <w:r>
        <w:rPr>
          <w:snapToGrid w:val="0"/>
        </w:rPr>
        <w:tab/>
        <w:t>Enforcement proceedings after successful application under Act s. 101, 101AA or 101A</w:t>
      </w:r>
      <w:bookmarkEnd w:id="20"/>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spacing w:before="180"/>
        <w:rPr>
          <w:snapToGrid w:val="0"/>
        </w:rPr>
      </w:pPr>
      <w:bookmarkStart w:id="21" w:name="_Toc408823228"/>
      <w:r>
        <w:rPr>
          <w:rStyle w:val="CharSectno"/>
        </w:rPr>
        <w:t>8B</w:t>
      </w:r>
      <w:r>
        <w:rPr>
          <w:snapToGrid w:val="0"/>
        </w:rPr>
        <w:t>.</w:t>
      </w:r>
      <w:r>
        <w:rPr>
          <w:snapToGrid w:val="0"/>
        </w:rPr>
        <w:tab/>
        <w:t>Enforcement proceedings after an appeal (Act s. 101B)</w:t>
      </w:r>
      <w:bookmarkEnd w:id="21"/>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spacing w:before="120"/>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spacing w:before="120"/>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22" w:name="_Toc408823229"/>
      <w:r>
        <w:rPr>
          <w:rStyle w:val="CharSectno"/>
        </w:rPr>
        <w:t>9</w:t>
      </w:r>
      <w:r>
        <w:t>.</w:t>
      </w:r>
      <w:r>
        <w:tab/>
        <w:t>Enforcement fees prescribed (Act Parts 3, 4 and 7)</w:t>
      </w:r>
      <w:bookmarkEnd w:id="22"/>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23" w:name="_Toc408823230"/>
      <w:r>
        <w:rPr>
          <w:rStyle w:val="CharSectno"/>
        </w:rPr>
        <w:t>10</w:t>
      </w:r>
      <w:r>
        <w:t>.</w:t>
      </w:r>
      <w:r>
        <w:tab/>
        <w:t>Exemptions from fees (Act Part 3)</w:t>
      </w:r>
      <w:bookmarkEnd w:id="23"/>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keepLines w:val="0"/>
        <w:spacing w:before="240" w:after="480"/>
        <w:ind w:left="890" w:hanging="890"/>
      </w:pPr>
      <w:r>
        <w:tab/>
        <w:t>[Regulation 10 inserted in Gazette 20 Aug 2013 p. 3883-4; amended in Gazette 13 Jan 2015 p. 250.]</w:t>
      </w:r>
    </w:p>
    <w:p>
      <w:pPr>
        <w:pStyle w:val="Heading5"/>
        <w:rPr>
          <w:snapToGrid w:val="0"/>
        </w:rPr>
      </w:pPr>
      <w:bookmarkStart w:id="24" w:name="_Toc408823231"/>
      <w:r>
        <w:rPr>
          <w:rStyle w:val="CharSectno"/>
        </w:rPr>
        <w:t>11</w:t>
      </w:r>
      <w:r>
        <w:rPr>
          <w:snapToGrid w:val="0"/>
        </w:rPr>
        <w:t>.</w:t>
      </w:r>
      <w:r>
        <w:rPr>
          <w:snapToGrid w:val="0"/>
        </w:rPr>
        <w:tab/>
        <w:t>Methods of payment</w:t>
      </w:r>
      <w:bookmarkEnd w:id="24"/>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25" w:name="_Toc408823232"/>
      <w:r>
        <w:rPr>
          <w:rStyle w:val="CharSectno"/>
        </w:rPr>
        <w:t>12</w:t>
      </w:r>
      <w:r>
        <w:rPr>
          <w:snapToGrid w:val="0"/>
        </w:rPr>
        <w:t>.</w:t>
      </w:r>
      <w:r>
        <w:rPr>
          <w:snapToGrid w:val="0"/>
        </w:rPr>
        <w:tab/>
        <w:t>Forms (Sch. 3)</w:t>
      </w:r>
      <w:bookmarkEnd w:id="25"/>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6" w:name="_Toc408823233"/>
      <w:r>
        <w:rPr>
          <w:rStyle w:val="CharSchNo"/>
        </w:rPr>
        <w:t>Schedule 1</w:t>
      </w:r>
      <w:r>
        <w:rPr>
          <w:rStyle w:val="CharSDivNo"/>
        </w:rPr>
        <w:t> </w:t>
      </w:r>
      <w:r>
        <w:t>—</w:t>
      </w:r>
      <w:r>
        <w:rPr>
          <w:rStyle w:val="CharSDivText"/>
        </w:rPr>
        <w:t> </w:t>
      </w:r>
      <w:r>
        <w:rPr>
          <w:rStyle w:val="CharSchText"/>
        </w:rPr>
        <w:t>Enactments to which Part 3 of the Act applies</w:t>
      </w:r>
      <w:bookmarkEnd w:id="26"/>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w:t>
      </w:r>
    </w:p>
    <w:p>
      <w:pPr>
        <w:pStyle w:val="yScheduleHeading"/>
      </w:pPr>
      <w:bookmarkStart w:id="27" w:name="_Toc408823234"/>
      <w:r>
        <w:rPr>
          <w:rStyle w:val="CharSchNo"/>
        </w:rPr>
        <w:t>Schedule 2</w:t>
      </w:r>
      <w:r>
        <w:t> — </w:t>
      </w:r>
      <w:r>
        <w:rPr>
          <w:rStyle w:val="CharSchText"/>
        </w:rPr>
        <w:t>Enforcement fees</w:t>
      </w:r>
      <w:bookmarkEnd w:id="27"/>
    </w:p>
    <w:p>
      <w:pPr>
        <w:pStyle w:val="yShoulderClause"/>
      </w:pPr>
      <w:r>
        <w:t>[r. 9]</w:t>
      </w:r>
    </w:p>
    <w:p>
      <w:pPr>
        <w:pStyle w:val="yFootnoteheading"/>
        <w:spacing w:before="100"/>
      </w:pPr>
      <w:r>
        <w:tab/>
        <w:t>[Heading inserted in Gazette 13 May 2005 p. 2080.]</w:t>
      </w:r>
    </w:p>
    <w:p>
      <w:pPr>
        <w:pStyle w:val="yHeading3"/>
        <w:spacing w:before="200" w:after="60"/>
      </w:pPr>
      <w:bookmarkStart w:id="28" w:name="_Toc408823235"/>
      <w:r>
        <w:rPr>
          <w:rStyle w:val="CharSDivNo"/>
        </w:rPr>
        <w:t>Division 1</w:t>
      </w:r>
      <w:r>
        <w:rPr>
          <w:b w:val="0"/>
        </w:rPr>
        <w:t> — </w:t>
      </w:r>
      <w:r>
        <w:rPr>
          <w:rStyle w:val="CharSDivText"/>
        </w:rPr>
        <w:t>Enforcement fees for Part 3 of the Act</w:t>
      </w:r>
      <w:bookmarkEnd w:id="28"/>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rPr>
                <w:szCs w:val="22"/>
              </w:rPr>
              <w:t>$14.65</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r>
            <w:r>
              <w:rPr>
                <w:szCs w:val="22"/>
              </w:rPr>
              <w:t>$12.45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r>
            <w:r>
              <w:rPr>
                <w:szCs w:val="22"/>
              </w:rPr>
              <w:t>$46.60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rPr>
                <w:szCs w:val="22"/>
              </w:rPr>
              <w:t>$30.90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rPr>
                <w:szCs w:val="22"/>
              </w:rPr>
              <w:t>$145.50</w:t>
            </w:r>
          </w:p>
        </w:tc>
      </w:tr>
    </w:tbl>
    <w:p>
      <w:pPr>
        <w:pStyle w:val="yFootnotesection"/>
        <w:tabs>
          <w:tab w:val="right" w:leader="dot" w:pos="5814"/>
        </w:tabs>
      </w:pPr>
      <w:r>
        <w:tab/>
        <w:t>[Division 1 inserted in Gazette 13 May 2005 p. 2080; amended in Gazette 23 Jun 2006 p. 2191; 26 Jun 2007 p. 3032; 20 Aug 2013 p. 3885; 4 Jul 2014 p. 2364.]</w:t>
      </w:r>
    </w:p>
    <w:p>
      <w:pPr>
        <w:pStyle w:val="yHeading3"/>
        <w:tabs>
          <w:tab w:val="right" w:leader="dot" w:pos="5814"/>
        </w:tabs>
        <w:spacing w:before="200" w:after="80"/>
      </w:pPr>
      <w:bookmarkStart w:id="29" w:name="_Toc408823236"/>
      <w:r>
        <w:rPr>
          <w:rStyle w:val="CharSDivNo"/>
        </w:rPr>
        <w:t>Division 2</w:t>
      </w:r>
      <w:r>
        <w:rPr>
          <w:b w:val="0"/>
        </w:rPr>
        <w:t> — </w:t>
      </w:r>
      <w:r>
        <w:rPr>
          <w:rStyle w:val="CharSDivText"/>
        </w:rPr>
        <w:t>Enforcement fees for Part 4 of the Act</w:t>
      </w:r>
      <w:bookmarkEnd w:id="29"/>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$30.90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$145.50</w:t>
            </w:r>
          </w:p>
        </w:tc>
      </w:tr>
    </w:tbl>
    <w:p>
      <w:pPr>
        <w:pStyle w:val="yFootnotesection"/>
      </w:pPr>
      <w:r>
        <w:tab/>
        <w:t>[Division 2 inserted in Gazette 13 May 2005 p. 2080; amended in Gazette 23 Jun 2006 p. 2191; 26 Jun 2007 p. 3032; 20 Aug 2013 p. 3885; 4 Jul 2014 p. 2364.]</w:t>
      </w:r>
    </w:p>
    <w:p>
      <w:pPr>
        <w:pStyle w:val="yHeading3"/>
        <w:spacing w:after="60"/>
      </w:pPr>
      <w:bookmarkStart w:id="30" w:name="_Toc408823237"/>
      <w:r>
        <w:rPr>
          <w:rStyle w:val="CharSDivNo"/>
        </w:rPr>
        <w:t>Division 3</w:t>
      </w:r>
      <w:r>
        <w:rPr>
          <w:b w:val="0"/>
        </w:rPr>
        <w:t> — </w:t>
      </w:r>
      <w:r>
        <w:rPr>
          <w:rStyle w:val="CharSDivText"/>
        </w:rPr>
        <w:t>Enforcement fees for Part 7 of the Act</w:t>
      </w:r>
      <w:bookmarkEnd w:id="30"/>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r>
            <w:r>
              <w:rPr>
                <w:szCs w:val="22"/>
              </w:rPr>
              <w:t>$64.50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ind w:left="567" w:hanging="567"/>
            </w:pPr>
            <w:r>
              <w:rPr>
                <w:szCs w:val="22"/>
              </w:rPr>
              <w:t>$43.40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ind w:left="567" w:hanging="567"/>
            </w:pPr>
            <w:r>
              <w:rPr>
                <w:szCs w:val="22"/>
              </w:rPr>
              <w:t>$46.60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r>
            <w:r>
              <w:rPr>
                <w:szCs w:val="22"/>
              </w:rPr>
              <w:t>$30.90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pPr>
            <w:r>
              <w:br/>
            </w:r>
            <w:r>
              <w:br/>
            </w: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pPr>
            <w:r>
              <w:rPr>
                <w:szCs w:val="22"/>
              </w:rPr>
              <w:t>$69.00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pP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pPr>
            <w:r>
              <w:br/>
            </w:r>
            <w:r>
              <w:rPr>
                <w:szCs w:val="22"/>
              </w:rPr>
              <w:t>$22.00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gridSpan w:val="2"/>
          </w:tcPr>
          <w:p>
            <w:pPr>
              <w:pStyle w:val="yTable"/>
              <w:spacing w:after="40"/>
            </w:pPr>
          </w:p>
        </w:tc>
      </w:tr>
    </w:tbl>
    <w:p>
      <w:pPr>
        <w:pStyle w:val="yFootnotesection"/>
      </w:pPr>
      <w:r>
        <w:tab/>
        <w:t>[Division 3 inserted in Gazette 13 May 2005 p. 2080</w:t>
      </w:r>
      <w:r>
        <w:noBreakHyphen/>
        <w:t>1; amended in Gazette 23 Jun 2006 p. 2192; 26 Jun 2007 p. 3032; 20 Aug 2013 p. 3885; 4 Jul 2014 p. 2364.]</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31" w:name="_Toc408823238"/>
      <w:r>
        <w:rPr>
          <w:rStyle w:val="CharSchNo"/>
        </w:rPr>
        <w:t>Schedule 3</w:t>
      </w:r>
      <w:r>
        <w:rPr>
          <w:rStyle w:val="CharSDivNo"/>
        </w:rPr>
        <w:t> </w:t>
      </w:r>
      <w:r>
        <w:t>—</w:t>
      </w:r>
      <w:r>
        <w:rPr>
          <w:rStyle w:val="CharSDivText"/>
        </w:rPr>
        <w:t> </w:t>
      </w:r>
      <w:r>
        <w:rPr>
          <w:rStyle w:val="CharSchText"/>
        </w:rPr>
        <w:t>Forms</w:t>
      </w:r>
      <w:bookmarkEnd w:id="31"/>
    </w:p>
    <w:p>
      <w:pPr>
        <w:pStyle w:val="yShoulderClause"/>
      </w:pPr>
      <w:r>
        <w:t>[r. 12]</w:t>
      </w:r>
    </w:p>
    <w:p>
      <w:pPr>
        <w:pStyle w:val="yFootnoteheading"/>
        <w:spacing w:before="40"/>
      </w:pPr>
      <w:r>
        <w:tab/>
        <w:t>[Heading inserted in Gazette 13 May 2005 p. 2081.]</w:t>
      </w:r>
    </w:p>
    <w:p>
      <w:pPr>
        <w:pStyle w:val="yHeading5"/>
        <w:spacing w:before="160"/>
      </w:pPr>
      <w:bookmarkStart w:id="32" w:name="_Toc408823239"/>
      <w:r>
        <w:rPr>
          <w:rStyle w:val="CharSClsNo"/>
        </w:rPr>
        <w:t>1</w:t>
      </w:r>
      <w:r>
        <w:t>.</w:t>
      </w:r>
      <w:r>
        <w:tab/>
        <w:t>Notice of withdrawal for the purposes of Act s. 22</w:t>
      </w:r>
      <w:bookmarkEnd w:id="32"/>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33" w:name="_Toc408823240"/>
      <w:r>
        <w:rPr>
          <w:rStyle w:val="CharSClsNo"/>
        </w:rPr>
        <w:t>2</w:t>
      </w:r>
      <w:r>
        <w:t>.</w:t>
      </w:r>
      <w:r>
        <w:tab/>
        <w:t>Enforcement warrant for the purposes of Act s. 21A and 45 (and Part 5)</w:t>
      </w:r>
      <w:bookmarkEnd w:id="33"/>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34" w:name="_Toc408823241"/>
      <w:r>
        <w:rPr>
          <w:rStyle w:val="CharSClsNo"/>
        </w:rPr>
        <w:t>3</w:t>
      </w:r>
      <w:r>
        <w:rPr>
          <w:snapToGrid w:val="0"/>
        </w:rPr>
        <w:t>.</w:t>
      </w:r>
      <w:r>
        <w:rPr>
          <w:snapToGrid w:val="0"/>
        </w:rPr>
        <w:tab/>
        <w:t xml:space="preserve">Warrant of commitment for the purposes of Act s. 53 (and </w:t>
      </w:r>
      <w:r>
        <w:t>Part 5</w:t>
      </w:r>
      <w:r>
        <w:rPr>
          <w:snapToGrid w:val="0"/>
        </w:rPr>
        <w:t>)</w:t>
      </w:r>
      <w:bookmarkEnd w:id="34"/>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35" w:name="_Toc408823242"/>
      <w:r>
        <w:rPr>
          <w:rStyle w:val="CharSClsNo"/>
        </w:rPr>
        <w:t>4</w:t>
      </w:r>
      <w:r>
        <w:rPr>
          <w:snapToGrid w:val="0"/>
        </w:rPr>
        <w:t>.</w:t>
      </w:r>
      <w:r>
        <w:rPr>
          <w:snapToGrid w:val="0"/>
        </w:rPr>
        <w:tab/>
        <w:t>Enforcement warrant for the purposes of Act s. 61</w:t>
      </w:r>
      <w:bookmarkEnd w:id="35"/>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36" w:name="_Toc408823243"/>
      <w:r>
        <w:rPr>
          <w:rStyle w:val="CharSClsNo"/>
        </w:rPr>
        <w:t>6A</w:t>
      </w:r>
      <w:r>
        <w:t>.</w:t>
      </w:r>
      <w:r>
        <w:tab/>
        <w:t>Memorial of land for the purposes of Act s. 89(2)</w:t>
      </w:r>
      <w:bookmarkEnd w:id="36"/>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37" w:name="_Toc408823244"/>
      <w:r>
        <w:rPr>
          <w:rStyle w:val="CharSClsNo"/>
        </w:rPr>
        <w:t>6B</w:t>
      </w:r>
      <w:r>
        <w:t>.</w:t>
      </w:r>
      <w:r>
        <w:tab/>
        <w:t>Withdrawal of memorial of land for the purposes of Act s. 90</w:t>
      </w:r>
      <w:bookmarkEnd w:id="37"/>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38" w:name="_Toc408823245"/>
      <w:r>
        <w:rPr>
          <w:rStyle w:val="CharSClsNo"/>
        </w:rPr>
        <w:t>8</w:t>
      </w:r>
      <w:r>
        <w:t>.</w:t>
      </w:r>
      <w:r>
        <w:tab/>
        <w:t>Certificate under Act s. 101C(1) (Part 3 proceedings)</w:t>
      </w:r>
      <w:bookmarkEnd w:id="38"/>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39" w:name="_Toc408823246"/>
      <w:r>
        <w:rPr>
          <w:rStyle w:val="CharSClsNo"/>
        </w:rPr>
        <w:t>9</w:t>
      </w:r>
      <w:r>
        <w:t>.</w:t>
      </w:r>
      <w:r>
        <w:tab/>
        <w:t>Certificate under Act s. 101C(1) (Part 4 proceedings)</w:t>
      </w:r>
      <w:bookmarkEnd w:id="39"/>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40" w:name="_Toc408823247"/>
      <w:r>
        <w:rPr>
          <w:rStyle w:val="CharSClsNo"/>
        </w:rPr>
        <w:t>10</w:t>
      </w:r>
      <w:r>
        <w:t>.</w:t>
      </w:r>
      <w:r>
        <w:tab/>
        <w:t>Certificate under Act s. 101C(2A) (Part 3 proceedings)</w:t>
      </w:r>
      <w:bookmarkEnd w:id="40"/>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41" w:name="_Toc408823248"/>
      <w:r>
        <w:rPr>
          <w:rStyle w:val="CharSClsNo"/>
        </w:rPr>
        <w:t>11</w:t>
      </w:r>
      <w:r>
        <w:t>.</w:t>
      </w:r>
      <w:r>
        <w:tab/>
        <w:t>Certificate under Act s. 101C(2A) (Part 4 proceedings)</w:t>
      </w:r>
      <w:bookmarkEnd w:id="41"/>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ageBreakBefore/>
      </w:pPr>
      <w:bookmarkStart w:id="42" w:name="_Toc408823249"/>
      <w:r>
        <w:t>Notes</w:t>
      </w:r>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43" w:name="_Toc408823250"/>
      <w:r>
        <w:t>Compilation table</w:t>
      </w:r>
      <w:bookmarkEnd w:id="4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i/>
                <w:sz w:val="19"/>
              </w:rPr>
            </w:pPr>
            <w:r>
              <w:rPr>
                <w:i/>
                <w:sz w:val="19"/>
              </w:rPr>
              <w:t>Fines, Penalties and Infringement Notices Enforcement Amendment Regulations 1997</w:t>
            </w:r>
            <w:r>
              <w:rPr>
                <w:sz w:val="19"/>
                <w:vertAlign w:val="superscript"/>
              </w:rPr>
              <w:t> 6</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rPr>
              <w:t>r. 1 and 2: 11 Mar 2008 (see r. 2(a));</w:t>
            </w:r>
            <w:r>
              <w:rPr>
                <w:snapToGrid w:val="0"/>
                <w:sz w:val="19"/>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rPr>
            </w:pPr>
            <w:r>
              <w:rPr>
                <w:snapToGrid w:val="0"/>
                <w:sz w:val="19"/>
              </w:rPr>
              <w:t>r. 1 and 2: 27 Mar 2008 (see r. 2(a));</w:t>
            </w:r>
            <w:r>
              <w:rPr>
                <w:snapToGrid w:val="0"/>
                <w:sz w:val="19"/>
              </w:rPr>
              <w:br/>
              <w:t xml:space="preserve">Regulations other than r. 1 and 2: 28 Mar 2008 (see r. 2(b) and </w:t>
            </w:r>
            <w:r>
              <w:rPr>
                <w:i/>
                <w:iCs/>
                <w:snapToGrid w:val="0"/>
                <w:sz w:val="19"/>
              </w:rPr>
              <w:t>Gazette</w:t>
            </w:r>
            <w:r>
              <w:rPr>
                <w:snapToGrid w:val="0"/>
                <w:sz w:val="19"/>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rPr>
            </w:pPr>
            <w:r>
              <w:rPr>
                <w:snapToGrid w:val="0"/>
                <w:sz w:val="19"/>
              </w:rPr>
              <w:t>r. 1 and 2: 4 Jul 2008 (see r. 2(a));</w:t>
            </w:r>
            <w:r>
              <w:rPr>
                <w:snapToGrid w:val="0"/>
                <w:sz w:val="19"/>
              </w:rPr>
              <w:br/>
              <w:t>Regulations other than r. 1 and 2: 5 Jul 2008 (see r. 2(b))</w:t>
            </w:r>
          </w:p>
        </w:tc>
      </w:tr>
      <w:tr>
        <w:trPr>
          <w:cantSplit/>
        </w:trPr>
        <w:tc>
          <w:tcPr>
            <w:tcW w:w="7087" w:type="dxa"/>
            <w:gridSpan w:val="3"/>
          </w:tcPr>
          <w:p>
            <w:pPr>
              <w:pStyle w:val="nTable"/>
              <w:spacing w:after="40"/>
              <w:rPr>
                <w:snapToGrid w:val="0"/>
                <w:sz w:val="19"/>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rPr>
            </w:pPr>
            <w:r>
              <w:rPr>
                <w:snapToGrid w:val="0"/>
                <w:sz w:val="19"/>
              </w:rPr>
              <w:t>r. 1 and 2: 29 Jan 2010 (see r. 2(a));</w:t>
            </w:r>
            <w:r>
              <w:rPr>
                <w:snapToGrid w:val="0"/>
                <w:sz w:val="19"/>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rPr>
            </w:pPr>
            <w:r>
              <w:rPr>
                <w:snapToGrid w:val="0"/>
                <w:sz w:val="19"/>
              </w:rPr>
              <w:t>r. 1 and 2: 17 Sep 2010 (see r. 2(a));</w:t>
            </w:r>
            <w:r>
              <w:rPr>
                <w:snapToGrid w:val="0"/>
                <w:sz w:val="19"/>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rPr>
            </w:pPr>
            <w:r>
              <w:rPr>
                <w:snapToGrid w:val="0"/>
                <w:sz w:val="19"/>
              </w:rPr>
              <w:t>r. 1 and 2: 17 Jun 2011 (see r. 2(a));</w:t>
            </w:r>
            <w:r>
              <w:rPr>
                <w:snapToGrid w:val="0"/>
                <w:sz w:val="19"/>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rPr>
            </w:pPr>
            <w:r>
              <w:rPr>
                <w:snapToGrid w:val="0"/>
                <w:sz w:val="19"/>
              </w:rPr>
              <w:t>r. 1 and 2: 13 Dec 2011 (see r. 2(a));</w:t>
            </w:r>
            <w:r>
              <w:rPr>
                <w:snapToGrid w:val="0"/>
                <w:sz w:val="19"/>
              </w:rPr>
              <w:br/>
              <w:t>Regulations other than r. 1 and 2: 14 Dec 2011 (see r. 2(b))</w:t>
            </w:r>
          </w:p>
        </w:tc>
      </w:tr>
      <w:tr>
        <w:trPr>
          <w:cantSplit/>
        </w:trPr>
        <w:tc>
          <w:tcPr>
            <w:tcW w:w="7087" w:type="dxa"/>
            <w:gridSpan w:val="3"/>
            <w:shd w:val="clear" w:color="auto" w:fill="auto"/>
          </w:tcPr>
          <w:p>
            <w:pPr>
              <w:pStyle w:val="nTable"/>
              <w:spacing w:after="40"/>
              <w:rPr>
                <w:snapToGrid w:val="0"/>
                <w:sz w:val="19"/>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rPr>
            </w:pPr>
            <w:r>
              <w:rPr>
                <w:snapToGrid w:val="0"/>
                <w:sz w:val="19"/>
              </w:rPr>
              <w:t>r. 1 and 2: 16 Mar 2012 (see r. 2(a));</w:t>
            </w:r>
            <w:r>
              <w:rPr>
                <w:snapToGrid w:val="0"/>
                <w:sz w:val="19"/>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rPr>
            </w:pPr>
            <w:r>
              <w:rPr>
                <w:snapToGrid w:val="0"/>
                <w:sz w:val="19"/>
              </w:rPr>
              <w:t>r. 1 and 2: 23 Mar 2012 (see r. 2(a));</w:t>
            </w:r>
            <w:r>
              <w:rPr>
                <w:snapToGrid w:val="0"/>
                <w:sz w:val="19"/>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rPr>
            </w:pPr>
            <w:r>
              <w:rPr>
                <w:snapToGrid w:val="0"/>
                <w:sz w:val="19"/>
              </w:rPr>
              <w:t>r. 1 and 2: 8 Jun  2012 (see r. 2(a));</w:t>
            </w:r>
            <w:r>
              <w:rPr>
                <w:snapToGrid w:val="0"/>
                <w:sz w:val="19"/>
              </w:rPr>
              <w:br/>
              <w:t>Regulations other than r. 1 and 2: 9 Jun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shd w:val="clear" w:color="auto" w:fill="auto"/>
          </w:tcPr>
          <w:p>
            <w:pPr>
              <w:pStyle w:val="nTable"/>
              <w:spacing w:after="40"/>
              <w:rPr>
                <w:sz w:val="19"/>
              </w:rPr>
            </w:pPr>
            <w:r>
              <w:rPr>
                <w:sz w:val="19"/>
              </w:rPr>
              <w:t>23 Nov 2012 p. 5721</w:t>
            </w:r>
          </w:p>
        </w:tc>
        <w:tc>
          <w:tcPr>
            <w:tcW w:w="2693" w:type="dxa"/>
            <w:shd w:val="clear" w:color="auto" w:fill="auto"/>
          </w:tcPr>
          <w:p>
            <w:pPr>
              <w:pStyle w:val="nTable"/>
              <w:spacing w:after="40"/>
              <w:rPr>
                <w:snapToGrid w:val="0"/>
                <w:sz w:val="19"/>
              </w:rPr>
            </w:pPr>
            <w:r>
              <w:rPr>
                <w:snapToGrid w:val="0"/>
                <w:sz w:val="19"/>
              </w:rPr>
              <w:t>r. 1 and 2: 23 Nov 2012 (see r. 2(a));</w:t>
            </w:r>
            <w:r>
              <w:rPr>
                <w:snapToGrid w:val="0"/>
                <w:sz w:val="19"/>
              </w:rPr>
              <w:br/>
              <w:t>Regulations other than r. 1 and 2: 24 Nov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2013</w:t>
            </w:r>
          </w:p>
        </w:tc>
        <w:tc>
          <w:tcPr>
            <w:tcW w:w="1276" w:type="dxa"/>
            <w:shd w:val="clear" w:color="auto" w:fill="auto"/>
          </w:tcPr>
          <w:p>
            <w:pPr>
              <w:pStyle w:val="nTable"/>
              <w:spacing w:after="40"/>
              <w:rPr>
                <w:sz w:val="19"/>
              </w:rPr>
            </w:pPr>
            <w:r>
              <w:rPr>
                <w:sz w:val="19"/>
              </w:rPr>
              <w:t>5 Feb 2013 p. 835</w:t>
            </w:r>
            <w:r>
              <w:rPr>
                <w:sz w:val="19"/>
              </w:rPr>
              <w:noBreakHyphen/>
              <w:t>6</w:t>
            </w:r>
          </w:p>
        </w:tc>
        <w:tc>
          <w:tcPr>
            <w:tcW w:w="2693" w:type="dxa"/>
            <w:shd w:val="clear" w:color="auto" w:fill="auto"/>
          </w:tcPr>
          <w:p>
            <w:pPr>
              <w:pStyle w:val="nTable"/>
              <w:spacing w:after="40"/>
              <w:rPr>
                <w:rFonts w:ascii="Arial" w:hAnsi="Arial"/>
                <w:snapToGrid w:val="0"/>
                <w:sz w:val="19"/>
              </w:rPr>
            </w:pPr>
            <w:r>
              <w:rPr>
                <w:snapToGrid w:val="0"/>
                <w:sz w:val="19"/>
              </w:rPr>
              <w:t>r. 1 and 2: 5 Feb 2013 (see r. 2(a));</w:t>
            </w:r>
            <w:r>
              <w:rPr>
                <w:snapToGrid w:val="0"/>
                <w:sz w:val="19"/>
              </w:rPr>
              <w:br/>
              <w:t xml:space="preserve">Regulations other than r. 1 and 2: </w:t>
            </w:r>
            <w:r>
              <w:rPr>
                <w:sz w:val="19"/>
              </w:rPr>
              <w:t xml:space="preserve">1 May 2013 (see r. 2(b) and </w:t>
            </w:r>
            <w:r>
              <w:rPr>
                <w:i/>
                <w:sz w:val="19"/>
              </w:rPr>
              <w:t>Gazette</w:t>
            </w:r>
            <w:r>
              <w:rPr>
                <w:sz w:val="19"/>
              </w:rPr>
              <w:t xml:space="preserve"> 5 Feb 2013 p. 823)</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2013</w:t>
            </w:r>
          </w:p>
        </w:tc>
        <w:tc>
          <w:tcPr>
            <w:tcW w:w="1276" w:type="dxa"/>
            <w:shd w:val="clear" w:color="auto" w:fill="auto"/>
          </w:tcPr>
          <w:p>
            <w:pPr>
              <w:pStyle w:val="nTable"/>
              <w:spacing w:after="40"/>
              <w:rPr>
                <w:sz w:val="19"/>
              </w:rPr>
            </w:pPr>
            <w:r>
              <w:rPr>
                <w:sz w:val="19"/>
              </w:rPr>
              <w:t>10 May 2013 p. 1936</w:t>
            </w:r>
            <w:r>
              <w:rPr>
                <w:sz w:val="19"/>
              </w:rPr>
              <w:noBreakHyphen/>
              <w:t>7</w:t>
            </w:r>
          </w:p>
        </w:tc>
        <w:tc>
          <w:tcPr>
            <w:tcW w:w="2693" w:type="dxa"/>
            <w:shd w:val="clear" w:color="auto" w:fill="auto"/>
          </w:tcPr>
          <w:p>
            <w:pPr>
              <w:pStyle w:val="nTable"/>
              <w:spacing w:after="40"/>
              <w:rPr>
                <w:rFonts w:ascii="Arial" w:hAnsi="Arial"/>
                <w:snapToGrid w:val="0"/>
                <w:sz w:val="19"/>
              </w:rPr>
            </w:pPr>
            <w:r>
              <w:rPr>
                <w:snapToGrid w:val="0"/>
                <w:spacing w:val="-2"/>
                <w:sz w:val="19"/>
              </w:rPr>
              <w:t>r. 1 and 2: 10 May 2013 (see r. 2(a));</w:t>
            </w:r>
            <w:r>
              <w:rPr>
                <w:snapToGrid w:val="0"/>
                <w:spacing w:val="-2"/>
                <w:sz w:val="19"/>
              </w:rPr>
              <w:br/>
              <w:t>Regulations other than r. 1 and 2: 11 May 2013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2013</w:t>
            </w:r>
          </w:p>
        </w:tc>
        <w:tc>
          <w:tcPr>
            <w:tcW w:w="1276" w:type="dxa"/>
            <w:shd w:val="clear" w:color="auto" w:fill="auto"/>
          </w:tcPr>
          <w:p>
            <w:pPr>
              <w:pStyle w:val="nTable"/>
              <w:spacing w:after="40"/>
              <w:rPr>
                <w:sz w:val="19"/>
              </w:rPr>
            </w:pPr>
            <w:r>
              <w:rPr>
                <w:sz w:val="19"/>
              </w:rPr>
              <w:t>20 Aug 2013 p. 3877</w:t>
            </w:r>
            <w:r>
              <w:rPr>
                <w:sz w:val="19"/>
              </w:rPr>
              <w:noBreakHyphen/>
              <w:t>94</w:t>
            </w:r>
          </w:p>
        </w:tc>
        <w:tc>
          <w:tcPr>
            <w:tcW w:w="2693" w:type="dxa"/>
            <w:shd w:val="clear" w:color="auto" w:fill="auto"/>
          </w:tcPr>
          <w:p>
            <w:pPr>
              <w:pStyle w:val="nTable"/>
              <w:spacing w:after="40"/>
              <w:rPr>
                <w:rFonts w:ascii="Arial" w:hAnsi="Arial"/>
                <w:b/>
                <w:snapToGrid w:val="0"/>
                <w:spacing w:val="-2"/>
                <w:sz w:val="19"/>
              </w:rPr>
            </w:pPr>
            <w:r>
              <w:rPr>
                <w:snapToGrid w:val="0"/>
                <w:spacing w:val="-2"/>
                <w:sz w:val="19"/>
              </w:rPr>
              <w:t>r. 1 and 2: 20 Aug 2013 (see r. 2(a));</w:t>
            </w:r>
            <w:r>
              <w:rPr>
                <w:snapToGrid w:val="0"/>
                <w:spacing w:val="-2"/>
                <w:sz w:val="19"/>
              </w:rPr>
              <w:br/>
              <w:t>r. 13: 21 Aug 2013 (see r. 2(b));</w:t>
            </w:r>
            <w:r>
              <w:rPr>
                <w:snapToGrid w:val="0"/>
                <w:spacing w:val="-2"/>
                <w:sz w:val="19"/>
              </w:rPr>
              <w:br/>
              <w:t xml:space="preserve">Regulations other than r. 1, 2 and 13: 21 Aug 2013 (see r. 2(c) and </w:t>
            </w:r>
            <w:r>
              <w:rPr>
                <w:i/>
                <w:snapToGrid w:val="0"/>
                <w:spacing w:val="-2"/>
                <w:sz w:val="19"/>
              </w:rPr>
              <w:t>Gazette</w:t>
            </w:r>
            <w:r>
              <w:rPr>
                <w:snapToGrid w:val="0"/>
                <w:spacing w:val="-2"/>
                <w:sz w:val="19"/>
              </w:rPr>
              <w:t xml:space="preserve"> 20 Aug 2013 p. 3815)</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2013</w:t>
            </w:r>
          </w:p>
        </w:tc>
        <w:tc>
          <w:tcPr>
            <w:tcW w:w="1276" w:type="dxa"/>
            <w:shd w:val="clear" w:color="auto" w:fill="auto"/>
          </w:tcPr>
          <w:p>
            <w:pPr>
              <w:pStyle w:val="nTable"/>
              <w:spacing w:after="40"/>
              <w:rPr>
                <w:sz w:val="19"/>
              </w:rPr>
            </w:pPr>
            <w:r>
              <w:rPr>
                <w:sz w:val="19"/>
              </w:rPr>
              <w:t>3 Dec 2013 p. 5624</w:t>
            </w:r>
            <w:r>
              <w:rPr>
                <w:sz w:val="19"/>
              </w:rPr>
              <w:noBreakHyphen/>
              <w:t>5</w:t>
            </w:r>
          </w:p>
        </w:tc>
        <w:tc>
          <w:tcPr>
            <w:tcW w:w="2693" w:type="dxa"/>
            <w:shd w:val="clear" w:color="auto" w:fill="auto"/>
          </w:tcPr>
          <w:p>
            <w:pPr>
              <w:pStyle w:val="nTable"/>
              <w:spacing w:after="40"/>
              <w:rPr>
                <w:snapToGrid w:val="0"/>
                <w:spacing w:val="-2"/>
                <w:sz w:val="19"/>
              </w:rPr>
            </w:pPr>
            <w:r>
              <w:rPr>
                <w:bCs/>
                <w:snapToGrid w:val="0"/>
                <w:spacing w:val="-2"/>
                <w:sz w:val="19"/>
                <w:szCs w:val="19"/>
              </w:rPr>
              <w:t>r. 1 and 2: 3 Dec 2013 (see r. 2(a));</w:t>
            </w:r>
            <w:r>
              <w:rPr>
                <w:bCs/>
                <w:snapToGrid w:val="0"/>
                <w:spacing w:val="-2"/>
                <w:sz w:val="19"/>
                <w:szCs w:val="19"/>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sz w:val="19"/>
              </w:rPr>
            </w:pPr>
            <w:r>
              <w:rPr>
                <w:b/>
                <w:sz w:val="19"/>
              </w:rPr>
              <w:t xml:space="preserve">Reprint 6: The </w:t>
            </w:r>
            <w:r>
              <w:rPr>
                <w:b/>
                <w:i/>
                <w:sz w:val="19"/>
              </w:rPr>
              <w:t>Fines, Penalties and Infringement Notices Enforcement Regulations 1994</w:t>
            </w:r>
            <w:r>
              <w:rPr>
                <w:b/>
                <w:sz w:val="19"/>
              </w:rPr>
              <w:t xml:space="preserve"> as at 6 Dec 2013</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2014</w:t>
            </w:r>
          </w:p>
        </w:tc>
        <w:tc>
          <w:tcPr>
            <w:tcW w:w="1276" w:type="dxa"/>
            <w:shd w:val="clear" w:color="auto" w:fill="auto"/>
          </w:tcPr>
          <w:p>
            <w:pPr>
              <w:pStyle w:val="nTable"/>
              <w:spacing w:after="40"/>
              <w:rPr>
                <w:sz w:val="19"/>
              </w:rPr>
            </w:pPr>
            <w:r>
              <w:rPr>
                <w:sz w:val="19"/>
              </w:rPr>
              <w:t>20 Jun 2014 p. 2026</w:t>
            </w:r>
          </w:p>
        </w:tc>
        <w:tc>
          <w:tcPr>
            <w:tcW w:w="2693" w:type="dxa"/>
            <w:shd w:val="clear" w:color="auto" w:fill="auto"/>
          </w:tcPr>
          <w:p>
            <w:pPr>
              <w:pStyle w:val="nTable"/>
              <w:spacing w:after="40"/>
              <w:rPr>
                <w:snapToGrid w:val="0"/>
                <w:spacing w:val="-2"/>
                <w:sz w:val="19"/>
              </w:rPr>
            </w:pPr>
            <w:r>
              <w:rPr>
                <w:bCs/>
                <w:snapToGrid w:val="0"/>
                <w:spacing w:val="-2"/>
                <w:sz w:val="19"/>
                <w:szCs w:val="19"/>
              </w:rPr>
              <w:t>r. 1 and 2: 20 Jun 2014 (see r. 2(a));</w:t>
            </w:r>
            <w:r>
              <w:rPr>
                <w:bCs/>
                <w:snapToGrid w:val="0"/>
                <w:spacing w:val="-2"/>
                <w:sz w:val="19"/>
                <w:szCs w:val="19"/>
              </w:rPr>
              <w:br/>
              <w:t>Regulations other than r. 1 and 2: 21 Jun 2014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2014</w:t>
            </w:r>
          </w:p>
        </w:tc>
        <w:tc>
          <w:tcPr>
            <w:tcW w:w="1276" w:type="dxa"/>
            <w:shd w:val="clear" w:color="auto" w:fill="auto"/>
          </w:tcPr>
          <w:p>
            <w:pPr>
              <w:pStyle w:val="nTable"/>
              <w:spacing w:after="40"/>
              <w:rPr>
                <w:sz w:val="19"/>
              </w:rPr>
            </w:pPr>
            <w:r>
              <w:rPr>
                <w:sz w:val="19"/>
              </w:rPr>
              <w:t>4 Jul 2014 p. 2363-4</w:t>
            </w:r>
          </w:p>
        </w:tc>
        <w:tc>
          <w:tcPr>
            <w:tcW w:w="2693" w:type="dxa"/>
            <w:shd w:val="clear" w:color="auto" w:fill="auto"/>
          </w:tcPr>
          <w:p>
            <w:pPr>
              <w:pStyle w:val="nTable"/>
              <w:spacing w:after="40"/>
              <w:rPr>
                <w:bCs/>
                <w:snapToGrid w:val="0"/>
                <w:spacing w:val="-2"/>
                <w:sz w:val="19"/>
                <w:szCs w:val="19"/>
              </w:rPr>
            </w:pPr>
            <w:r>
              <w:rPr>
                <w:bCs/>
                <w:snapToGrid w:val="0"/>
                <w:spacing w:val="-2"/>
                <w:sz w:val="19"/>
                <w:szCs w:val="19"/>
              </w:rPr>
              <w:t>r. 1 and 2: 4 Jul 2014 (see r. 2(a));</w:t>
            </w:r>
            <w:r>
              <w:rPr>
                <w:bCs/>
                <w:snapToGrid w:val="0"/>
                <w:spacing w:val="-2"/>
                <w:sz w:val="19"/>
                <w:szCs w:val="19"/>
              </w:rPr>
              <w:br/>
              <w:t>Regulations other than r. 1 and 2: 5 Jul 2014 (see r. 2(b)(ii))</w:t>
            </w:r>
          </w:p>
        </w:tc>
      </w:tr>
      <w:tr>
        <w:trPr>
          <w:cantSplit/>
        </w:trPr>
        <w:tc>
          <w:tcPr>
            <w:tcW w:w="3118" w:type="dxa"/>
            <w:tcBorders>
              <w:bottom w:val="single" w:sz="4" w:space="0" w:color="auto"/>
            </w:tcBorders>
            <w:shd w:val="clear" w:color="auto" w:fill="auto"/>
          </w:tcPr>
          <w:p>
            <w:pPr>
              <w:pStyle w:val="nTable"/>
              <w:spacing w:after="40"/>
              <w:ind w:right="170"/>
              <w:rPr>
                <w:sz w:val="19"/>
              </w:rPr>
            </w:pPr>
            <w:r>
              <w:rPr>
                <w:i/>
                <w:sz w:val="19"/>
              </w:rPr>
              <w:t>Fines, Penalties and Infringement Notices Enforcement Amendment Regulations (No. 6) 2014</w:t>
            </w:r>
          </w:p>
        </w:tc>
        <w:tc>
          <w:tcPr>
            <w:tcW w:w="1276" w:type="dxa"/>
            <w:tcBorders>
              <w:bottom w:val="single" w:sz="4" w:space="0" w:color="auto"/>
            </w:tcBorders>
            <w:shd w:val="clear" w:color="auto" w:fill="auto"/>
          </w:tcPr>
          <w:p>
            <w:pPr>
              <w:pStyle w:val="nTable"/>
              <w:spacing w:after="40"/>
              <w:rPr>
                <w:sz w:val="19"/>
                <w:vertAlign w:val="superscript"/>
              </w:rPr>
            </w:pPr>
            <w:r>
              <w:rPr>
                <w:sz w:val="19"/>
              </w:rPr>
              <w:t>13 Jan 2015 p. 249</w:t>
            </w:r>
            <w:r>
              <w:rPr>
                <w:sz w:val="19"/>
              </w:rPr>
              <w:noBreakHyphen/>
              <w:t>50</w:t>
            </w:r>
          </w:p>
        </w:tc>
        <w:tc>
          <w:tcPr>
            <w:tcW w:w="2693" w:type="dxa"/>
            <w:tcBorders>
              <w:bottom w:val="single" w:sz="4" w:space="0" w:color="auto"/>
            </w:tcBorders>
            <w:shd w:val="clear" w:color="auto" w:fill="auto"/>
          </w:tcPr>
          <w:p>
            <w:pPr>
              <w:pStyle w:val="nTable"/>
              <w:spacing w:after="40"/>
              <w:rPr>
                <w:bCs/>
                <w:snapToGrid w:val="0"/>
                <w:spacing w:val="-2"/>
                <w:sz w:val="19"/>
                <w:szCs w:val="19"/>
              </w:rPr>
            </w:pPr>
            <w:r>
              <w:rPr>
                <w:bCs/>
                <w:snapToGrid w:val="0"/>
                <w:spacing w:val="-2"/>
                <w:sz w:val="19"/>
                <w:szCs w:val="19"/>
              </w:rPr>
              <w:t>r. 1 and 2: 13 Jan 2015 (see r. 2(a));</w:t>
            </w:r>
            <w:r>
              <w:rPr>
                <w:bCs/>
                <w:snapToGrid w:val="0"/>
                <w:spacing w:val="-2"/>
                <w:sz w:val="19"/>
                <w:szCs w:val="19"/>
              </w:rPr>
              <w:br/>
              <w:t>Regulations other than r. 1 and 2: 14 Jan 2015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pPr>
    </w:p>
    <w:p>
      <w:pPr>
        <w:pStyle w:val="nHeading2"/>
        <w:rPr>
          <w:sz w:val="28"/>
        </w:rPr>
      </w:pPr>
      <w:bookmarkStart w:id="44" w:name="_Toc408823251"/>
      <w:r>
        <w:rPr>
          <w:sz w:val="28"/>
        </w:rPr>
        <w:t>Defined terms</w:t>
      </w:r>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 w:name="DefinedTerms"/>
      <w:bookmarkEnd w:id="45"/>
      <w:r>
        <w:t>GST</w:t>
      </w:r>
      <w:r>
        <w:tab/>
        <w:t>3AA(1)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348" w:type="dxa"/>
        </w:tcPr>
        <w:p>
          <w:pPr>
            <w:pStyle w:val="HeaderNumberLeft"/>
          </w:pPr>
          <w:r>
            <w:t>Schedule 1</w:t>
          </w:r>
        </w:p>
      </w:tc>
      <w:tc>
        <w:tcPr>
          <w:tcW w:w="5915" w:type="dxa"/>
        </w:tcPr>
        <w:p>
          <w:pPr>
            <w:pStyle w:val="HeaderTextRight"/>
            <w:jc w:val="left"/>
          </w:pPr>
          <w:r>
            <w:rPr>
              <w:noProof/>
            </w:rPr>
            <w:t>Forms</w:t>
          </w:r>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rPr>
              <w:b w:val="0"/>
            </w:rPr>
          </w:pPr>
          <w:r>
            <w:ptab w:relativeTo="margin" w:alignment="left" w:leader="none"/>
          </w: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9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112105049"/>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58EF-16E6-490B-8298-96FE273E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8661</Words>
  <Characters>43915</Characters>
  <Application>Microsoft Office Word</Application>
  <DocSecurity>0</DocSecurity>
  <Lines>1756</Lines>
  <Paragraphs>1072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1994 - 06-d0-00</dc:title>
  <dc:subject/>
  <dc:creator/>
  <cp:keywords/>
  <dc:description/>
  <cp:lastModifiedBy>svcMRProcess</cp:lastModifiedBy>
  <cp:revision>4</cp:revision>
  <cp:lastPrinted>2013-12-12T01:31:00Z</cp:lastPrinted>
  <dcterms:created xsi:type="dcterms:W3CDTF">2020-02-25T17:55:00Z</dcterms:created>
  <dcterms:modified xsi:type="dcterms:W3CDTF">2020-02-25T17:55:00Z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20150114</vt:lpwstr>
  </property>
  <property fmtid="{D5CDD505-2E9C-101B-9397-08002B2CF9AE}" pid="4" name="DocumentType">
    <vt:lpwstr>Reg</vt:lpwstr>
  </property>
  <property fmtid="{D5CDD505-2E9C-101B-9397-08002B2CF9AE}" pid="5" name="OwlsUID">
    <vt:i4>4443</vt:i4>
  </property>
  <property fmtid="{D5CDD505-2E9C-101B-9397-08002B2CF9AE}" pid="6" name="AsAtDate">
    <vt:lpwstr>14 Jan 2015</vt:lpwstr>
  </property>
  <property fmtid="{D5CDD505-2E9C-101B-9397-08002B2CF9AE}" pid="7" name="Suffix">
    <vt:lpwstr>06-d0-00</vt:lpwstr>
  </property>
  <property fmtid="{D5CDD505-2E9C-101B-9397-08002B2CF9AE}" pid="8" name="ReprintNo">
    <vt:lpwstr>6</vt:lpwstr>
  </property>
  <property fmtid="{D5CDD505-2E9C-101B-9397-08002B2CF9AE}" pid="9" name="ReprintedAsAt">
    <vt:filetime>2013-12-05T16:00:00Z</vt:filetime>
  </property>
</Properties>
</file>