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Traffic Act 1919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 xml:space="preserve">Road Traffic Act 1974 </w:t>
      </w:r>
      <w:r>
        <w:rPr>
          <w:color w:val="000000"/>
          <w:sz w:val="22"/>
          <w:szCs w:val="22"/>
        </w:rPr>
        <w:t>s. 4 (No. 59 of 1974) as at 21 Feb 1975.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9090706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9090706" w:val="UsedStyles"/>
    <w:docVar w:name="WAFER_20160419090706_GUID" w:val="028919e7-6dac-4f48-8ec7-46b84453edc9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180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Traffic Act 1919 - 11-b0-02</dc:title>
  <dc:subject/>
  <dc:creator/>
  <cp:keywords/>
  <dc:description/>
  <cp:lastModifiedBy>svcMRProcess</cp:lastModifiedBy>
  <cp:revision>3</cp:revision>
  <dcterms:created xsi:type="dcterms:W3CDTF">2016-04-19T01:15:00Z</dcterms:created>
  <dcterms:modified xsi:type="dcterms:W3CDTF">2016-04-19T01:15:00Z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11-b0-02</vt:lpwstr>
  </property>
  <property fmtid="{D5CDD505-2E9C-101B-9397-08002B2CF9AE}" pid="3" name="AsAtDate">
    <vt:lpwstr>21 Feb 1975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19750221</vt:lpwstr>
  </property>
</Properties>
</file>