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Strata Titles Act 1966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Strata Titles Act 1985</w:t>
      </w:r>
      <w:r>
        <w:rPr>
          <w:color w:val="000000"/>
          <w:sz w:val="22"/>
          <w:szCs w:val="22"/>
        </w:rPr>
        <w:t xml:space="preserve"> s. 131 (No. 33 of 1985) as at 30 Jun 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551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5516" w:val="UsedStyles"/>
    <w:docVar w:name="WAFER_20160419085516_GUID" w:val="31ef3ff1-402a-40d1-ba63-84c9d0e4dd2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Strata Titles Act 1966 - 02-b0-02</dc:title>
  <dc:subject/>
  <dc:creator/>
  <cp:keywords/>
  <dc:description/>
  <cp:lastModifiedBy>svcMRProcess</cp:lastModifiedBy>
  <cp:revision>3</cp:revision>
  <dcterms:created xsi:type="dcterms:W3CDTF">2019-05-07T06:33:00Z</dcterms:created>
  <dcterms:modified xsi:type="dcterms:W3CDTF">2019-05-07T06:33:00Z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30 Jun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19850630</vt:lpwstr>
  </property>
</Properties>
</file>