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Tissue Grafting and Processing Act 1956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Human Tissue and Transplant Act 1982</w:t>
      </w:r>
      <w:r>
        <w:rPr>
          <w:color w:val="000000"/>
          <w:sz w:val="22"/>
          <w:szCs w:val="22"/>
        </w:rPr>
        <w:t xml:space="preserve"> s. 36(1) (No. 116 of 1982) as at 1 Mar 1983.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06" w:val="UsedStyles"/>
    <w:docVar w:name="WAFER_20160419090606_GUID" w:val="c9d79244-3d8d-498a-86b3-f44ac69118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 Grafting and Processing Act 1956 - 01-b0-02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Mar 1983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19830301</vt:lpwstr>
  </property>
</Properties>
</file>