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Alteration of Statutory Designations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February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Alteration of Statutory Designations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General</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_Toc412615768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_Toc412615769 \h </w:instrText>
      </w:r>
      <w:r>
        <w:fldChar w:fldCharType="separate"/>
      </w:r>
      <w:r>
        <w:t>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Terms used</w:t>
      </w:r>
      <w:r>
        <w:tab/>
      </w:r>
      <w:r>
        <w:fldChar w:fldCharType="begin"/>
      </w:r>
      <w:r>
        <w:instrText xml:space="preserve"> PAGEREF _Toc412615770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reference</w:t>
      </w:r>
      <w:r>
        <w:tab/>
      </w:r>
      <w:r>
        <w:fldChar w:fldCharType="begin"/>
      </w:r>
      <w:r>
        <w:instrText xml:space="preserve"> PAGEREF _Toc412615771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or revocation of Orders</w:t>
      </w:r>
      <w:r>
        <w:tab/>
      </w:r>
      <w:r>
        <w:fldChar w:fldCharType="begin"/>
      </w:r>
      <w:r>
        <w:instrText xml:space="preserve"> PAGEREF _Toc412615772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Effect of revocation of Order</w:t>
      </w:r>
      <w:r>
        <w:tab/>
      </w:r>
      <w:r>
        <w:fldChar w:fldCharType="begin"/>
      </w:r>
      <w:r>
        <w:instrText xml:space="preserve"> PAGEREF _Toc412615773 \h </w:instrText>
      </w:r>
      <w:r>
        <w:fldChar w:fldCharType="separate"/>
      </w:r>
      <w:r>
        <w:t>4</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Governor may rectify omissions</w:t>
      </w:r>
      <w:r>
        <w:tab/>
      </w:r>
      <w:r>
        <w:fldChar w:fldCharType="begin"/>
      </w:r>
      <w:r>
        <w:instrText xml:space="preserve"> PAGEREF _Toc412615774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 of prerogative powers</w:t>
      </w:r>
      <w:r>
        <w:tab/>
      </w:r>
      <w:r>
        <w:fldChar w:fldCharType="begin"/>
      </w:r>
      <w:r>
        <w:instrText xml:space="preserve"> PAGEREF _Toc412615775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_Toc412615777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February 2015</w:t>
            </w:r>
            <w:r>
              <w:rPr>
                <w:b/>
                <w:sz w:val="22"/>
              </w:rPr>
              <w:fldChar w:fldCharType="end"/>
            </w:r>
          </w:p>
        </w:tc>
      </w:tr>
    </w:tbl>
    <w:p>
      <w:pPr>
        <w:pStyle w:val="WA"/>
        <w:spacing w:before="12"/>
      </w:pPr>
      <w:r>
        <w:t>Western Australia</w:t>
      </w:r>
    </w:p>
    <w:p>
      <w:pPr>
        <w:pStyle w:val="NameofActReg"/>
        <w:spacing w:before="720" w:after="1440"/>
      </w:pPr>
      <w:r>
        <w:t xml:space="preserve">Alteration of Statutory Designations Act 1974 </w:t>
      </w:r>
    </w:p>
    <w:p>
      <w:pPr>
        <w:pStyle w:val="LongTitle"/>
        <w:rPr>
          <w:snapToGrid w:val="0"/>
        </w:rPr>
      </w:pPr>
      <w:r>
        <w:rPr>
          <w:snapToGrid w:val="0"/>
        </w:rPr>
        <w:t xml:space="preserve">An Act to facilitate the alteration of the style and title of Ministers of the Crown, offices and departments, and for purposes incidental thereto. </w:t>
      </w:r>
    </w:p>
    <w:p>
      <w:pPr>
        <w:pStyle w:val="Footnotelongtitle"/>
      </w:pPr>
      <w:r>
        <w:tab/>
        <w:t xml:space="preserve">[Long title amended: No. 62 of 1981 s. 2.] </w:t>
      </w:r>
    </w:p>
    <w:p>
      <w:pPr>
        <w:pStyle w:val="Heading2"/>
      </w:pPr>
      <w:bookmarkStart w:id="3" w:name="_Toc411611298"/>
      <w:bookmarkStart w:id="4" w:name="_Toc412615734"/>
      <w:bookmarkStart w:id="5" w:name="_Toc412615767"/>
      <w:r>
        <w:rPr>
          <w:rStyle w:val="CharPartNo"/>
        </w:rPr>
        <w:t>Part I</w:t>
      </w:r>
      <w:r>
        <w:rPr>
          <w:rStyle w:val="CharDivNo"/>
        </w:rPr>
        <w:t> </w:t>
      </w:r>
      <w:r>
        <w:t>—</w:t>
      </w:r>
      <w:r>
        <w:rPr>
          <w:rStyle w:val="CharDivText"/>
        </w:rPr>
        <w:t> </w:t>
      </w:r>
      <w:r>
        <w:rPr>
          <w:rStyle w:val="CharPartText"/>
        </w:rPr>
        <w:t>General</w:t>
      </w:r>
      <w:bookmarkEnd w:id="3"/>
      <w:bookmarkEnd w:id="4"/>
      <w:bookmarkEnd w:id="5"/>
      <w:r>
        <w:rPr>
          <w:rStyle w:val="CharPartText"/>
        </w:rPr>
        <w:t xml:space="preserve"> </w:t>
      </w:r>
    </w:p>
    <w:p>
      <w:pPr>
        <w:pStyle w:val="Heading5"/>
        <w:rPr>
          <w:snapToGrid w:val="0"/>
        </w:rPr>
      </w:pPr>
      <w:bookmarkStart w:id="6" w:name="_Toc411611299"/>
      <w:bookmarkStart w:id="7" w:name="_Toc412615768"/>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Alteration of Statutory Designations Act 1974 </w:t>
      </w:r>
      <w:r>
        <w:rPr>
          <w:snapToGrid w:val="0"/>
          <w:vertAlign w:val="superscript"/>
        </w:rPr>
        <w:t>1</w:t>
      </w:r>
      <w:r>
        <w:rPr>
          <w:snapToGrid w:val="0"/>
        </w:rPr>
        <w:t>.</w:t>
      </w:r>
    </w:p>
    <w:p>
      <w:pPr>
        <w:pStyle w:val="Footnotesection"/>
      </w:pPr>
      <w:r>
        <w:tab/>
        <w:t xml:space="preserve">[Section 1 amended: No. 62 of 1981 s. 3.] </w:t>
      </w:r>
    </w:p>
    <w:p>
      <w:pPr>
        <w:pStyle w:val="Heading5"/>
        <w:rPr>
          <w:snapToGrid w:val="0"/>
        </w:rPr>
      </w:pPr>
      <w:bookmarkStart w:id="8" w:name="_Toc411611300"/>
      <w:bookmarkStart w:id="9" w:name="_Toc41261576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or any Part thereof, shall come into operation on such date as is fixed by proclamation in relation thereto</w:t>
      </w:r>
      <w:r>
        <w:rPr>
          <w:snapToGrid w:val="0"/>
          <w:vertAlign w:val="superscript"/>
        </w:rPr>
        <w:t xml:space="preserve"> 1</w:t>
      </w:r>
      <w:r>
        <w:rPr>
          <w:snapToGrid w:val="0"/>
        </w:rPr>
        <w:t>.</w:t>
      </w:r>
    </w:p>
    <w:p>
      <w:pPr>
        <w:pStyle w:val="Heading5"/>
        <w:rPr>
          <w:snapToGrid w:val="0"/>
        </w:rPr>
      </w:pPr>
      <w:bookmarkStart w:id="10" w:name="_Toc411611301"/>
      <w:bookmarkStart w:id="11" w:name="_Toc412615770"/>
      <w:r>
        <w:rPr>
          <w:rStyle w:val="CharSectno"/>
        </w:rPr>
        <w:t>2A</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department</w:t>
      </w:r>
      <w:r>
        <w:t xml:space="preserve"> means any department or part of a department of the Government;</w:t>
      </w:r>
    </w:p>
    <w:p>
      <w:pPr>
        <w:pStyle w:val="Defstart"/>
      </w:pPr>
      <w:r>
        <w:rPr>
          <w:b/>
        </w:rPr>
        <w:tab/>
      </w:r>
      <w:r>
        <w:rPr>
          <w:rStyle w:val="CharDefText"/>
        </w:rPr>
        <w:t>Minister</w:t>
      </w:r>
      <w:r>
        <w:t xml:space="preserve"> means a principal executive office of the Government under the </w:t>
      </w:r>
      <w:r>
        <w:rPr>
          <w:i/>
        </w:rPr>
        <w:t>Constitution Acts Amendment Act 1899</w:t>
      </w:r>
      <w:r>
        <w:t>;</w:t>
      </w:r>
    </w:p>
    <w:p>
      <w:pPr>
        <w:pStyle w:val="Defstart"/>
      </w:pPr>
      <w:r>
        <w:rPr>
          <w:b/>
        </w:rPr>
        <w:tab/>
      </w:r>
      <w:r>
        <w:rPr>
          <w:rStyle w:val="CharDefText"/>
        </w:rPr>
        <w:t>office</w:t>
      </w:r>
      <w:r>
        <w:t xml:space="preserve"> includes any office in a department;</w:t>
      </w:r>
    </w:p>
    <w:p>
      <w:pPr>
        <w:pStyle w:val="Defstart"/>
      </w:pPr>
      <w:r>
        <w:rPr>
          <w:b/>
        </w:rPr>
        <w:tab/>
      </w:r>
      <w:r>
        <w:rPr>
          <w:rStyle w:val="CharDefText"/>
        </w:rPr>
        <w:t>reference</w:t>
      </w:r>
      <w:r>
        <w:t xml:space="preserve"> includes a reference otherwise than by designation, style or title.</w:t>
      </w:r>
    </w:p>
    <w:p>
      <w:pPr>
        <w:pStyle w:val="Footnotesection"/>
      </w:pPr>
      <w:r>
        <w:tab/>
        <w:t xml:space="preserve">[Section 2A inserted: No. 62 of 1981 s. 4.] </w:t>
      </w:r>
    </w:p>
    <w:p>
      <w:pPr>
        <w:pStyle w:val="Heading5"/>
        <w:spacing w:before="180"/>
        <w:rPr>
          <w:snapToGrid w:val="0"/>
        </w:rPr>
      </w:pPr>
      <w:bookmarkStart w:id="12" w:name="_Toc411611302"/>
      <w:bookmarkStart w:id="13" w:name="_Toc412615771"/>
      <w:r>
        <w:rPr>
          <w:rStyle w:val="CharSectno"/>
        </w:rPr>
        <w:t>3</w:t>
      </w:r>
      <w:r>
        <w:rPr>
          <w:snapToGrid w:val="0"/>
        </w:rPr>
        <w:t>.</w:t>
      </w:r>
      <w:r>
        <w:rPr>
          <w:snapToGrid w:val="0"/>
        </w:rPr>
        <w:tab/>
        <w:t>Change of reference</w:t>
      </w:r>
      <w:bookmarkEnd w:id="12"/>
      <w:bookmarkEnd w:id="13"/>
      <w:r>
        <w:rPr>
          <w:snapToGrid w:val="0"/>
        </w:rPr>
        <w:t xml:space="preserve"> </w:t>
      </w:r>
    </w:p>
    <w:p>
      <w:pPr>
        <w:pStyle w:val="Subsection"/>
        <w:spacing w:before="120"/>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the Governor — </w:t>
      </w:r>
    </w:p>
    <w:p>
      <w:pPr>
        <w:pStyle w:val="Indenti"/>
        <w:rPr>
          <w:snapToGrid w:val="0"/>
        </w:rPr>
      </w:pPr>
      <w:r>
        <w:rPr>
          <w:snapToGrid w:val="0"/>
        </w:rPr>
        <w:tab/>
        <w:t>(i)</w:t>
      </w:r>
      <w:r>
        <w:rPr>
          <w:snapToGrid w:val="0"/>
        </w:rPr>
        <w:tab/>
        <w:t xml:space="preserve">designates and declares a principal executive office of the Government for the purposes of the </w:t>
      </w:r>
      <w:r>
        <w:rPr>
          <w:i/>
          <w:snapToGrid w:val="0"/>
        </w:rPr>
        <w:t>Constitution Acts Amendment Act 1899</w:t>
      </w:r>
      <w:r>
        <w:rPr>
          <w:snapToGrid w:val="0"/>
        </w:rPr>
        <w:t xml:space="preserve"> and thereby changes the designation of a Minister;</w:t>
      </w:r>
    </w:p>
    <w:p>
      <w:pPr>
        <w:pStyle w:val="Indenti"/>
        <w:rPr>
          <w:snapToGrid w:val="0"/>
        </w:rPr>
      </w:pPr>
      <w:r>
        <w:rPr>
          <w:snapToGrid w:val="0"/>
        </w:rPr>
        <w:tab/>
        <w:t>(ii)</w:t>
      </w:r>
      <w:r>
        <w:rPr>
          <w:snapToGrid w:val="0"/>
        </w:rPr>
        <w:tab/>
        <w:t xml:space="preserve">establishes, amalgamates, divides, or abolishes a department or alters the designation of any department;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an office has been abolished (whether by reason of the abolition of a department or otherwise) or the designation of an office has been altered,</w:t>
      </w:r>
    </w:p>
    <w:p>
      <w:pPr>
        <w:pStyle w:val="Subsection"/>
        <w:rPr>
          <w:snapToGrid w:val="0"/>
        </w:rPr>
      </w:pPr>
      <w:r>
        <w:rPr>
          <w:snapToGrid w:val="0"/>
        </w:rPr>
        <w:tab/>
      </w:r>
      <w:r>
        <w:rPr>
          <w:snapToGrid w:val="0"/>
        </w:rPr>
        <w:tab/>
        <w:t>the Governor may, by Order in Council, direct that a reference to — </w:t>
      </w:r>
    </w:p>
    <w:p>
      <w:pPr>
        <w:pStyle w:val="Indenta"/>
        <w:rPr>
          <w:snapToGrid w:val="0"/>
        </w:rPr>
      </w:pPr>
      <w:r>
        <w:rPr>
          <w:snapToGrid w:val="0"/>
        </w:rPr>
        <w:tab/>
        <w:t>(c)</w:t>
      </w:r>
      <w:r>
        <w:rPr>
          <w:snapToGrid w:val="0"/>
        </w:rPr>
        <w:tab/>
        <w:t>a Minister;</w:t>
      </w:r>
    </w:p>
    <w:p>
      <w:pPr>
        <w:pStyle w:val="Indenta"/>
        <w:rPr>
          <w:snapToGrid w:val="0"/>
        </w:rPr>
      </w:pPr>
      <w:r>
        <w:rPr>
          <w:snapToGrid w:val="0"/>
        </w:rPr>
        <w:tab/>
        <w:t>(d)</w:t>
      </w:r>
      <w:r>
        <w:rPr>
          <w:snapToGrid w:val="0"/>
        </w:rPr>
        <w:tab/>
        <w:t>an office;</w:t>
      </w:r>
    </w:p>
    <w:p>
      <w:pPr>
        <w:pStyle w:val="Indenta"/>
        <w:rPr>
          <w:snapToGrid w:val="0"/>
        </w:rPr>
      </w:pPr>
      <w:r>
        <w:rPr>
          <w:snapToGrid w:val="0"/>
        </w:rPr>
        <w:tab/>
        <w:t>(e)</w:t>
      </w:r>
      <w:r>
        <w:rPr>
          <w:snapToGrid w:val="0"/>
        </w:rPr>
        <w:tab/>
        <w:t>a department,</w:t>
      </w:r>
    </w:p>
    <w:p>
      <w:pPr>
        <w:pStyle w:val="Subsection"/>
        <w:rPr>
          <w:snapToGrid w:val="0"/>
        </w:rPr>
      </w:pPr>
      <w:r>
        <w:rPr>
          <w:snapToGrid w:val="0"/>
        </w:rPr>
        <w:tab/>
      </w:r>
      <w:r>
        <w:rPr>
          <w:snapToGrid w:val="0"/>
        </w:rPr>
        <w:tab/>
        <w:t>as the case may be, contained in — </w:t>
      </w:r>
    </w:p>
    <w:p>
      <w:pPr>
        <w:pStyle w:val="Indenta"/>
        <w:rPr>
          <w:snapToGrid w:val="0"/>
        </w:rPr>
      </w:pPr>
      <w:r>
        <w:rPr>
          <w:snapToGrid w:val="0"/>
        </w:rPr>
        <w:tab/>
        <w:t>(f)</w:t>
      </w:r>
      <w:r>
        <w:rPr>
          <w:snapToGrid w:val="0"/>
        </w:rPr>
        <w:tab/>
        <w:t>any law; or</w:t>
      </w:r>
    </w:p>
    <w:p>
      <w:pPr>
        <w:pStyle w:val="Indenta"/>
        <w:rPr>
          <w:snapToGrid w:val="0"/>
        </w:rPr>
      </w:pPr>
      <w:r>
        <w:rPr>
          <w:snapToGrid w:val="0"/>
        </w:rPr>
        <w:tab/>
        <w:t>(g)</w:t>
      </w:r>
      <w:r>
        <w:rPr>
          <w:snapToGrid w:val="0"/>
        </w:rPr>
        <w:tab/>
        <w:t>any instrument, contract, or legal proceedings made or commenced before the coming into operation of the Order,</w:t>
      </w:r>
    </w:p>
    <w:p>
      <w:pPr>
        <w:pStyle w:val="Subsection"/>
        <w:rPr>
          <w:snapToGrid w:val="0"/>
        </w:rPr>
      </w:pPr>
      <w:r>
        <w:rPr>
          <w:snapToGrid w:val="0"/>
        </w:rPr>
        <w:tab/>
      </w:r>
      <w:r>
        <w:rPr>
          <w:snapToGrid w:val="0"/>
        </w:rPr>
        <w:tab/>
        <w:t>by a reference specified in the Order shall be read and construed as a reference to a Minister, office, or department by the reference specified in that Order, and effect shall be given to any such direction.</w:t>
      </w:r>
    </w:p>
    <w:p>
      <w:pPr>
        <w:pStyle w:val="Subsection"/>
        <w:rPr>
          <w:snapToGrid w:val="0"/>
        </w:rPr>
      </w:pPr>
      <w:r>
        <w:rPr>
          <w:snapToGrid w:val="0"/>
        </w:rPr>
        <w:tab/>
        <w:t>(2)</w:t>
      </w:r>
      <w:r>
        <w:rPr>
          <w:snapToGrid w:val="0"/>
        </w:rPr>
        <w:tab/>
        <w:t>An Order under this section shall not affect the validity of anything done by or in relation to any Minister of the Crown, office, or department before the coming into operation of the Order.</w:t>
      </w:r>
    </w:p>
    <w:p>
      <w:pPr>
        <w:pStyle w:val="Subsection"/>
        <w:rPr>
          <w:snapToGrid w:val="0"/>
        </w:rPr>
      </w:pPr>
      <w:r>
        <w:rPr>
          <w:snapToGrid w:val="0"/>
        </w:rPr>
        <w:tab/>
        <w:t>(3)</w:t>
      </w:r>
      <w:r>
        <w:rPr>
          <w:snapToGrid w:val="0"/>
        </w:rPr>
        <w:tab/>
        <w:t xml:space="preserve">An Order under this section shall come into operation on the date on which it is published in the </w:t>
      </w:r>
      <w:r>
        <w:rPr>
          <w:i/>
          <w:snapToGrid w:val="0"/>
        </w:rPr>
        <w:t>Government Gazette</w:t>
      </w:r>
      <w:r>
        <w:rPr>
          <w:snapToGrid w:val="0"/>
        </w:rPr>
        <w:t>, or on such later date as may be specified in the Order.</w:t>
      </w:r>
    </w:p>
    <w:p>
      <w:pPr>
        <w:pStyle w:val="Footnotesection"/>
      </w:pPr>
      <w:r>
        <w:tab/>
        <w:t xml:space="preserve">[Section 3 amended: No. 62 of 1981 s. 5.] </w:t>
      </w:r>
    </w:p>
    <w:p>
      <w:pPr>
        <w:pStyle w:val="Heading5"/>
        <w:rPr>
          <w:snapToGrid w:val="0"/>
        </w:rPr>
      </w:pPr>
      <w:bookmarkStart w:id="14" w:name="_Toc411611303"/>
      <w:bookmarkStart w:id="15" w:name="_Toc412615772"/>
      <w:r>
        <w:rPr>
          <w:rStyle w:val="CharSectno"/>
        </w:rPr>
        <w:t>4</w:t>
      </w:r>
      <w:r>
        <w:rPr>
          <w:snapToGrid w:val="0"/>
        </w:rPr>
        <w:t>.</w:t>
      </w:r>
      <w:r>
        <w:rPr>
          <w:snapToGrid w:val="0"/>
        </w:rPr>
        <w:tab/>
        <w:t>Variation or revocation of Orders</w:t>
      </w:r>
      <w:bookmarkEnd w:id="14"/>
      <w:bookmarkEnd w:id="15"/>
      <w:r>
        <w:rPr>
          <w:snapToGrid w:val="0"/>
        </w:rPr>
        <w:t xml:space="preserve"> </w:t>
      </w:r>
    </w:p>
    <w:p>
      <w:pPr>
        <w:pStyle w:val="Subsection"/>
        <w:rPr>
          <w:snapToGrid w:val="0"/>
        </w:rPr>
      </w:pPr>
      <w:r>
        <w:rPr>
          <w:snapToGrid w:val="0"/>
        </w:rPr>
        <w:tab/>
      </w:r>
      <w:r>
        <w:rPr>
          <w:snapToGrid w:val="0"/>
        </w:rPr>
        <w:tab/>
        <w:t>An Order in Council made pursuant to this Act may be varied or revoked by a subsequent Order in Council made thereunder.</w:t>
      </w:r>
    </w:p>
    <w:p>
      <w:pPr>
        <w:pStyle w:val="Heading5"/>
        <w:rPr>
          <w:snapToGrid w:val="0"/>
        </w:rPr>
      </w:pPr>
      <w:bookmarkStart w:id="16" w:name="_Toc411611304"/>
      <w:bookmarkStart w:id="17" w:name="_Toc412615773"/>
      <w:r>
        <w:rPr>
          <w:rStyle w:val="CharSectno"/>
        </w:rPr>
        <w:t>4A</w:t>
      </w:r>
      <w:r>
        <w:rPr>
          <w:snapToGrid w:val="0"/>
        </w:rPr>
        <w:t>.</w:t>
      </w:r>
      <w:r>
        <w:rPr>
          <w:snapToGrid w:val="0"/>
        </w:rPr>
        <w:tab/>
        <w:t>Effect of revocation of Order</w:t>
      </w:r>
      <w:bookmarkEnd w:id="16"/>
      <w:bookmarkEnd w:id="17"/>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Interpretation Act 1918 </w:t>
      </w:r>
      <w:r>
        <w:rPr>
          <w:snapToGrid w:val="0"/>
          <w:vertAlign w:val="superscript"/>
        </w:rPr>
        <w:t>2</w:t>
      </w:r>
      <w:r>
        <w:rPr>
          <w:snapToGrid w:val="0"/>
        </w:rPr>
        <w:t>, an Order in Council under section 4 that revokes an Order in Council made pursuant to section 3 shall, unless the Order in Council made under section 4 otherwise directs, effect a revival of the reference altered by the Order in Council made pursuant to section 3.</w:t>
      </w:r>
    </w:p>
    <w:p>
      <w:pPr>
        <w:pStyle w:val="Footnotesection"/>
      </w:pPr>
      <w:r>
        <w:tab/>
        <w:t xml:space="preserve">[Section 4A inserted: No. 62 of 1981 s. 6.] </w:t>
      </w:r>
    </w:p>
    <w:p>
      <w:pPr>
        <w:pStyle w:val="Heading5"/>
        <w:rPr>
          <w:snapToGrid w:val="0"/>
        </w:rPr>
      </w:pPr>
      <w:bookmarkStart w:id="18" w:name="_Toc411611305"/>
      <w:bookmarkStart w:id="19" w:name="_Toc412615774"/>
      <w:r>
        <w:rPr>
          <w:rStyle w:val="CharSectno"/>
        </w:rPr>
        <w:t>4B</w:t>
      </w:r>
      <w:r>
        <w:rPr>
          <w:snapToGrid w:val="0"/>
        </w:rPr>
        <w:t>.</w:t>
      </w:r>
      <w:r>
        <w:rPr>
          <w:snapToGrid w:val="0"/>
        </w:rPr>
        <w:tab/>
        <w:t>Governor may rectify omissions</w:t>
      </w:r>
      <w:bookmarkEnd w:id="18"/>
      <w:bookmarkEnd w:id="19"/>
      <w:r>
        <w:rPr>
          <w:snapToGrid w:val="0"/>
        </w:rPr>
        <w:t xml:space="preserve"> </w:t>
      </w:r>
    </w:p>
    <w:p>
      <w:pPr>
        <w:pStyle w:val="Subsection"/>
        <w:rPr>
          <w:snapToGrid w:val="0"/>
        </w:rPr>
      </w:pPr>
      <w:r>
        <w:rPr>
          <w:snapToGrid w:val="0"/>
        </w:rPr>
        <w:tab/>
      </w:r>
      <w:r>
        <w:rPr>
          <w:snapToGrid w:val="0"/>
        </w:rPr>
        <w:tab/>
        <w:t>Where through an accidental omission to alter a reference to a Minister, an office in a department, or a department anything done or required to be done by or under a law is done by or in relation to a Minister, office, or a department by a reference other than the reference then currently applicable in relation to that Minister, office, or department, the Governor may by Order in Council take such measures as are necessary for removing any doubt arising from the omission and may validate anything which has been done by or in relation to a Minister, office, or department otherwise than by reference to the reference then currently applicable to that Minister, office, or department.</w:t>
      </w:r>
    </w:p>
    <w:p>
      <w:pPr>
        <w:pStyle w:val="Footnotesection"/>
      </w:pPr>
      <w:r>
        <w:tab/>
        <w:t xml:space="preserve">[Section 4B inserted: No. 62 of 1981 s. 6.] </w:t>
      </w:r>
    </w:p>
    <w:p>
      <w:pPr>
        <w:pStyle w:val="Heading5"/>
        <w:rPr>
          <w:snapToGrid w:val="0"/>
        </w:rPr>
      </w:pPr>
      <w:bookmarkStart w:id="20" w:name="_Toc411611306"/>
      <w:bookmarkStart w:id="21" w:name="_Toc412615775"/>
      <w:r>
        <w:rPr>
          <w:rStyle w:val="CharSectno"/>
        </w:rPr>
        <w:t>5</w:t>
      </w:r>
      <w:r>
        <w:rPr>
          <w:snapToGrid w:val="0"/>
        </w:rPr>
        <w:t>.</w:t>
      </w:r>
      <w:r>
        <w:rPr>
          <w:snapToGrid w:val="0"/>
        </w:rPr>
        <w:tab/>
        <w:t>Saving of prerogative powers</w:t>
      </w:r>
      <w:bookmarkEnd w:id="20"/>
      <w:bookmarkEnd w:id="21"/>
      <w:r>
        <w:rPr>
          <w:snapToGrid w:val="0"/>
        </w:rPr>
        <w:t xml:space="preserve"> </w:t>
      </w:r>
    </w:p>
    <w:p>
      <w:pPr>
        <w:pStyle w:val="Subsection"/>
        <w:rPr>
          <w:snapToGrid w:val="0"/>
        </w:rPr>
      </w:pPr>
      <w:r>
        <w:rPr>
          <w:snapToGrid w:val="0"/>
        </w:rPr>
        <w:tab/>
      </w:r>
      <w:r>
        <w:rPr>
          <w:snapToGrid w:val="0"/>
        </w:rPr>
        <w:tab/>
        <w:t>Nothing in this Act shall prejudice any power exercisable by virtue of the prerogative of the Crown in relation to functions of Ministers of the Crown.</w:t>
      </w:r>
    </w:p>
    <w:p>
      <w:pPr>
        <w:pStyle w:val="Ednotepart"/>
      </w:pPr>
      <w:r>
        <w:t>[Part II, III, IV deleted: No. 62 of 1981 s. 7.]</w:t>
      </w:r>
    </w:p>
    <w:p>
      <w:pPr>
        <w:pStyle w:val="Ednotepart"/>
      </w:pPr>
      <w:r>
        <w:t>[Part V deleted: No. 111 of 1979 s. 3.]</w:t>
      </w:r>
    </w:p>
    <w:p>
      <w:pPr>
        <w:pStyle w:val="Ednotepart"/>
      </w:pPr>
      <w:r>
        <w:t>[Part VI, VII deleted: No. 62 of 1981 s. 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pPr>
      <w:bookmarkStart w:id="22" w:name="_Toc411611307"/>
      <w:bookmarkStart w:id="23" w:name="_Toc412615743"/>
      <w:bookmarkStart w:id="24" w:name="_Toc412615776"/>
      <w:r>
        <w:t>Notes</w:t>
      </w:r>
      <w:bookmarkEnd w:id="22"/>
      <w:bookmarkEnd w:id="23"/>
      <w:bookmarkEnd w:id="24"/>
    </w:p>
    <w:p>
      <w:pPr>
        <w:pStyle w:val="nSubsection"/>
        <w:rPr>
          <w:snapToGrid w:val="0"/>
        </w:rPr>
      </w:pPr>
      <w:r>
        <w:rPr>
          <w:snapToGrid w:val="0"/>
          <w:vertAlign w:val="superscript"/>
        </w:rPr>
        <w:t>1</w:t>
      </w:r>
      <w:r>
        <w:rPr>
          <w:snapToGrid w:val="0"/>
        </w:rPr>
        <w:tab/>
        <w:t xml:space="preserve">This reprint is a compilation as at 6 February 2015 of the </w:t>
      </w:r>
      <w:r>
        <w:rPr>
          <w:i/>
          <w:noProof/>
          <w:snapToGrid w:val="0"/>
        </w:rPr>
        <w:t>Alteration of Statutory Designations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411611308"/>
      <w:bookmarkStart w:id="26" w:name="_Toc412615777"/>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70"/>
              <w:rPr>
                <w:iCs/>
              </w:rPr>
            </w:pPr>
            <w:r>
              <w:rPr>
                <w:i/>
              </w:rPr>
              <w:t>Ministers of the Crown (Statutory Designations) and Acts Amendment Act 1974</w:t>
            </w:r>
            <w:r>
              <w:rPr>
                <w:iCs/>
                <w:vertAlign w:val="superscript"/>
              </w:rPr>
              <w:t> 3</w:t>
            </w:r>
          </w:p>
        </w:tc>
        <w:tc>
          <w:tcPr>
            <w:tcW w:w="1134" w:type="dxa"/>
          </w:tcPr>
          <w:p>
            <w:pPr>
              <w:pStyle w:val="nTable"/>
              <w:spacing w:after="40"/>
            </w:pPr>
            <w:r>
              <w:t>27 of 1974</w:t>
            </w:r>
          </w:p>
        </w:tc>
        <w:tc>
          <w:tcPr>
            <w:tcW w:w="1134" w:type="dxa"/>
          </w:tcPr>
          <w:p>
            <w:pPr>
              <w:pStyle w:val="nTable"/>
              <w:spacing w:after="40"/>
            </w:pPr>
            <w:r>
              <w:t>29 Oct 1974</w:t>
            </w:r>
          </w:p>
        </w:tc>
        <w:tc>
          <w:tcPr>
            <w:tcW w:w="2551" w:type="dxa"/>
          </w:tcPr>
          <w:p>
            <w:pPr>
              <w:pStyle w:val="nTable"/>
              <w:spacing w:after="40"/>
            </w:pPr>
            <w:r>
              <w:t xml:space="preserve">1 Dec 1974 (see s. 2 and </w:t>
            </w:r>
            <w:r>
              <w:rPr>
                <w:i/>
              </w:rPr>
              <w:t>Gazette</w:t>
            </w:r>
            <w:r>
              <w:t xml:space="preserve"> 6 Dec 1974 p. 5204)</w:t>
            </w:r>
          </w:p>
        </w:tc>
      </w:tr>
      <w:tr>
        <w:trPr>
          <w:cantSplit/>
        </w:trPr>
        <w:tc>
          <w:tcPr>
            <w:tcW w:w="2268" w:type="dxa"/>
          </w:tcPr>
          <w:p>
            <w:pPr>
              <w:pStyle w:val="nTable"/>
              <w:spacing w:after="40"/>
              <w:ind w:right="170"/>
            </w:pPr>
            <w:r>
              <w:rPr>
                <w:i/>
              </w:rPr>
              <w:t>State Energy Commission Act 1979</w:t>
            </w:r>
            <w:r>
              <w:t xml:space="preserve"> s. 3(2)</w:t>
            </w:r>
          </w:p>
        </w:tc>
        <w:tc>
          <w:tcPr>
            <w:tcW w:w="1134" w:type="dxa"/>
          </w:tcPr>
          <w:p>
            <w:pPr>
              <w:pStyle w:val="nTable"/>
              <w:spacing w:after="40"/>
            </w:pPr>
            <w:r>
              <w:t>111 of 1979</w:t>
            </w:r>
          </w:p>
        </w:tc>
        <w:tc>
          <w:tcPr>
            <w:tcW w:w="1134" w:type="dxa"/>
          </w:tcPr>
          <w:p>
            <w:pPr>
              <w:pStyle w:val="nTable"/>
              <w:spacing w:after="40"/>
            </w:pPr>
            <w:r>
              <w:t>21 Dec 1979</w:t>
            </w:r>
          </w:p>
        </w:tc>
        <w:tc>
          <w:tcPr>
            <w:tcW w:w="2551" w:type="dxa"/>
          </w:tcPr>
          <w:p>
            <w:pPr>
              <w:pStyle w:val="nTable"/>
              <w:spacing w:after="40"/>
            </w:pPr>
            <w:r>
              <w:t xml:space="preserve">1 Feb 1980 (see s. 2 and </w:t>
            </w:r>
            <w:r>
              <w:rPr>
                <w:i/>
              </w:rPr>
              <w:t>Gazette</w:t>
            </w:r>
            <w:r>
              <w:t xml:space="preserve"> 1 Feb 1980 p. 284)</w:t>
            </w:r>
          </w:p>
        </w:tc>
      </w:tr>
      <w:tr>
        <w:trPr>
          <w:cantSplit/>
        </w:trPr>
        <w:tc>
          <w:tcPr>
            <w:tcW w:w="2268" w:type="dxa"/>
          </w:tcPr>
          <w:p>
            <w:pPr>
              <w:pStyle w:val="nTable"/>
              <w:spacing w:after="40"/>
              <w:ind w:right="170"/>
            </w:pPr>
            <w:r>
              <w:rPr>
                <w:i/>
              </w:rPr>
              <w:t>Ministers of the Crown (Statutory Designations) Amendment Act 1981</w:t>
            </w:r>
          </w:p>
        </w:tc>
        <w:tc>
          <w:tcPr>
            <w:tcW w:w="1134" w:type="dxa"/>
          </w:tcPr>
          <w:p>
            <w:pPr>
              <w:pStyle w:val="nTable"/>
              <w:spacing w:after="40"/>
            </w:pPr>
            <w:r>
              <w:t>62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7087" w:type="dxa"/>
            <w:gridSpan w:val="4"/>
          </w:tcPr>
          <w:p>
            <w:pPr>
              <w:pStyle w:val="nTable"/>
              <w:spacing w:after="40"/>
            </w:pPr>
            <w:r>
              <w:rPr>
                <w:b/>
              </w:rPr>
              <w:t xml:space="preserve">Reprint of the </w:t>
            </w:r>
            <w:r>
              <w:rPr>
                <w:b/>
                <w:i/>
              </w:rPr>
              <w:t>Alteration of Statutory Designations Act 1974</w:t>
            </w:r>
            <w:r>
              <w:rPr>
                <w:b/>
              </w:rPr>
              <w:t xml:space="preserve"> as at 24 Nov 2000</w:t>
            </w:r>
            <w:r>
              <w:t xml:space="preserve"> (includes amendments listed above)</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2: The </w:t>
            </w:r>
            <w:r>
              <w:rPr>
                <w:b/>
                <w:i/>
              </w:rPr>
              <w:t>Alteration of Statutory Designations Act 1974</w:t>
            </w:r>
            <w:r>
              <w:rPr>
                <w:b/>
              </w:rPr>
              <w:t xml:space="preserve"> as at 6 Feb 2015</w:t>
            </w:r>
            <w:r>
              <w:t xml:space="preserve"> (includes amendments listed above)</w:t>
            </w:r>
          </w:p>
        </w:tc>
      </w:tr>
    </w:tbl>
    <w:p>
      <w:pPr>
        <w:pStyle w:val="nSubsection"/>
        <w:spacing w:before="160"/>
      </w:pPr>
      <w:r>
        <w:rPr>
          <w:vertAlign w:val="superscript"/>
        </w:rPr>
        <w:t>2</w:t>
      </w:r>
      <w:r>
        <w:tab/>
        <w:t xml:space="preserve">Repealed by the </w:t>
      </w:r>
      <w:r>
        <w:rPr>
          <w:i/>
        </w:rPr>
        <w:t>Interpretation Act 1984</w:t>
      </w:r>
      <w:r>
        <w:t>.</w:t>
      </w:r>
    </w:p>
    <w:p>
      <w:pPr>
        <w:pStyle w:val="nSubsection"/>
      </w:pPr>
      <w:r>
        <w:rPr>
          <w:vertAlign w:val="superscript"/>
        </w:rPr>
        <w:t>3</w:t>
      </w:r>
      <w:r>
        <w:tab/>
      </w:r>
      <w:r>
        <w:rPr>
          <w:sz w:val="19"/>
        </w:rPr>
        <w:t xml:space="preserve">Now known as the </w:t>
      </w:r>
      <w:r>
        <w:rPr>
          <w:i/>
          <w:sz w:val="19"/>
        </w:rPr>
        <w:t>Alteration of Statutory Designations Act 1974</w:t>
      </w:r>
      <w:r>
        <w:rPr>
          <w:sz w:val="19"/>
        </w:rPr>
        <w:t>; short title changed (see note under s. 1).</w:t>
      </w:r>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rPr>
          <w:sz w:val="28"/>
        </w:rPr>
      </w:pPr>
      <w:bookmarkStart w:id="28" w:name="_Toc412615778"/>
      <w:r>
        <w:rPr>
          <w:sz w:val="28"/>
        </w:rPr>
        <w:t>Defined terms</w:t>
      </w:r>
      <w:bookmarkEnd w:id="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2A</w:t>
      </w:r>
    </w:p>
    <w:p>
      <w:pPr>
        <w:pStyle w:val="DefinedTerms"/>
      </w:pPr>
      <w:r>
        <w:t>Minister</w:t>
      </w:r>
      <w:r>
        <w:tab/>
        <w:t>2A</w:t>
      </w:r>
    </w:p>
    <w:p>
      <w:pPr>
        <w:pStyle w:val="DefinedTerms"/>
      </w:pPr>
      <w:r>
        <w:t>office</w:t>
      </w:r>
      <w:r>
        <w:tab/>
        <w:t>2A</w:t>
      </w:r>
    </w:p>
    <w:p>
      <w:pPr>
        <w:pStyle w:val="DefinedTerms"/>
      </w:pPr>
      <w:r>
        <w:t>reference</w:t>
      </w:r>
      <w:r>
        <w:tab/>
        <w:t>2A</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Alteration of Statutory Designations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Alteration of Statutory Designations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 w:name="DefinedTerms"/>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Alteration of Statutory Designations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Alteration of Statutory Designations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Alteration of Statutory Designations Act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426"/>
    <w:docVar w:name="WAFER_20140120105539" w:val="RemoveTocBookmarks,RemoveUnusedBookmarks,RemoveLanguageTags,UsedStyles,ResetPageSize,UpdateArrangement"/>
    <w:docVar w:name="WAFER_20140120105539_GUID" w:val="8141b9be-dc6b-4a50-9b82-d927dc9d904b"/>
    <w:docVar w:name="WAFER_20140120110004" w:val="RemoveTocBookmarks,RunningHeaders"/>
    <w:docVar w:name="WAFER_20140120110004_GUID" w:val="d01fd423-4eb5-472f-8446-635d6d9220b8"/>
    <w:docVar w:name="WAFER_20150112124442" w:val="RemoveTocBookmarks,RemoveUnusedBookmarks,RemoveLanguageTags,UsedStyles,ResetPageSize,RemoveCustomizations"/>
    <w:docVar w:name="WAFER_20150112124442_GUID" w:val="3c4c6327-2d52-4ca8-9ad8-352ee9f847c5"/>
    <w:docVar w:name="WAFER_20150128101538" w:val="RemoveTocBookmarks,RemoveLanguageTags,RemoveTrackChanges,RunningHeaders"/>
    <w:docVar w:name="WAFER_20150128101538_GUID" w:val="704b8878-591e-4df0-b8da-d38f21b2dbdc"/>
    <w:docVar w:name="WAFER_20150128101555" w:val="RemoveTocBookmarks,RemoveLanguageTags,RemoveTrackChanges,RunningHeaders"/>
    <w:docVar w:name="WAFER_20150128101555_GUID" w:val="cfc2c387-9cd7-4f7a-90f0-95a9d37dea24"/>
    <w:docVar w:name="WAFER_20150128101614" w:val="RemoveTocBookmarks,RemoveUnusedBookmarks,RemoveLanguageTags"/>
    <w:docVar w:name="WAFER_20150128101614_GUID" w:val="be2e115f-6ffe-482d-913f-e8681f9a4c74"/>
    <w:docVar w:name="WAFER_20150213171426" w:val="RemoveTocBookmarks,RemoveLanguageTags,RemoveTrackChanges,RunningHeaders"/>
    <w:docVar w:name="WAFER_20150213171426_GUID" w:val="2ffc43bd-3681-45c0-b818-7f27f953b07d"/>
    <w:docVar w:name="WAFER_20150225081933" w:val="ResetPageSize,UpdateArrangement,UpdateNTable"/>
    <w:docVar w:name="WAFER_20150225081933_GUID" w:val="b70a3a78-dc44-4e43-a7ae-dde4755ab4ab"/>
    <w:docVar w:name="WAFER_20151102105426" w:val="UpdateStyles,UsedStyles"/>
    <w:docVar w:name="WAFER_20151102105426_GUID" w:val="0eeba400-6b75-43bd-9080-50cc57ecc8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
    <w:name w:val="yTable"/>
    <w:basedOn w:val="Table"/>
    <w:pPr>
      <w:spacing w:line="240" w:lineRule="auto"/>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7809-57EE-4E0A-8126-3F8E2905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1160</Words>
  <Characters>5536</Characters>
  <Application>Microsoft Office Word</Application>
  <DocSecurity>0</DocSecurity>
  <Lines>205</Lines>
  <Paragraphs>136</Paragraphs>
  <ScaleCrop>false</ScaleCrop>
  <HeadingPairs>
    <vt:vector size="2" baseType="variant">
      <vt:variant>
        <vt:lpstr>Title</vt:lpstr>
      </vt:variant>
      <vt:variant>
        <vt:i4>1</vt:i4>
      </vt:variant>
    </vt:vector>
  </HeadingPairs>
  <TitlesOfParts>
    <vt:vector size="1" baseType="lpstr">
      <vt:lpstr>Alteration Of Statutory Designations Act 1974</vt:lpstr>
    </vt:vector>
  </TitlesOfParts>
  <Manager/>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 of Statutory Designations Act 1974 - 02-a0-03</dc:title>
  <dc:subject/>
  <dc:creator/>
  <cp:keywords/>
  <dc:description/>
  <cp:lastModifiedBy>svcMRProcess</cp:lastModifiedBy>
  <cp:revision>4</cp:revision>
  <cp:lastPrinted>2015-01-30T02:26:00Z</cp:lastPrinted>
  <dcterms:created xsi:type="dcterms:W3CDTF">2019-01-21T08:43:00Z</dcterms:created>
  <dcterms:modified xsi:type="dcterms:W3CDTF">2019-01-21T08:43:00Z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1974</vt:lpwstr>
  </property>
  <property fmtid="{D5CDD505-2E9C-101B-9397-08002B2CF9AE}" pid="3" name="CommencementDate">
    <vt:lpwstr>20150206</vt:lpwstr>
  </property>
  <property fmtid="{D5CDD505-2E9C-101B-9397-08002B2CF9AE}" pid="4" name="DocumentType">
    <vt:lpwstr>Act</vt:lpwstr>
  </property>
  <property fmtid="{D5CDD505-2E9C-101B-9397-08002B2CF9AE}" pid="5" name="ReprintNo">
    <vt:lpwstr>2</vt:lpwstr>
  </property>
  <property fmtid="{D5CDD505-2E9C-101B-9397-08002B2CF9AE}" pid="6" name="ReprintedAsAt">
    <vt:filetime>2015-02-05T16:00:00Z</vt:filetime>
  </property>
  <property fmtid="{D5CDD505-2E9C-101B-9397-08002B2CF9AE}" pid="7" name="AsAtDate">
    <vt:lpwstr>06 Feb 2015</vt:lpwstr>
  </property>
  <property fmtid="{D5CDD505-2E9C-101B-9397-08002B2CF9AE}" pid="8" name="Suffix">
    <vt:lpwstr>02-a0-03</vt:lpwstr>
  </property>
</Properties>
</file>