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2014, see the </w:t>
      </w:r>
      <w:r>
        <w:rPr>
          <w:b/>
          <w:bCs/>
          <w:i/>
          <w:iCs/>
          <w:color w:val="FF0000"/>
        </w:rPr>
        <w:t xml:space="preserve">Taxation Legislation Amendment Act 2015 </w:t>
      </w:r>
      <w:r>
        <w:rPr>
          <w:b/>
          <w:bCs/>
          <w:color w:val="FF0000"/>
        </w:rPr>
        <w:t>Pt. 2 Div. 1.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Lines="600" w:before="1440" w:afterLines="600" w:after="14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pacing w:beforeLines="600" w:before="1440" w:afterLines="600" w:after="1440"/>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April 2013</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_Toc381880380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_Toc381880381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_Toc381880382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_Toc381880383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Land tax liability and assessment</w:t>
      </w:r>
    </w:p>
    <w:p>
      <w:pPr>
        <w:pStyle w:val="TOC4"/>
        <w:tabs>
          <w:tab w:val="right" w:leader="dot" w:pos="7086"/>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_Toc381880386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_Toc381880387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_Toc381880388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_Toc381880389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_Toc381880390 \h </w:instrText>
      </w:r>
      <w:r>
        <w:fldChar w:fldCharType="separate"/>
      </w:r>
      <w:r>
        <w:t>4</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_Toc381880391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_Toc381880393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_Toc381880394 \h </w:instrText>
      </w:r>
      <w:r>
        <w:fldChar w:fldCharType="separate"/>
      </w:r>
      <w:r>
        <w:t>6</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_Toc381880395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_Toc381880396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_Toc381880397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rural business land, tax payable on</w:t>
      </w:r>
      <w:r>
        <w:tab/>
      </w:r>
      <w:r>
        <w:fldChar w:fldCharType="begin"/>
      </w:r>
      <w:r>
        <w:instrText xml:space="preserve"> PAGEREF _Toc381880398 \h </w:instrText>
      </w:r>
      <w:r>
        <w:fldChar w:fldCharType="separate"/>
      </w:r>
      <w:r>
        <w:t>10</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_Toc381880399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_Toc381880400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Exemptions, concessions and rebates</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_Toc381880403 \h </w:instrText>
      </w:r>
      <w:r>
        <w:fldChar w:fldCharType="separate"/>
      </w:r>
      <w:r>
        <w:t>16</w:t>
      </w:r>
      <w:r>
        <w:fldChar w:fldCharType="end"/>
      </w:r>
    </w:p>
    <w:p>
      <w:pPr>
        <w:pStyle w:val="TOC8"/>
        <w:rPr>
          <w:rFonts w:asciiTheme="minorHAnsi" w:eastAsiaTheme="minorEastAsia" w:hAnsiTheme="minorHAnsi" w:cstheme="minorBidi"/>
          <w:szCs w:val="22"/>
        </w:rPr>
      </w:pPr>
      <w:r>
        <w:t>18.</w:t>
      </w:r>
      <w:r>
        <w:tab/>
        <w:t>Partial exemptions or concessions</w:t>
      </w:r>
      <w:r>
        <w:tab/>
      </w:r>
      <w:r>
        <w:fldChar w:fldCharType="begin"/>
      </w:r>
      <w:r>
        <w:instrText xml:space="preserve"> PAGEREF _Toc381880404 \h </w:instrText>
      </w:r>
      <w:r>
        <w:fldChar w:fldCharType="separate"/>
      </w:r>
      <w:r>
        <w:t>16</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_Toc381880405 \h </w:instrText>
      </w:r>
      <w:r>
        <w:fldChar w:fldCharType="separate"/>
      </w:r>
      <w:r>
        <w:t>16</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_Toc381880406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_Toc381880408 \h </w:instrText>
      </w:r>
      <w:r>
        <w:fldChar w:fldCharType="separate"/>
      </w:r>
      <w:r>
        <w:t>18</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_Toc381880409 \h </w:instrText>
      </w:r>
      <w:r>
        <w:fldChar w:fldCharType="separate"/>
      </w:r>
      <w:r>
        <w:t>19</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_Toc381880410 \h </w:instrText>
      </w:r>
      <w:r>
        <w:fldChar w:fldCharType="separate"/>
      </w:r>
      <w:r>
        <w:t>20</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_Toc381880411 \h </w:instrText>
      </w:r>
      <w:r>
        <w:fldChar w:fldCharType="separate"/>
      </w:r>
      <w:r>
        <w:t>21</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_Toc381880412 \h </w:instrText>
      </w:r>
      <w:r>
        <w:fldChar w:fldCharType="separate"/>
      </w:r>
      <w:r>
        <w:t>22</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_Toc381880413 \h </w:instrText>
      </w:r>
      <w:r>
        <w:fldChar w:fldCharType="separate"/>
      </w:r>
      <w:r>
        <w:t>23</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_Toc381880414 \h </w:instrText>
      </w:r>
      <w:r>
        <w:fldChar w:fldCharType="separate"/>
      </w:r>
      <w:r>
        <w:t>24</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_Toc381880415 \h </w:instrText>
      </w:r>
      <w:r>
        <w:fldChar w:fldCharType="separate"/>
      </w:r>
      <w:r>
        <w:t>25</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_Toc381880416 \h </w:instrText>
      </w:r>
      <w:r>
        <w:fldChar w:fldCharType="separate"/>
      </w:r>
      <w:r>
        <w:t>26</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_Toc381880417 \h </w:instrText>
      </w:r>
      <w:r>
        <w:fldChar w:fldCharType="separate"/>
      </w:r>
      <w:r>
        <w:t>27</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_Toc381880418 \h </w:instrText>
      </w:r>
      <w:r>
        <w:fldChar w:fldCharType="separate"/>
      </w:r>
      <w:r>
        <w:t>28</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_Toc381880419 \h </w:instrText>
      </w:r>
      <w:r>
        <w:fldChar w:fldCharType="separate"/>
      </w:r>
      <w:r>
        <w:t>30</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_Toc381880420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Rural business land</w:t>
      </w:r>
    </w:p>
    <w:p>
      <w:pPr>
        <w:pStyle w:val="TOC8"/>
        <w:rPr>
          <w:rFonts w:asciiTheme="minorHAnsi" w:eastAsiaTheme="minorEastAsia" w:hAnsiTheme="minorHAnsi" w:cstheme="minorBidi"/>
          <w:szCs w:val="22"/>
        </w:rPr>
      </w:pPr>
      <w:r>
        <w:t>29.</w:t>
      </w:r>
      <w:r>
        <w:tab/>
        <w:t>Land used solely or principally for rural business, exemption for</w:t>
      </w:r>
      <w:r>
        <w:tab/>
      </w:r>
      <w:r>
        <w:fldChar w:fldCharType="begin"/>
      </w:r>
      <w:r>
        <w:instrText xml:space="preserve"> PAGEREF _Toc381880422 \h </w:instrText>
      </w:r>
      <w:r>
        <w:fldChar w:fldCharType="separate"/>
      </w:r>
      <w:r>
        <w:t>34</w:t>
      </w:r>
      <w:r>
        <w:fldChar w:fldCharType="end"/>
      </w:r>
    </w:p>
    <w:p>
      <w:pPr>
        <w:pStyle w:val="TOC8"/>
        <w:rPr>
          <w:rFonts w:asciiTheme="minorHAnsi" w:eastAsiaTheme="minorEastAsia" w:hAnsiTheme="minorHAnsi" w:cstheme="minorBidi"/>
          <w:szCs w:val="22"/>
        </w:rPr>
      </w:pPr>
      <w:r>
        <w:t>30.</w:t>
      </w:r>
      <w:r>
        <w:tab/>
        <w:t>Other rural business land, concession for</w:t>
      </w:r>
      <w:r>
        <w:tab/>
      </w:r>
      <w:r>
        <w:fldChar w:fldCharType="begin"/>
      </w:r>
      <w:r>
        <w:instrText xml:space="preserve"> PAGEREF _Toc381880423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_Toc381880425 \h </w:instrText>
      </w:r>
      <w:r>
        <w:fldChar w:fldCharType="separate"/>
      </w:r>
      <w:r>
        <w:t>35</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_Toc381880426 \h </w:instrText>
      </w:r>
      <w:r>
        <w:fldChar w:fldCharType="separate"/>
      </w:r>
      <w:r>
        <w:t>36</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_Toc381880427 \h </w:instrText>
      </w:r>
      <w:r>
        <w:fldChar w:fldCharType="separate"/>
      </w:r>
      <w:r>
        <w:t>37</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_Toc381880428 \h </w:instrText>
      </w:r>
      <w:r>
        <w:fldChar w:fldCharType="separate"/>
      </w:r>
      <w:r>
        <w:t>39</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_Toc381880429 \h </w:instrText>
      </w:r>
      <w:r>
        <w:fldChar w:fldCharType="separate"/>
      </w:r>
      <w:r>
        <w:t>39</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_Toc381880430 \h </w:instrText>
      </w:r>
      <w:r>
        <w:fldChar w:fldCharType="separate"/>
      </w:r>
      <w:r>
        <w:t>39</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_Toc381880431 \h </w:instrText>
      </w:r>
      <w:r>
        <w:fldChar w:fldCharType="separate"/>
      </w:r>
      <w:r>
        <w:t>39</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_Toc381880432 \h </w:instrText>
      </w:r>
      <w:r>
        <w:fldChar w:fldCharType="separate"/>
      </w:r>
      <w:r>
        <w:t>40</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_Toc381880433 \h </w:instrText>
      </w:r>
      <w:r>
        <w:fldChar w:fldCharType="separate"/>
      </w:r>
      <w:r>
        <w:t>40</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_Toc381880434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_Toc381880436 \h </w:instrText>
      </w:r>
      <w:r>
        <w:fldChar w:fldCharType="separate"/>
      </w:r>
      <w:r>
        <w:t>41</w:t>
      </w:r>
      <w:r>
        <w:fldChar w:fldCharType="end"/>
      </w:r>
    </w:p>
    <w:p>
      <w:pPr>
        <w:pStyle w:val="TOC8"/>
        <w:rPr>
          <w:rFonts w:asciiTheme="minorHAnsi" w:eastAsiaTheme="minorEastAsia" w:hAnsiTheme="minorHAnsi" w:cstheme="minorBidi"/>
          <w:szCs w:val="22"/>
        </w:rPr>
      </w:pPr>
      <w:r>
        <w:t>39B.</w:t>
      </w:r>
      <w:r>
        <w:tab/>
        <w:t>Dwelling park land, concessions for</w:t>
      </w:r>
      <w:r>
        <w:tab/>
      </w:r>
      <w:r>
        <w:fldChar w:fldCharType="begin"/>
      </w:r>
      <w:r>
        <w:instrText xml:space="preserve"> PAGEREF _Toc381880437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_Toc381880439 \h </w:instrText>
      </w:r>
      <w:r>
        <w:fldChar w:fldCharType="separate"/>
      </w:r>
      <w:r>
        <w:t>44</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_Toc381880440 \h </w:instrText>
      </w:r>
      <w:r>
        <w:fldChar w:fldCharType="separate"/>
      </w:r>
      <w:r>
        <w:t>45</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_Toc381880441 \h </w:instrText>
      </w:r>
      <w:r>
        <w:fldChar w:fldCharType="separate"/>
      </w:r>
      <w:r>
        <w:t>45</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_Toc381880442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_Toc381880444 \h </w:instrText>
      </w:r>
      <w:r>
        <w:fldChar w:fldCharType="separate"/>
      </w:r>
      <w:r>
        <w:t>48</w:t>
      </w:r>
      <w:r>
        <w:fldChar w:fldCharType="end"/>
      </w:r>
    </w:p>
    <w:p>
      <w:pPr>
        <w:pStyle w:val="TOC8"/>
        <w:rPr>
          <w:rFonts w:asciiTheme="minorHAnsi" w:eastAsiaTheme="minorEastAsia" w:hAnsiTheme="minorHAnsi" w:cstheme="minorBidi"/>
          <w:szCs w:val="22"/>
        </w:rPr>
      </w:pPr>
      <w:r>
        <w:t>44.</w:t>
      </w:r>
      <w:r>
        <w:tab/>
        <w:t>University land, Act applies to</w:t>
      </w:r>
      <w:r>
        <w:tab/>
      </w:r>
      <w:r>
        <w:fldChar w:fldCharType="begin"/>
      </w:r>
      <w:r>
        <w:instrText xml:space="preserve"> PAGEREF _Toc381880445 \h </w:instrText>
      </w:r>
      <w:r>
        <w:fldChar w:fldCharType="separate"/>
      </w:r>
      <w:r>
        <w:t>48</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_Toc381880446 \h </w:instrText>
      </w:r>
      <w:r>
        <w:fldChar w:fldCharType="separate"/>
      </w:r>
      <w:r>
        <w:t>48</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_Toc381880447 \h </w:instrText>
      </w:r>
      <w:r>
        <w:fldChar w:fldCharType="separate"/>
      </w:r>
      <w:r>
        <w:t>49</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_Toc381880448 \h </w:instrText>
      </w:r>
      <w:r>
        <w:fldChar w:fldCharType="separate"/>
      </w:r>
      <w:r>
        <w:t>50</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_Toc381880449 \h </w:instrText>
      </w:r>
      <w:r>
        <w:fldChar w:fldCharType="separate"/>
      </w:r>
      <w:r>
        <w:t>51</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_Toc381880450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_Toc381880453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_Toc381880455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_Toc381880457 \h </w:instrText>
      </w:r>
      <w:r>
        <w:fldChar w:fldCharType="separate"/>
      </w:r>
      <w:r>
        <w:t>53</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_Toc381880458 \h </w:instrText>
      </w:r>
      <w:r>
        <w:fldChar w:fldCharType="separate"/>
      </w:r>
      <w:r>
        <w:t>59</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_Toc381880459 \h </w:instrText>
      </w:r>
      <w:r>
        <w:fldChar w:fldCharType="separate"/>
      </w:r>
      <w:r>
        <w:t>61</w:t>
      </w:r>
      <w:r>
        <w:fldChar w:fldCharType="end"/>
      </w:r>
    </w:p>
    <w:p>
      <w:pPr>
        <w:pStyle w:val="TOC8"/>
        <w:rPr>
          <w:rFonts w:asciiTheme="minorHAnsi" w:eastAsiaTheme="minorEastAsia" w:hAnsiTheme="minorHAnsi" w:cstheme="minorBidi"/>
          <w:szCs w:val="22"/>
        </w:rPr>
      </w:pPr>
      <w:r>
        <w:t>4.</w:t>
      </w:r>
      <w:r>
        <w:tab/>
        <w:t>Land in non</w:t>
      </w:r>
      <w:r>
        <w:noBreakHyphen/>
        <w:t>rural zone</w:t>
      </w:r>
      <w:r>
        <w:tab/>
      </w:r>
      <w:r>
        <w:fldChar w:fldCharType="begin"/>
      </w:r>
      <w:r>
        <w:instrText xml:space="preserve"> PAGEREF _Toc381880460 \h </w:instrText>
      </w:r>
      <w:r>
        <w:fldChar w:fldCharType="separate"/>
      </w:r>
      <w:r>
        <w:t>62</w:t>
      </w:r>
      <w:r>
        <w:fldChar w:fldCharType="end"/>
      </w:r>
    </w:p>
    <w:p>
      <w:pPr>
        <w:pStyle w:val="TOC8"/>
        <w:rPr>
          <w:rFonts w:asciiTheme="minorHAnsi" w:eastAsiaTheme="minorEastAsia" w:hAnsiTheme="minorHAnsi" w:cstheme="minorBidi"/>
          <w:szCs w:val="22"/>
        </w:rPr>
      </w:pPr>
      <w:r>
        <w:t>5.</w:t>
      </w:r>
      <w:r>
        <w:tab/>
        <w:t>Total net income of rural business owners</w:t>
      </w:r>
      <w:r>
        <w:tab/>
      </w:r>
      <w:r>
        <w:fldChar w:fldCharType="begin"/>
      </w:r>
      <w:r>
        <w:instrText xml:space="preserve"> PAGEREF _Toc381880461 \h </w:instrText>
      </w:r>
      <w:r>
        <w:fldChar w:fldCharType="separate"/>
      </w:r>
      <w:r>
        <w:t>62</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_Toc381880462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_Toc381880464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April 2013</w:t>
            </w:r>
          </w:p>
        </w:tc>
      </w:tr>
    </w:tbl>
    <w:p>
      <w:pPr>
        <w:pStyle w:val="WA"/>
        <w:spacing w:before="120"/>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38188037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188038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 w:name="_Toc381880381"/>
      <w:r>
        <w:rPr>
          <w:rStyle w:val="CharSectno"/>
        </w:rPr>
        <w:t>2</w:t>
      </w:r>
      <w:r>
        <w:rPr>
          <w:snapToGrid w:val="0"/>
        </w:rPr>
        <w:t>.</w:t>
      </w:r>
      <w:r>
        <w:rPr>
          <w:snapToGrid w:val="0"/>
        </w:rP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1880382"/>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 w:name="_Toc381880383"/>
      <w:r>
        <w:rPr>
          <w:rStyle w:val="CharSectno"/>
        </w:rPr>
        <w:t>4</w:t>
      </w:r>
      <w:r>
        <w:t>.</w:t>
      </w:r>
      <w:r>
        <w:tab/>
        <w:t>Terms used</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1880384"/>
      <w:r>
        <w:rPr>
          <w:rStyle w:val="CharPartNo"/>
        </w:rPr>
        <w:t>Part 2</w:t>
      </w:r>
      <w:r>
        <w:t xml:space="preserve"> — </w:t>
      </w:r>
      <w:r>
        <w:rPr>
          <w:rStyle w:val="CharPartText"/>
        </w:rPr>
        <w:t>Land tax liability and assessment</w:t>
      </w:r>
      <w:bookmarkEnd w:id="6"/>
    </w:p>
    <w:p>
      <w:pPr>
        <w:pStyle w:val="Heading3"/>
      </w:pPr>
      <w:bookmarkStart w:id="7" w:name="_Toc381880385"/>
      <w:r>
        <w:rPr>
          <w:rStyle w:val="CharDivNo"/>
        </w:rPr>
        <w:t>Division 1</w:t>
      </w:r>
      <w:r>
        <w:t xml:space="preserve"> — </w:t>
      </w:r>
      <w:r>
        <w:rPr>
          <w:rStyle w:val="CharDivText"/>
        </w:rPr>
        <w:t>Liability to land tax</w:t>
      </w:r>
      <w:bookmarkEnd w:id="7"/>
    </w:p>
    <w:p>
      <w:pPr>
        <w:pStyle w:val="Heading5"/>
      </w:pPr>
      <w:bookmarkStart w:id="8" w:name="_Toc381880386"/>
      <w:r>
        <w:rPr>
          <w:rStyle w:val="CharSectno"/>
        </w:rPr>
        <w:t>5</w:t>
      </w:r>
      <w:r>
        <w:t>.</w:t>
      </w:r>
      <w:r>
        <w:tab/>
        <w:t>Taxable land</w:t>
      </w:r>
      <w:bookmarkEnd w:id="8"/>
    </w:p>
    <w:p>
      <w:pPr>
        <w:pStyle w:val="Subsection"/>
      </w:pPr>
      <w:r>
        <w:tab/>
      </w:r>
      <w:r>
        <w:tab/>
        <w:t>Land tax is payable, in accordance with the land tax Acts, for each financial year for all land in the State except land that is exempt under section 17.</w:t>
      </w:r>
    </w:p>
    <w:p>
      <w:pPr>
        <w:pStyle w:val="Heading5"/>
      </w:pPr>
      <w:bookmarkStart w:id="9" w:name="_Toc381880387"/>
      <w:r>
        <w:rPr>
          <w:rStyle w:val="CharSectno"/>
        </w:rPr>
        <w:t>6</w:t>
      </w:r>
      <w:r>
        <w:t>.</w:t>
      </w:r>
      <w:r>
        <w:tab/>
        <w:t>Time for payment of land tax</w:t>
      </w:r>
      <w:bookmarkEnd w:id="9"/>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0" w:name="_Toc381880388"/>
      <w:r>
        <w:rPr>
          <w:rStyle w:val="CharSectno"/>
        </w:rPr>
        <w:t>7</w:t>
      </w:r>
      <w:r>
        <w:t>.</w:t>
      </w:r>
      <w:r>
        <w:tab/>
        <w:t>Liability to pay land tax</w:t>
      </w:r>
      <w:bookmarkEnd w:id="1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1" w:name="_Toc381880389"/>
      <w:r>
        <w:rPr>
          <w:rStyle w:val="CharSectno"/>
        </w:rPr>
        <w:t>8</w:t>
      </w:r>
      <w:r>
        <w:t>.</w:t>
      </w:r>
      <w:r>
        <w:tab/>
        <w:t>Certain persons and bodies taken to be owners of land</w:t>
      </w:r>
      <w:bookmarkEnd w:id="11"/>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2" w:name="_Toc381880390"/>
      <w:r>
        <w:rPr>
          <w:rStyle w:val="CharSectno"/>
        </w:rPr>
        <w:t>9</w:t>
      </w:r>
      <w:r>
        <w:t>.</w:t>
      </w:r>
      <w:r>
        <w:tab/>
        <w:t>Liability of agents or trustees</w:t>
      </w:r>
      <w:bookmarkEnd w:id="12"/>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3" w:name="_Toc381880391"/>
      <w:r>
        <w:rPr>
          <w:rStyle w:val="CharSectno"/>
        </w:rPr>
        <w:t>9A</w:t>
      </w:r>
      <w:r>
        <w:t>.</w:t>
      </w:r>
      <w:r>
        <w:tab/>
        <w:t>Owners to notify Commissioner of errors or omissions in assessment notices</w:t>
      </w:r>
      <w:bookmarkEnd w:id="13"/>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4" w:name="_Toc381880392"/>
      <w:r>
        <w:rPr>
          <w:rStyle w:val="CharDivNo"/>
        </w:rPr>
        <w:t>Division 2</w:t>
      </w:r>
      <w:r>
        <w:t xml:space="preserve"> — </w:t>
      </w:r>
      <w:r>
        <w:rPr>
          <w:rStyle w:val="CharDivText"/>
        </w:rPr>
        <w:t>Assessment of land tax</w:t>
      </w:r>
      <w:bookmarkEnd w:id="14"/>
    </w:p>
    <w:p>
      <w:pPr>
        <w:pStyle w:val="Heading5"/>
      </w:pPr>
      <w:bookmarkStart w:id="15" w:name="_Toc381880393"/>
      <w:r>
        <w:rPr>
          <w:rStyle w:val="CharSectno"/>
        </w:rPr>
        <w:t>10</w:t>
      </w:r>
      <w:r>
        <w:t>.</w:t>
      </w:r>
      <w:r>
        <w:tab/>
        <w:t>Assessing land tax</w:t>
      </w:r>
      <w:bookmarkEnd w:id="1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16" w:name="_Toc381880394"/>
      <w:r>
        <w:rPr>
          <w:rStyle w:val="CharSectno"/>
        </w:rPr>
        <w:t>11</w:t>
      </w:r>
      <w:r>
        <w:t>.</w:t>
      </w:r>
      <w:r>
        <w:tab/>
        <w:t>Two or more lots owned by one person, tax payable on</w:t>
      </w:r>
      <w:bookmarkEnd w:id="1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17" w:name="_Toc381880395"/>
      <w:r>
        <w:rPr>
          <w:rStyle w:val="CharSectno"/>
        </w:rPr>
        <w:t>12</w:t>
      </w:r>
      <w:r>
        <w:t>.</w:t>
      </w:r>
      <w:r>
        <w:tab/>
        <w:t>Land owned jointly, tax payable on</w:t>
      </w:r>
      <w:bookmarkEnd w:id="1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8" w:name="_Toc381880396"/>
      <w:r>
        <w:rPr>
          <w:rStyle w:val="CharSectno"/>
        </w:rPr>
        <w:t>13</w:t>
      </w:r>
      <w:r>
        <w:t>.</w:t>
      </w:r>
      <w:r>
        <w:tab/>
        <w:t>Calculating taxable value of part of a lot</w:t>
      </w:r>
      <w:bookmarkEnd w:id="1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19" w:name="_Toc381880397"/>
      <w:r>
        <w:rPr>
          <w:rStyle w:val="CharSectno"/>
        </w:rPr>
        <w:t>14</w:t>
      </w:r>
      <w:r>
        <w:t>.</w:t>
      </w:r>
      <w:r>
        <w:tab/>
        <w:t>Newly subdivided private residential property, tax payable on</w:t>
      </w:r>
      <w:bookmarkEnd w:id="1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20" w:name="_Toc381880398"/>
      <w:r>
        <w:rPr>
          <w:rStyle w:val="CharSectno"/>
        </w:rPr>
        <w:t>15</w:t>
      </w:r>
      <w:r>
        <w:t>.</w:t>
      </w:r>
      <w:r>
        <w:tab/>
        <w:t>Newly subdivided rural business land, tax payable on</w:t>
      </w:r>
      <w:bookmarkEnd w:id="20"/>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spacing w:before="500"/>
      </w:pPr>
      <w:bookmarkStart w:id="21" w:name="_Toc381880399"/>
      <w:r>
        <w:rPr>
          <w:rStyle w:val="CharSectno"/>
        </w:rPr>
        <w:t>15A</w:t>
      </w:r>
      <w:r>
        <w:t>.</w:t>
      </w:r>
      <w:r>
        <w:tab/>
        <w:t>Newly subdivided dwelling park land, tax payable on</w:t>
      </w:r>
      <w:bookmarkEnd w:id="2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22" w:name="_Toc381880400"/>
      <w:r>
        <w:rPr>
          <w:rStyle w:val="CharSectno"/>
        </w:rPr>
        <w:t>16</w:t>
      </w:r>
      <w:r>
        <w:t>.</w:t>
      </w:r>
      <w:r>
        <w:tab/>
        <w:t>Non</w:t>
      </w:r>
      <w:r>
        <w:noBreakHyphen/>
        <w:t>strata home units, assessing tax on</w:t>
      </w:r>
      <w:bookmarkEnd w:id="2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23" w:name="_Toc381880401"/>
      <w:r>
        <w:rPr>
          <w:rStyle w:val="CharPartNo"/>
        </w:rPr>
        <w:t>Part 3</w:t>
      </w:r>
      <w:r>
        <w:t xml:space="preserve"> — </w:t>
      </w:r>
      <w:r>
        <w:rPr>
          <w:rStyle w:val="CharPartText"/>
        </w:rPr>
        <w:t>Exemptions, concessions and rebates</w:t>
      </w:r>
      <w:bookmarkEnd w:id="23"/>
    </w:p>
    <w:p>
      <w:pPr>
        <w:pStyle w:val="Heading3"/>
      </w:pPr>
      <w:bookmarkStart w:id="24" w:name="_Toc381880402"/>
      <w:r>
        <w:rPr>
          <w:rStyle w:val="CharDivNo"/>
        </w:rPr>
        <w:t>Division 1</w:t>
      </w:r>
      <w:r>
        <w:t xml:space="preserve"> — </w:t>
      </w:r>
      <w:r>
        <w:rPr>
          <w:rStyle w:val="CharDivText"/>
        </w:rPr>
        <w:t>General provisions</w:t>
      </w:r>
      <w:bookmarkEnd w:id="24"/>
    </w:p>
    <w:p>
      <w:pPr>
        <w:pStyle w:val="Heading5"/>
      </w:pPr>
      <w:bookmarkStart w:id="25" w:name="_Toc381880403"/>
      <w:r>
        <w:rPr>
          <w:rStyle w:val="CharSectno"/>
        </w:rPr>
        <w:t>17</w:t>
      </w:r>
      <w:r>
        <w:t>.</w:t>
      </w:r>
      <w:r>
        <w:tab/>
        <w:t>Exempt land</w:t>
      </w:r>
      <w:bookmarkEnd w:id="25"/>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Heading5"/>
      </w:pPr>
      <w:bookmarkStart w:id="26" w:name="_Toc381880404"/>
      <w:r>
        <w:rPr>
          <w:rStyle w:val="CharSectno"/>
        </w:rPr>
        <w:t>18</w:t>
      </w:r>
      <w:r>
        <w:t>.</w:t>
      </w:r>
      <w:r>
        <w:tab/>
        <w:t>Partial exemptions or concessions</w:t>
      </w:r>
      <w:bookmarkEnd w:id="26"/>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7" w:name="_Toc381880405"/>
      <w:r>
        <w:rPr>
          <w:rStyle w:val="CharSectno"/>
        </w:rPr>
        <w:t>19</w:t>
      </w:r>
      <w:r>
        <w:t>.</w:t>
      </w:r>
      <w:r>
        <w:tab/>
        <w:t>Applying for exemption or concession</w:t>
      </w:r>
      <w:bookmarkEnd w:id="27"/>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8" w:name="_Toc381880406"/>
      <w:r>
        <w:rPr>
          <w:rStyle w:val="CharSectno"/>
        </w:rPr>
        <w:t>20</w:t>
      </w:r>
      <w:r>
        <w:t>.</w:t>
      </w:r>
      <w:r>
        <w:tab/>
        <w:t>Commissioner’s power to exempt land</w:t>
      </w:r>
      <w:bookmarkEnd w:id="28"/>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29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30;</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29" w:name="_Toc381880407"/>
      <w:r>
        <w:rPr>
          <w:rStyle w:val="CharDivNo"/>
        </w:rPr>
        <w:t>Division 2</w:t>
      </w:r>
      <w:r>
        <w:t xml:space="preserve"> — </w:t>
      </w:r>
      <w:r>
        <w:rPr>
          <w:rStyle w:val="CharDivText"/>
        </w:rPr>
        <w:t>Private residential property</w:t>
      </w:r>
      <w:bookmarkEnd w:id="29"/>
    </w:p>
    <w:p>
      <w:pPr>
        <w:pStyle w:val="Heading5"/>
        <w:spacing w:before="180"/>
      </w:pPr>
      <w:bookmarkStart w:id="30" w:name="_Toc381880408"/>
      <w:r>
        <w:rPr>
          <w:rStyle w:val="CharSectno"/>
        </w:rPr>
        <w:t>21</w:t>
      </w:r>
      <w:r>
        <w:t>.</w:t>
      </w:r>
      <w:r>
        <w:tab/>
        <w:t>Residences owned by individuals, exemptions for</w:t>
      </w:r>
      <w:bookmarkEnd w:id="30"/>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1" w:name="_Toc381880409"/>
      <w:r>
        <w:rPr>
          <w:rStyle w:val="CharSectno"/>
        </w:rPr>
        <w:t>22</w:t>
      </w:r>
      <w:r>
        <w:t>.</w:t>
      </w:r>
      <w:r>
        <w:tab/>
        <w:t>Residence owned by executor etc., exemption for if beneficiary in will exercising right to reside</w:t>
      </w:r>
      <w:bookmarkEnd w:id="3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32" w:name="_Toc381880410"/>
      <w:r>
        <w:rPr>
          <w:rStyle w:val="CharSectno"/>
        </w:rPr>
        <w:t>23A</w:t>
      </w:r>
      <w:r>
        <w:t>.</w:t>
      </w:r>
      <w:r>
        <w:tab/>
        <w:t>Residence owned by executor etc., exemption for if beneficiary in will has right to future ownership and is resident</w:t>
      </w:r>
      <w:bookmarkEnd w:id="3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33" w:name="_Toc381880411"/>
      <w:r>
        <w:rPr>
          <w:rStyle w:val="CharSectno"/>
        </w:rPr>
        <w:t>23</w:t>
      </w:r>
      <w:r>
        <w:t>.</w:t>
      </w:r>
      <w:r>
        <w:tab/>
        <w:t>Continued exemption after death of resident</w:t>
      </w:r>
      <w:bookmarkEnd w:id="33"/>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4" w:name="_Toc381880412"/>
      <w:r>
        <w:rPr>
          <w:rStyle w:val="CharSectno"/>
        </w:rPr>
        <w:t>24</w:t>
      </w:r>
      <w:r>
        <w:t>.</w:t>
      </w:r>
      <w:r>
        <w:tab/>
        <w:t>Construction of private residence, one year exemption for</w:t>
      </w:r>
      <w:bookmarkEnd w:id="3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35" w:name="_Toc381880413"/>
      <w:r>
        <w:rPr>
          <w:rStyle w:val="CharSectno"/>
        </w:rPr>
        <w:t>24A</w:t>
      </w:r>
      <w:r>
        <w:t>.</w:t>
      </w:r>
      <w:r>
        <w:tab/>
        <w:t>Construction of private residence, 2 year exemption for</w:t>
      </w:r>
      <w:bookmarkEnd w:id="3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36" w:name="_Toc381880414"/>
      <w:r>
        <w:rPr>
          <w:rStyle w:val="CharSectno"/>
        </w:rPr>
        <w:t>25</w:t>
      </w:r>
      <w:r>
        <w:t>.</w:t>
      </w:r>
      <w:r>
        <w:tab/>
        <w:t>Refurbishment of private residence, one year exemption for</w:t>
      </w:r>
      <w:bookmarkEnd w:id="36"/>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37" w:name="_Toc381880415"/>
      <w:r>
        <w:rPr>
          <w:rStyle w:val="CharSectno"/>
        </w:rPr>
        <w:t>25A</w:t>
      </w:r>
      <w:r>
        <w:t>.</w:t>
      </w:r>
      <w:r>
        <w:tab/>
        <w:t>Refurbishment of private residence, 2 year exemption for</w:t>
      </w:r>
      <w:bookmarkEnd w:id="3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38" w:name="_Toc381880416"/>
      <w:r>
        <w:rPr>
          <w:rStyle w:val="CharSectno"/>
        </w:rPr>
        <w:t>26</w:t>
      </w:r>
      <w:r>
        <w:t>.</w:t>
      </w:r>
      <w:r>
        <w:tab/>
        <w:t>Residence of disabled person held in trust, exemption for</w:t>
      </w:r>
      <w:bookmarkEnd w:id="3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39" w:name="_Toc381880417"/>
      <w:r>
        <w:rPr>
          <w:rStyle w:val="CharSectno"/>
        </w:rPr>
        <w:t>26A</w:t>
      </w:r>
      <w:r>
        <w:t>.</w:t>
      </w:r>
      <w:r>
        <w:tab/>
        <w:t>Residence of disabled person owned by relative, exemption for</w:t>
      </w:r>
      <w:bookmarkEnd w:id="3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40" w:name="_Toc381880418"/>
      <w:r>
        <w:rPr>
          <w:rStyle w:val="CharSectno"/>
        </w:rPr>
        <w:t>27</w:t>
      </w:r>
      <w:r>
        <w:t>.</w:t>
      </w:r>
      <w:r>
        <w:tab/>
        <w:t>Moving between 2 private residences, application of exemption</w:t>
      </w:r>
      <w:bookmarkEnd w:id="4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41" w:name="_Toc381880419"/>
      <w:r>
        <w:rPr>
          <w:rStyle w:val="CharSectno"/>
        </w:rPr>
        <w:t>27A</w:t>
      </w:r>
      <w:r>
        <w:t>.</w:t>
      </w:r>
      <w:r>
        <w:tab/>
        <w:t>Construction or refurbishment of second private residence, 2 year exemption for</w:t>
      </w:r>
      <w:bookmarkEnd w:id="4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42" w:name="_Toc381880420"/>
      <w:r>
        <w:rPr>
          <w:rStyle w:val="CharSectno"/>
        </w:rPr>
        <w:t>28</w:t>
      </w:r>
      <w:r>
        <w:t>.</w:t>
      </w:r>
      <w:r>
        <w:tab/>
        <w:t>Inner city residential property, rebate for</w:t>
      </w:r>
      <w:bookmarkEnd w:id="4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21" o:title=""/>
          </v:shape>
          <o:OLEObject Type="Embed" ProgID="Equation.3" ShapeID="_x0000_i1025" DrawAspect="Content" ObjectID="_1643516772"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43" w:name="_Toc381880421"/>
      <w:r>
        <w:rPr>
          <w:rStyle w:val="CharDivNo"/>
        </w:rPr>
        <w:t>Division 3</w:t>
      </w:r>
      <w:r>
        <w:t xml:space="preserve"> — </w:t>
      </w:r>
      <w:r>
        <w:rPr>
          <w:rStyle w:val="CharDivText"/>
        </w:rPr>
        <w:t>Rural business land</w:t>
      </w:r>
      <w:bookmarkEnd w:id="43"/>
    </w:p>
    <w:p>
      <w:pPr>
        <w:pStyle w:val="Heading5"/>
      </w:pPr>
      <w:bookmarkStart w:id="44" w:name="_Toc381880422"/>
      <w:r>
        <w:rPr>
          <w:rStyle w:val="CharSectno"/>
        </w:rPr>
        <w:t>29</w:t>
      </w:r>
      <w:r>
        <w:t>.</w:t>
      </w:r>
      <w:r>
        <w:tab/>
        <w:t>Land used solely or principally for rural business, exemption for</w:t>
      </w:r>
      <w:bookmarkEnd w:id="44"/>
    </w:p>
    <w:p>
      <w:pPr>
        <w:pStyle w:val="Subsection"/>
      </w:pPr>
      <w:r>
        <w:tab/>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5" w:name="_Toc381880423"/>
      <w:r>
        <w:rPr>
          <w:rStyle w:val="CharSectno"/>
        </w:rPr>
        <w:t>30</w:t>
      </w:r>
      <w:r>
        <w:t>.</w:t>
      </w:r>
      <w:r>
        <w:tab/>
        <w:t>Other rural business land, concession for</w:t>
      </w:r>
      <w:bookmarkEnd w:id="45"/>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6" w:name="_Toc381880424"/>
      <w:r>
        <w:rPr>
          <w:rStyle w:val="CharDivNo"/>
        </w:rPr>
        <w:t>Division 4</w:t>
      </w:r>
      <w:r>
        <w:t xml:space="preserve"> — </w:t>
      </w:r>
      <w:r>
        <w:rPr>
          <w:rStyle w:val="CharDivText"/>
        </w:rPr>
        <w:t>Crown land and other land used for public purposes</w:t>
      </w:r>
      <w:bookmarkEnd w:id="46"/>
    </w:p>
    <w:p>
      <w:pPr>
        <w:pStyle w:val="Heading5"/>
        <w:spacing w:before="200"/>
      </w:pPr>
      <w:bookmarkStart w:id="47" w:name="_Toc381880425"/>
      <w:r>
        <w:rPr>
          <w:rStyle w:val="CharSectno"/>
        </w:rPr>
        <w:t>31</w:t>
      </w:r>
      <w:r>
        <w:t>.</w:t>
      </w:r>
      <w:r>
        <w:tab/>
        <w:t>Land owned by Crown, public authority etc., exemption for</w:t>
      </w:r>
      <w:bookmarkEnd w:id="47"/>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3" o:title=""/>
          </v:shape>
          <o:OLEObject Type="Embed" ProgID="Equation.3" ShapeID="_x0000_i1026" DrawAspect="Content" ObjectID="_1643516773" r:id="rId24"/>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48" w:name="_Toc381880426"/>
      <w:r>
        <w:rPr>
          <w:rStyle w:val="CharSectno"/>
        </w:rPr>
        <w:t>32</w:t>
      </w:r>
      <w:r>
        <w:t>.</w:t>
      </w:r>
      <w:r>
        <w:tab/>
        <w:t>Land owned by religious bodies, exemption for</w:t>
      </w:r>
      <w:bookmarkEnd w:id="4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9" w:name="_Toc381880427"/>
      <w:r>
        <w:rPr>
          <w:rStyle w:val="CharSectno"/>
        </w:rPr>
        <w:t>33</w:t>
      </w:r>
      <w:r>
        <w:t>.</w:t>
      </w:r>
      <w:r>
        <w:tab/>
        <w:t>Land owned by educational institutions, exemption for</w:t>
      </w:r>
      <w:bookmarkEnd w:id="4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50" w:name="_Toc381880428"/>
      <w:r>
        <w:rPr>
          <w:rStyle w:val="CharSectno"/>
        </w:rPr>
        <w:t>34</w:t>
      </w:r>
      <w:r>
        <w:t>.</w:t>
      </w:r>
      <w:r>
        <w:tab/>
        <w:t>Land used for public or religious hospitals, exemption for</w:t>
      </w:r>
      <w:bookmarkEnd w:id="50"/>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51" w:name="_Toc381880429"/>
      <w:r>
        <w:rPr>
          <w:rStyle w:val="CharSectno"/>
        </w:rPr>
        <w:t>35</w:t>
      </w:r>
      <w:r>
        <w:t>.</w:t>
      </w:r>
      <w:r>
        <w:tab/>
        <w:t>Mining tenements, exemption for</w:t>
      </w:r>
      <w:bookmarkEnd w:id="51"/>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52" w:name="_Toc381880430"/>
      <w:r>
        <w:rPr>
          <w:rStyle w:val="CharSectno"/>
        </w:rPr>
        <w:t>36</w:t>
      </w:r>
      <w:r>
        <w:t>.</w:t>
      </w:r>
      <w:r>
        <w:tab/>
        <w:t>Land used for various public purposes, exemption for</w:t>
      </w:r>
      <w:bookmarkEnd w:id="52"/>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53" w:name="_Toc381880431"/>
      <w:r>
        <w:rPr>
          <w:rStyle w:val="CharSectno"/>
        </w:rPr>
        <w:t>37</w:t>
      </w:r>
      <w:r>
        <w:t>.</w:t>
      </w:r>
      <w:r>
        <w:tab/>
        <w:t>Land owned by public charitable or benevolent institutions, exemption for</w:t>
      </w:r>
      <w:bookmarkEnd w:id="53"/>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spacing w:before="200"/>
      </w:pPr>
      <w:bookmarkStart w:id="54" w:name="_Toc381880432"/>
      <w:r>
        <w:rPr>
          <w:rStyle w:val="CharSectno"/>
        </w:rPr>
        <w:t>38</w:t>
      </w:r>
      <w:r>
        <w:t>.</w:t>
      </w:r>
      <w:r>
        <w:tab/>
        <w:t>Land owned by non</w:t>
      </w:r>
      <w:r>
        <w:noBreakHyphen/>
        <w:t>profit associations, exemption or concession for</w:t>
      </w:r>
      <w:bookmarkEnd w:id="54"/>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00"/>
      </w:pPr>
      <w:bookmarkStart w:id="55" w:name="_Toc381880433"/>
      <w:r>
        <w:rPr>
          <w:rStyle w:val="CharSectno"/>
        </w:rPr>
        <w:t>38A</w:t>
      </w:r>
      <w:r>
        <w:t>.</w:t>
      </w:r>
      <w:r>
        <w:tab/>
        <w:t>Land used as aged care facility, exemption for</w:t>
      </w:r>
      <w:bookmarkEnd w:id="55"/>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spacing w:before="200"/>
      </w:pPr>
      <w:bookmarkStart w:id="56" w:name="_Toc381880434"/>
      <w:r>
        <w:rPr>
          <w:rStyle w:val="CharSectno"/>
        </w:rPr>
        <w:t>39</w:t>
      </w:r>
      <w:r>
        <w:t>.</w:t>
      </w:r>
      <w:r>
        <w:tab/>
        <w:t>Land used for retirement villages, exemption for</w:t>
      </w:r>
      <w:bookmarkEnd w:id="56"/>
    </w:p>
    <w:p>
      <w:pPr>
        <w:pStyle w:val="Subsection"/>
        <w:spacing w:before="140"/>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6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60"/>
      </w:pPr>
      <w:r>
        <w:tab/>
        <w:t>(b)</w:t>
      </w:r>
      <w:r>
        <w:tab/>
        <w:t xml:space="preserve">all approvals necessary for the village under the </w:t>
      </w:r>
      <w:r>
        <w:rPr>
          <w:i/>
          <w:iCs/>
        </w:rPr>
        <w:t xml:space="preserve">Building Act 2011 </w:t>
      </w:r>
      <w:r>
        <w:t>are in force at that time.</w:t>
      </w:r>
    </w:p>
    <w:p>
      <w:pPr>
        <w:pStyle w:val="Footnotesection"/>
        <w:spacing w:before="80"/>
        <w:ind w:left="890" w:hanging="890"/>
      </w:pPr>
      <w:r>
        <w:tab/>
        <w:t>[Section 39 amended by No. 24 of 2011 s. 164(2).]</w:t>
      </w:r>
    </w:p>
    <w:p>
      <w:pPr>
        <w:pStyle w:val="Heading3"/>
        <w:spacing w:before="260"/>
      </w:pPr>
      <w:bookmarkStart w:id="57" w:name="_Toc381880435"/>
      <w:r>
        <w:rPr>
          <w:rStyle w:val="CharDivNo"/>
        </w:rPr>
        <w:t>Division 4A</w:t>
      </w:r>
      <w:r>
        <w:t> — </w:t>
      </w:r>
      <w:r>
        <w:rPr>
          <w:rStyle w:val="CharDivText"/>
        </w:rPr>
        <w:t>Land used for non</w:t>
      </w:r>
      <w:r>
        <w:rPr>
          <w:rStyle w:val="CharDivText"/>
        </w:rPr>
        <w:noBreakHyphen/>
        <w:t>permanent residences</w:t>
      </w:r>
      <w:bookmarkEnd w:id="57"/>
    </w:p>
    <w:p>
      <w:pPr>
        <w:pStyle w:val="Footnoteheading"/>
        <w:spacing w:before="80"/>
      </w:pPr>
      <w:r>
        <w:tab/>
        <w:t>[Heading inserted by No. 10 of 2005 s. 7.]</w:t>
      </w:r>
    </w:p>
    <w:p>
      <w:pPr>
        <w:pStyle w:val="Heading5"/>
        <w:keepNext w:val="0"/>
        <w:keepLines w:val="0"/>
        <w:spacing w:before="200"/>
      </w:pPr>
      <w:bookmarkStart w:id="58" w:name="_Toc381880436"/>
      <w:r>
        <w:rPr>
          <w:rStyle w:val="CharSectno"/>
        </w:rPr>
        <w:t>39A</w:t>
      </w:r>
      <w:r>
        <w:t>.</w:t>
      </w:r>
      <w:r>
        <w:tab/>
        <w:t>Land to which s. 39B applies</w:t>
      </w:r>
      <w:bookmarkEnd w:id="58"/>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59" w:name="_Toc381880437"/>
      <w:r>
        <w:rPr>
          <w:rStyle w:val="CharSectno"/>
        </w:rPr>
        <w:t>39B</w:t>
      </w:r>
      <w:r>
        <w:t>.</w:t>
      </w:r>
      <w:r>
        <w:tab/>
        <w:t>Dwelling park land, concessions for</w:t>
      </w:r>
      <w:bookmarkEnd w:id="59"/>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r>
        <w:tab/>
        <w:t>[Section 39B inserted by No. 10 of 2005 s. 7; amended by No. 30 of 2008 s. 17; No. 27 of 2010 s. 5.]</w:t>
      </w:r>
    </w:p>
    <w:p>
      <w:pPr>
        <w:pStyle w:val="Heading3"/>
      </w:pPr>
      <w:bookmarkStart w:id="60" w:name="_Toc381880438"/>
      <w:r>
        <w:rPr>
          <w:rStyle w:val="CharDivNo"/>
        </w:rPr>
        <w:t>Division 5</w:t>
      </w:r>
      <w:r>
        <w:t xml:space="preserve"> — </w:t>
      </w:r>
      <w:r>
        <w:rPr>
          <w:rStyle w:val="CharDivText"/>
        </w:rPr>
        <w:t>Other exemptions and concessions</w:t>
      </w:r>
      <w:bookmarkEnd w:id="60"/>
    </w:p>
    <w:p>
      <w:pPr>
        <w:pStyle w:val="Heading5"/>
      </w:pPr>
      <w:bookmarkStart w:id="61" w:name="_Toc381880439"/>
      <w:r>
        <w:rPr>
          <w:rStyle w:val="CharSectno"/>
        </w:rPr>
        <w:t>40</w:t>
      </w:r>
      <w:r>
        <w:t>.</w:t>
      </w:r>
      <w:r>
        <w:tab/>
        <w:t>Land owned by veteran’s surviving partner or mother, exemption for</w:t>
      </w:r>
      <w:bookmarkEnd w:id="61"/>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62" w:name="_Toc381880440"/>
      <w:r>
        <w:rPr>
          <w:rStyle w:val="CharSectno"/>
        </w:rPr>
        <w:t>41</w:t>
      </w:r>
      <w:r>
        <w:t>.</w:t>
      </w:r>
      <w:r>
        <w:tab/>
        <w:t>Land under conservation covenant, exemption for</w:t>
      </w:r>
      <w:bookmarkEnd w:id="62"/>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63" w:name="_Toc381880441"/>
      <w:r>
        <w:rPr>
          <w:rStyle w:val="CharSectno"/>
        </w:rPr>
        <w:t>42</w:t>
      </w:r>
      <w:r>
        <w:t>.</w:t>
      </w:r>
      <w:r>
        <w:tab/>
        <w:t>Land vacated for sale by mortgagee, one year exemption for</w:t>
      </w:r>
      <w:bookmarkEnd w:id="6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64" w:name="_Toc381880442"/>
      <w:r>
        <w:rPr>
          <w:rStyle w:val="CharSectno"/>
        </w:rPr>
        <w:t>43A</w:t>
      </w:r>
      <w:r>
        <w:t>.</w:t>
      </w:r>
      <w:r>
        <w:tab/>
        <w:t>Newly subdivided land, concession for</w:t>
      </w:r>
      <w:bookmarkEnd w:id="6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65" w:name="_Toc381880443"/>
      <w:r>
        <w:rPr>
          <w:rStyle w:val="CharPartNo"/>
        </w:rPr>
        <w:t>Part 4</w:t>
      </w:r>
      <w:r>
        <w:rPr>
          <w:rStyle w:val="CharDivNo"/>
        </w:rPr>
        <w:t xml:space="preserve"> </w:t>
      </w:r>
      <w:r>
        <w:t>—</w:t>
      </w:r>
      <w:r>
        <w:rPr>
          <w:rStyle w:val="CharDivText"/>
        </w:rPr>
        <w:t xml:space="preserve"> </w:t>
      </w:r>
      <w:r>
        <w:rPr>
          <w:rStyle w:val="CharPartText"/>
        </w:rPr>
        <w:t>Miscellaneous</w:t>
      </w:r>
      <w:bookmarkEnd w:id="65"/>
    </w:p>
    <w:p>
      <w:pPr>
        <w:pStyle w:val="Heading5"/>
      </w:pPr>
      <w:bookmarkStart w:id="66" w:name="_Toc381880444"/>
      <w:r>
        <w:rPr>
          <w:rStyle w:val="CharSectno"/>
        </w:rPr>
        <w:t>43</w:t>
      </w:r>
      <w:r>
        <w:t>.</w:t>
      </w:r>
      <w:r>
        <w:tab/>
        <w:t>Occupier etc. of land to give information</w:t>
      </w:r>
      <w:bookmarkEnd w:id="6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7" w:name="_Toc381880445"/>
      <w:r>
        <w:rPr>
          <w:rStyle w:val="CharSectno"/>
        </w:rPr>
        <w:t>44</w:t>
      </w:r>
      <w:r>
        <w:t>.</w:t>
      </w:r>
      <w:r>
        <w:tab/>
        <w:t>University land, Act applies to</w:t>
      </w:r>
      <w:bookmarkEnd w:id="67"/>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68" w:name="_Toc381880446"/>
      <w:r>
        <w:rPr>
          <w:rStyle w:val="CharSectno"/>
        </w:rPr>
        <w:t>45</w:t>
      </w:r>
      <w:r>
        <w:t>.</w:t>
      </w:r>
      <w:r>
        <w:tab/>
        <w:t>Contracts ineffective to alter incidence of land tax</w:t>
      </w:r>
      <w:bookmarkEnd w:id="6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69" w:name="_Toc381880447"/>
      <w:r>
        <w:rPr>
          <w:rStyle w:val="CharSectno"/>
        </w:rPr>
        <w:t>45A</w:t>
      </w:r>
      <w:r>
        <w:t>.</w:t>
      </w:r>
      <w:r>
        <w:tab/>
        <w:t>Minor interests of joint owners, Commissioner may disregard</w:t>
      </w:r>
      <w:bookmarkEnd w:id="69"/>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w:t>
      </w:r>
    </w:p>
    <w:p>
      <w:pPr>
        <w:pStyle w:val="Heading5"/>
      </w:pPr>
      <w:bookmarkStart w:id="70" w:name="_Toc381880448"/>
      <w:r>
        <w:rPr>
          <w:rStyle w:val="CharSectno"/>
        </w:rPr>
        <w:t>45B</w:t>
      </w:r>
      <w:r>
        <w:t>.</w:t>
      </w:r>
      <w:r>
        <w:tab/>
        <w:t>Effect of determination under s. 45A</w:t>
      </w:r>
      <w:bookmarkEnd w:id="7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1" w:name="_Toc381880449"/>
      <w:r>
        <w:rPr>
          <w:rStyle w:val="CharSectno"/>
        </w:rPr>
        <w:t>46</w:t>
      </w:r>
      <w:r>
        <w:t>.</w:t>
      </w:r>
      <w:r>
        <w:tab/>
        <w:t>Regulations</w:t>
      </w:r>
      <w:bookmarkEnd w:id="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2" w:name="_Toc381880450"/>
      <w:r>
        <w:t>47.</w:t>
      </w:r>
      <w:r>
        <w:tab/>
        <w:t>Transitional provisions</w:t>
      </w:r>
      <w:bookmarkEnd w:id="72"/>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73" w:name="_Toc381880451"/>
      <w:r>
        <w:rPr>
          <w:rStyle w:val="CharSchNo"/>
        </w:rPr>
        <w:t>Schedule 1</w:t>
      </w:r>
      <w:r>
        <w:t> — </w:t>
      </w:r>
      <w:r>
        <w:rPr>
          <w:rStyle w:val="CharSchText"/>
        </w:rPr>
        <w:t>Transitional provisions</w:t>
      </w:r>
      <w:bookmarkEnd w:id="73"/>
    </w:p>
    <w:p>
      <w:pPr>
        <w:pStyle w:val="yShoulderClause"/>
      </w:pPr>
      <w:r>
        <w:t>[s. 47]</w:t>
      </w:r>
    </w:p>
    <w:p>
      <w:pPr>
        <w:pStyle w:val="yFootnoteheading"/>
      </w:pPr>
      <w:r>
        <w:tab/>
        <w:t>[Heading inserted by No. 31 of 2006 s. 26.]</w:t>
      </w:r>
    </w:p>
    <w:p>
      <w:pPr>
        <w:pStyle w:val="yHeading3"/>
      </w:pPr>
      <w:bookmarkStart w:id="74" w:name="_Toc381880452"/>
      <w:r>
        <w:rPr>
          <w:rStyle w:val="CharSDivNo"/>
        </w:rPr>
        <w:t>Division 1</w:t>
      </w:r>
      <w:r>
        <w:rPr>
          <w:b w:val="0"/>
        </w:rPr>
        <w:t> — </w:t>
      </w:r>
      <w:r>
        <w:rPr>
          <w:rStyle w:val="CharSDivText"/>
        </w:rPr>
        <w:t xml:space="preserve">Provision for </w:t>
      </w:r>
      <w:r>
        <w:rPr>
          <w:rStyle w:val="CharSDivText"/>
          <w:i/>
        </w:rPr>
        <w:t>Revenue Laws Amendment Act 2006</w:t>
      </w:r>
      <w:bookmarkEnd w:id="74"/>
    </w:p>
    <w:p>
      <w:pPr>
        <w:pStyle w:val="yFootnoteheading"/>
      </w:pPr>
      <w:r>
        <w:tab/>
        <w:t>[Heading inserted by No. 31 of 2006 s. 26.]</w:t>
      </w:r>
    </w:p>
    <w:p>
      <w:pPr>
        <w:pStyle w:val="yHeading5"/>
        <w:outlineLvl w:val="9"/>
      </w:pPr>
      <w:bookmarkStart w:id="75" w:name="_Toc381880453"/>
      <w:r>
        <w:rPr>
          <w:rStyle w:val="CharSClsNo"/>
        </w:rPr>
        <w:t>1</w:t>
      </w:r>
      <w:r>
        <w:t>.</w:t>
      </w:r>
      <w:r>
        <w:rPr>
          <w:b w:val="0"/>
        </w:rPr>
        <w:tab/>
      </w:r>
      <w:r>
        <w:t>Application of s. 24A, 25A and 27A</w:t>
      </w:r>
      <w:bookmarkEnd w:id="7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76" w:name="_Toc381880454"/>
      <w:r>
        <w:rPr>
          <w:rStyle w:val="CharSDivNo"/>
        </w:rPr>
        <w:t>Division 2</w:t>
      </w:r>
      <w:r>
        <w:rPr>
          <w:b w:val="0"/>
        </w:rPr>
        <w:t> — </w:t>
      </w:r>
      <w:r>
        <w:rPr>
          <w:rStyle w:val="CharSDivText"/>
        </w:rPr>
        <w:t xml:space="preserve">Provision for </w:t>
      </w:r>
      <w:r>
        <w:rPr>
          <w:rStyle w:val="CharSDivText"/>
          <w:i/>
          <w:iCs/>
        </w:rPr>
        <w:t>Revenue Laws Amendment (Taxation) Act 2009</w:t>
      </w:r>
      <w:bookmarkEnd w:id="76"/>
    </w:p>
    <w:p>
      <w:pPr>
        <w:pStyle w:val="Footnoteheading"/>
        <w:rPr>
          <w:i w:val="0"/>
        </w:rPr>
      </w:pPr>
      <w:r>
        <w:tab/>
        <w:t>[Heading inserted by No. 19 of 2009 s. 11.]</w:t>
      </w:r>
    </w:p>
    <w:p>
      <w:pPr>
        <w:pStyle w:val="yHeading5"/>
      </w:pPr>
      <w:bookmarkStart w:id="77" w:name="_Toc381880455"/>
      <w:r>
        <w:rPr>
          <w:rStyle w:val="CharSClsNo"/>
        </w:rPr>
        <w:t>2</w:t>
      </w:r>
      <w:r>
        <w:t>.</w:t>
      </w:r>
      <w:r>
        <w:rPr>
          <w:b w:val="0"/>
        </w:rPr>
        <w:tab/>
      </w:r>
      <w:r>
        <w:t>Regulations for cl. 6</w:t>
      </w:r>
      <w:bookmarkEnd w:id="77"/>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78" w:name="_Toc381880456"/>
      <w:r>
        <w:rPr>
          <w:rStyle w:val="CharSchNo"/>
        </w:rPr>
        <w:t>Glossary</w:t>
      </w:r>
      <w:bookmarkEnd w:id="78"/>
      <w:r>
        <w:rPr>
          <w:rStyle w:val="CharSchText"/>
        </w:rPr>
        <w:t xml:space="preserve"> </w:t>
      </w:r>
    </w:p>
    <w:p>
      <w:pPr>
        <w:pStyle w:val="yShoulderClause"/>
        <w:spacing w:before="40"/>
      </w:pPr>
      <w:r>
        <w:t>[s. 4]</w:t>
      </w:r>
    </w:p>
    <w:p>
      <w:pPr>
        <w:pStyle w:val="yHeading5"/>
      </w:pPr>
      <w:bookmarkStart w:id="79" w:name="_Toc381880457"/>
      <w:r>
        <w:rPr>
          <w:rStyle w:val="CharSClsNo"/>
        </w:rPr>
        <w:t>1</w:t>
      </w:r>
      <w:r>
        <w:t>.</w:t>
      </w:r>
      <w:r>
        <w:tab/>
        <w:t>Terms used</w:t>
      </w:r>
      <w:bookmarkEnd w:id="79"/>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pPr>
      <w:r>
        <w:tab/>
      </w:r>
      <w:r>
        <w:rPr>
          <w:rStyle w:val="CharDefText"/>
        </w:rPr>
        <w:t>total net income</w:t>
      </w:r>
      <w:r>
        <w:t>, in relation to the owner of a rural business, has the meaning given in clause 5;</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w:t>
      </w:r>
    </w:p>
    <w:p>
      <w:pPr>
        <w:pStyle w:val="yHeading5"/>
      </w:pPr>
      <w:bookmarkStart w:id="80" w:name="_Toc381880458"/>
      <w:r>
        <w:rPr>
          <w:rStyle w:val="CharSClsNo"/>
        </w:rPr>
        <w:t>2</w:t>
      </w:r>
      <w:r>
        <w:t>.</w:t>
      </w:r>
      <w:r>
        <w:tab/>
        <w:t>Lots and parcels of land</w:t>
      </w:r>
      <w:bookmarkEnd w:id="80"/>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81" w:name="_Toc381880459"/>
      <w:r>
        <w:rPr>
          <w:rStyle w:val="CharSClsNo"/>
        </w:rPr>
        <w:t>3</w:t>
      </w:r>
      <w:r>
        <w:t>.</w:t>
      </w:r>
      <w:r>
        <w:tab/>
        <w:t>Subdivided land</w:t>
      </w:r>
      <w:bookmarkEnd w:id="8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w:t>
      </w:r>
    </w:p>
    <w:p>
      <w:pPr>
        <w:pStyle w:val="yHeading5"/>
      </w:pPr>
      <w:bookmarkStart w:id="82" w:name="_Toc381880460"/>
      <w:r>
        <w:rPr>
          <w:rStyle w:val="CharSClsNo"/>
        </w:rPr>
        <w:t>4</w:t>
      </w:r>
      <w:r>
        <w:t>.</w:t>
      </w:r>
      <w:r>
        <w:tab/>
        <w:t>Land in non</w:t>
      </w:r>
      <w:r>
        <w:noBreakHyphen/>
        <w:t>rural zone</w:t>
      </w:r>
      <w:bookmarkEnd w:id="82"/>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r>
        <w:tab/>
        <w:t>[Clause 4 amended by No. 38 of 2005 s. 15; No. 28 of 2010 s. 33(5)(b).]</w:t>
      </w:r>
    </w:p>
    <w:p>
      <w:pPr>
        <w:pStyle w:val="yHeading5"/>
      </w:pPr>
      <w:bookmarkStart w:id="83" w:name="_Toc381880461"/>
      <w:r>
        <w:rPr>
          <w:rStyle w:val="CharSClsNo"/>
        </w:rPr>
        <w:t>5</w:t>
      </w:r>
      <w:r>
        <w:t>.</w:t>
      </w:r>
      <w:r>
        <w:tab/>
        <w:t>Total net income of rural business owners</w:t>
      </w:r>
      <w:bookmarkEnd w:id="83"/>
    </w:p>
    <w:p>
      <w:pPr>
        <w:pStyle w:val="ySubsection"/>
        <w:keepNext/>
      </w:pPr>
      <w:r>
        <w:tab/>
        <w:t>(1)</w:t>
      </w:r>
      <w:r>
        <w:tab/>
        <w:t xml:space="preserve">For the purposes of sections 29 and 30,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84" w:name="_Toc381880462"/>
      <w:r>
        <w:rPr>
          <w:rStyle w:val="CharSClsNo"/>
        </w:rPr>
        <w:t>6</w:t>
      </w:r>
      <w:r>
        <w:t>.</w:t>
      </w:r>
      <w:r>
        <w:rPr>
          <w:b w:val="0"/>
        </w:rPr>
        <w:tab/>
      </w:r>
      <w:r>
        <w:t>Taxable value</w:t>
      </w:r>
      <w:bookmarkEnd w:id="84"/>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85" w:name="_Toc381880463"/>
      <w:r>
        <w:t>Notes</w:t>
      </w:r>
      <w:bookmarkEnd w:id="85"/>
    </w:p>
    <w:p>
      <w:pPr>
        <w:pStyle w:val="nSubsection"/>
        <w:rPr>
          <w:snapToGrid w:val="0"/>
        </w:rPr>
      </w:pPr>
      <w:r>
        <w:rPr>
          <w:snapToGrid w:val="0"/>
          <w:vertAlign w:val="superscript"/>
        </w:rPr>
        <w:t>1</w:t>
      </w:r>
      <w:r>
        <w:rPr>
          <w:snapToGrid w:val="0"/>
        </w:rPr>
        <w:tab/>
        <w:t xml:space="preserve">This reprint is a compilation as at 19 April 2013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7</w:t>
      </w:r>
      <w:r>
        <w:rPr>
          <w:snapToGrid w:val="0"/>
        </w:rPr>
        <w:t>.  The table also contains information about any reprint.</w:t>
      </w:r>
    </w:p>
    <w:p>
      <w:pPr>
        <w:pStyle w:val="nHeading3"/>
        <w:rPr>
          <w:snapToGrid w:val="0"/>
        </w:rPr>
      </w:pPr>
      <w:bookmarkStart w:id="86" w:name="_Toc381880464"/>
      <w:r>
        <w:rPr>
          <w:snapToGrid w:val="0"/>
        </w:rPr>
        <w:t>Compilation table</w:t>
      </w:r>
      <w:bookmarkEnd w:id="86"/>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Pt. 2 and s. 8</w:t>
            </w:r>
            <w:r>
              <w:rPr>
                <w:noProof/>
                <w:snapToGrid w:val="0"/>
                <w:sz w:val="19"/>
                <w:vertAlign w:val="superscript"/>
              </w:rPr>
              <w:t> 8</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9</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rPr>
              <w:t>Land Information Authority Act 2006</w:t>
            </w:r>
            <w:r>
              <w:rPr>
                <w:snapToGrid w:val="0"/>
                <w:sz w:val="19"/>
              </w:rPr>
              <w:t xml:space="preserve"> s. 142</w:t>
            </w:r>
          </w:p>
        </w:tc>
        <w:tc>
          <w:tcPr>
            <w:tcW w:w="1136" w:type="dxa"/>
            <w:gridSpan w:val="2"/>
          </w:tcPr>
          <w:p>
            <w:pPr>
              <w:pStyle w:val="nTable"/>
              <w:spacing w:after="40"/>
              <w:rPr>
                <w:noProof/>
                <w:snapToGrid w:val="0"/>
                <w:sz w:val="19"/>
              </w:rPr>
            </w:pPr>
            <w:r>
              <w:rPr>
                <w:snapToGrid w:val="0"/>
                <w:sz w:val="19"/>
              </w:rPr>
              <w:t>60 of 2006</w:t>
            </w:r>
          </w:p>
        </w:tc>
        <w:tc>
          <w:tcPr>
            <w:tcW w:w="1133" w:type="dxa"/>
            <w:gridSpan w:val="2"/>
          </w:tcPr>
          <w:p>
            <w:pPr>
              <w:pStyle w:val="nTable"/>
              <w:spacing w:after="40"/>
              <w:rPr>
                <w:noProof/>
                <w:snapToGrid w:val="0"/>
                <w:sz w:val="19"/>
              </w:rPr>
            </w:pPr>
            <w:r>
              <w:rPr>
                <w:snapToGrid w:val="0"/>
                <w:sz w:val="19"/>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rPr>
            </w:pPr>
            <w:r>
              <w:rPr>
                <w:i/>
                <w:snapToGrid w:val="0"/>
                <w:sz w:val="19"/>
              </w:rPr>
              <w:t xml:space="preserve">Liquor and Gaming Legislation Amendment Act 2006 </w:t>
            </w:r>
            <w:r>
              <w:rPr>
                <w:snapToGrid w:val="0"/>
                <w:sz w:val="19"/>
              </w:rPr>
              <w:t>s. 114</w:t>
            </w:r>
          </w:p>
        </w:tc>
        <w:tc>
          <w:tcPr>
            <w:tcW w:w="1136" w:type="dxa"/>
            <w:gridSpan w:val="2"/>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6" w:type="dxa"/>
            <w:gridSpan w:val="2"/>
          </w:tcPr>
          <w:p>
            <w:pPr>
              <w:pStyle w:val="nTable"/>
              <w:spacing w:after="40"/>
              <w:rPr>
                <w:snapToGrid w:val="0"/>
                <w:sz w:val="19"/>
              </w:rPr>
            </w:pPr>
            <w:r>
              <w:rPr>
                <w:snapToGrid w:val="0"/>
                <w:sz w:val="19"/>
              </w:rPr>
              <w:t>19 of 2010</w:t>
            </w:r>
          </w:p>
        </w:tc>
        <w:tc>
          <w:tcPr>
            <w:tcW w:w="1133"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rPr>
              <w:t>Act other than s. 1 and 2: 1 Jul 2010 (see s. 2(b)(ii));</w:t>
            </w:r>
            <w:r>
              <w:rPr>
                <w:snapToGrid w:val="0"/>
                <w:spacing w:val="-2"/>
                <w:sz w:val="19"/>
              </w:rPr>
              <w:br/>
              <w:t>s. 1 and 2: 7 Jul 2010 (see s. 2(a))</w:t>
            </w:r>
          </w:p>
        </w:tc>
      </w:tr>
      <w:tr>
        <w:tc>
          <w:tcPr>
            <w:tcW w:w="2266" w:type="dxa"/>
            <w:gridSpan w:val="2"/>
          </w:tcPr>
          <w:p>
            <w:pPr>
              <w:pStyle w:val="nTable"/>
              <w:spacing w:after="40"/>
              <w:rPr>
                <w:i/>
                <w:sz w:val="19"/>
                <w:vertAlign w:val="superscript"/>
              </w:rPr>
            </w:pPr>
            <w:r>
              <w:rPr>
                <w:i/>
                <w:snapToGrid w:val="0"/>
                <w:sz w:val="19"/>
              </w:rPr>
              <w:t>Approvals and Related Reforms (No. 4) (Planning) Act 2010</w:t>
            </w:r>
            <w:r>
              <w:rPr>
                <w:sz w:val="19"/>
              </w:rPr>
              <w:t xml:space="preserve"> s. 33 </w:t>
            </w:r>
            <w:r>
              <w:rPr>
                <w:sz w:val="19"/>
                <w:vertAlign w:val="superscript"/>
              </w:rPr>
              <w:t>10</w:t>
            </w:r>
          </w:p>
        </w:tc>
        <w:tc>
          <w:tcPr>
            <w:tcW w:w="1136" w:type="dxa"/>
            <w:gridSpan w:val="2"/>
          </w:tcPr>
          <w:p>
            <w:pPr>
              <w:pStyle w:val="nTable"/>
              <w:spacing w:after="40"/>
              <w:rPr>
                <w:sz w:val="19"/>
              </w:rPr>
            </w:pPr>
            <w:r>
              <w:rPr>
                <w:snapToGrid w:val="0"/>
                <w:sz w:val="19"/>
              </w:rPr>
              <w:t>28 of 2010</w:t>
            </w:r>
          </w:p>
        </w:tc>
        <w:tc>
          <w:tcPr>
            <w:tcW w:w="1133" w:type="dxa"/>
            <w:gridSpan w:val="2"/>
          </w:tcPr>
          <w:p>
            <w:pPr>
              <w:pStyle w:val="nTable"/>
              <w:spacing w:after="40"/>
              <w:rPr>
                <w:sz w:val="19"/>
              </w:rPr>
            </w:pPr>
            <w:r>
              <w:rPr>
                <w:snapToGrid w:val="0"/>
                <w:sz w:val="19"/>
              </w:rPr>
              <w:t>19 Aug 2010</w:t>
            </w:r>
          </w:p>
        </w:tc>
        <w:tc>
          <w:tcPr>
            <w:tcW w:w="2551" w:type="dxa"/>
            <w:gridSpan w:val="2"/>
          </w:tcPr>
          <w:p>
            <w:pPr>
              <w:pStyle w:val="nTable"/>
              <w:spacing w:after="40"/>
              <w:rPr>
                <w:snapToGrid w:val="0"/>
                <w:spacing w:val="-2"/>
                <w:sz w:val="19"/>
              </w:rPr>
            </w:pPr>
            <w:r>
              <w:rPr>
                <w:snapToGrid w:val="0"/>
                <w:spacing w:val="-2"/>
                <w:sz w:val="19"/>
              </w:rPr>
              <w:t xml:space="preserve">22 Nov 2010 (see s. 2(b) and </w:t>
            </w:r>
            <w:r>
              <w:rPr>
                <w:i/>
                <w:iCs/>
                <w:snapToGrid w:val="0"/>
                <w:spacing w:val="-2"/>
                <w:sz w:val="19"/>
              </w:rPr>
              <w:t>Gazette</w:t>
            </w:r>
            <w:r>
              <w:rPr>
                <w:snapToGrid w:val="0"/>
                <w:spacing w:val="-2"/>
                <w:sz w:val="19"/>
              </w:rPr>
              <w:t xml:space="preserve"> 19 Nov 2010 p. 5709)</w:t>
            </w:r>
          </w:p>
        </w:tc>
      </w:tr>
      <w:tr>
        <w:trPr>
          <w:cantSplit/>
        </w:trPr>
        <w:tc>
          <w:tcPr>
            <w:tcW w:w="7086" w:type="dxa"/>
            <w:gridSpan w:val="8"/>
          </w:tcPr>
          <w:p>
            <w:pPr>
              <w:pStyle w:val="nTable"/>
              <w:spacing w:after="40"/>
              <w:rPr>
                <w:snapToGrid w:val="0"/>
                <w:spacing w:val="-2"/>
                <w:sz w:val="19"/>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r>
        <w:tc>
          <w:tcPr>
            <w:tcW w:w="2266" w:type="dxa"/>
            <w:gridSpan w:val="2"/>
          </w:tcPr>
          <w:p>
            <w:pPr>
              <w:pStyle w:val="nTable"/>
              <w:spacing w:after="40"/>
              <w:rPr>
                <w:i/>
                <w:snapToGrid w:val="0"/>
                <w:sz w:val="19"/>
              </w:rPr>
            </w:pPr>
            <w:r>
              <w:rPr>
                <w:i/>
                <w:snapToGrid w:val="0"/>
                <w:sz w:val="19"/>
              </w:rPr>
              <w:t>Building Act 2011</w:t>
            </w:r>
            <w:r>
              <w:rPr>
                <w:snapToGrid w:val="0"/>
                <w:sz w:val="19"/>
              </w:rPr>
              <w:t xml:space="preserve"> s. 164</w:t>
            </w:r>
          </w:p>
        </w:tc>
        <w:tc>
          <w:tcPr>
            <w:tcW w:w="1136" w:type="dxa"/>
            <w:gridSpan w:val="2"/>
          </w:tcPr>
          <w:p>
            <w:pPr>
              <w:pStyle w:val="nTable"/>
              <w:spacing w:after="40"/>
              <w:rPr>
                <w:snapToGrid w:val="0"/>
                <w:sz w:val="19"/>
              </w:rPr>
            </w:pPr>
            <w:r>
              <w:rPr>
                <w:snapToGrid w:val="0"/>
                <w:sz w:val="19"/>
              </w:rPr>
              <w:t>24 of 2011</w:t>
            </w:r>
          </w:p>
        </w:tc>
        <w:tc>
          <w:tcPr>
            <w:tcW w:w="1133" w:type="dxa"/>
            <w:gridSpan w:val="2"/>
          </w:tcPr>
          <w:p>
            <w:pPr>
              <w:pStyle w:val="nTable"/>
              <w:spacing w:after="40"/>
              <w:rPr>
                <w:snapToGrid w:val="0"/>
                <w:sz w:val="19"/>
              </w:rPr>
            </w:pPr>
            <w:r>
              <w:rPr>
                <w:snapToGrid w:val="0"/>
                <w:sz w:val="19"/>
              </w:rPr>
              <w:t>11 Jul 2011</w:t>
            </w:r>
          </w:p>
        </w:tc>
        <w:tc>
          <w:tcPr>
            <w:tcW w:w="2551" w:type="dxa"/>
            <w:gridSpan w:val="2"/>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c>
          <w:tcPr>
            <w:tcW w:w="2266" w:type="dxa"/>
            <w:gridSpan w:val="2"/>
          </w:tcPr>
          <w:p>
            <w:pPr>
              <w:pStyle w:val="nTable"/>
              <w:spacing w:after="40"/>
              <w:rPr>
                <w:i/>
                <w:sz w:val="19"/>
                <w:vertAlign w:val="superscript"/>
              </w:rPr>
            </w:pPr>
            <w:r>
              <w:rPr>
                <w:i/>
                <w:snapToGrid w:val="0"/>
                <w:sz w:val="19"/>
              </w:rPr>
              <w:t xml:space="preserve">Metropolitan Redevelopment Authority Act 2011 </w:t>
            </w:r>
            <w:r>
              <w:rPr>
                <w:snapToGrid w:val="0"/>
                <w:sz w:val="19"/>
              </w:rPr>
              <w:t>s. 140</w:t>
            </w:r>
            <w:r>
              <w:rPr>
                <w:snapToGrid w:val="0"/>
                <w:sz w:val="19"/>
                <w:vertAlign w:val="superscript"/>
              </w:rPr>
              <w:t> </w:t>
            </w:r>
          </w:p>
        </w:tc>
        <w:tc>
          <w:tcPr>
            <w:tcW w:w="1136" w:type="dxa"/>
            <w:gridSpan w:val="2"/>
          </w:tcPr>
          <w:p>
            <w:pPr>
              <w:pStyle w:val="nTable"/>
              <w:spacing w:after="40"/>
              <w:rPr>
                <w:sz w:val="19"/>
              </w:rPr>
            </w:pPr>
            <w:r>
              <w:rPr>
                <w:snapToGrid w:val="0"/>
                <w:sz w:val="19"/>
              </w:rPr>
              <w:t>45 of 2011</w:t>
            </w:r>
          </w:p>
        </w:tc>
        <w:tc>
          <w:tcPr>
            <w:tcW w:w="1133" w:type="dxa"/>
            <w:gridSpan w:val="2"/>
          </w:tcPr>
          <w:p>
            <w:pPr>
              <w:pStyle w:val="nTable"/>
              <w:spacing w:after="40"/>
              <w:rPr>
                <w:sz w:val="19"/>
              </w:rPr>
            </w:pPr>
            <w:r>
              <w:rPr>
                <w:snapToGrid w:val="0"/>
                <w:sz w:val="19"/>
              </w:rPr>
              <w:t>12 Oct 2011</w:t>
            </w:r>
          </w:p>
        </w:tc>
        <w:tc>
          <w:tcPr>
            <w:tcW w:w="2551" w:type="dxa"/>
            <w:gridSpan w:val="2"/>
          </w:tcPr>
          <w:p>
            <w:pPr>
              <w:pStyle w:val="nTable"/>
              <w:spacing w:after="40"/>
              <w:rPr>
                <w:snapToGrid w:val="0"/>
                <w:spacing w:val="-2"/>
                <w:sz w:val="19"/>
              </w:rPr>
            </w:pPr>
            <w:r>
              <w:rPr>
                <w:snapToGrid w:val="0"/>
                <w:sz w:val="19"/>
              </w:rPr>
              <w:t xml:space="preserve">31 Dec 2011 (see s. 2(b) and </w:t>
            </w:r>
            <w:r>
              <w:rPr>
                <w:i/>
                <w:snapToGrid w:val="0"/>
                <w:sz w:val="19"/>
              </w:rPr>
              <w:t xml:space="preserve">Gazette </w:t>
            </w:r>
            <w:r>
              <w:rPr>
                <w:snapToGrid w:val="0"/>
                <w:sz w:val="19"/>
              </w:rPr>
              <w:t>30 Dec 2011 p. 5573)</w:t>
            </w:r>
          </w:p>
        </w:tc>
      </w:tr>
      <w:tr>
        <w:tc>
          <w:tcPr>
            <w:tcW w:w="2266" w:type="dxa"/>
            <w:gridSpan w:val="2"/>
          </w:tcPr>
          <w:p>
            <w:pPr>
              <w:pStyle w:val="nTable"/>
              <w:spacing w:after="40"/>
              <w:rPr>
                <w:snapToGrid w:val="0"/>
                <w:sz w:val="19"/>
              </w:rPr>
            </w:pPr>
            <w:r>
              <w:rPr>
                <w:i/>
                <w:snapToGrid w:val="0"/>
                <w:sz w:val="19"/>
              </w:rPr>
              <w:t>Revenue Laws Amendment Act 2012</w:t>
            </w:r>
            <w:r>
              <w:rPr>
                <w:snapToGrid w:val="0"/>
                <w:sz w:val="19"/>
              </w:rPr>
              <w:t xml:space="preserve"> Pt. 4</w:t>
            </w:r>
          </w:p>
        </w:tc>
        <w:tc>
          <w:tcPr>
            <w:tcW w:w="1136" w:type="dxa"/>
            <w:gridSpan w:val="2"/>
          </w:tcPr>
          <w:p>
            <w:pPr>
              <w:pStyle w:val="nTable"/>
              <w:spacing w:after="40"/>
              <w:rPr>
                <w:snapToGrid w:val="0"/>
                <w:sz w:val="19"/>
              </w:rPr>
            </w:pPr>
            <w:r>
              <w:rPr>
                <w:snapToGrid w:val="0"/>
                <w:sz w:val="19"/>
              </w:rPr>
              <w:t>29 of 2012</w:t>
            </w:r>
          </w:p>
        </w:tc>
        <w:tc>
          <w:tcPr>
            <w:tcW w:w="1133" w:type="dxa"/>
            <w:gridSpan w:val="2"/>
          </w:tcPr>
          <w:p>
            <w:pPr>
              <w:pStyle w:val="nTable"/>
              <w:spacing w:after="40"/>
              <w:rPr>
                <w:snapToGrid w:val="0"/>
                <w:sz w:val="19"/>
              </w:rPr>
            </w:pPr>
            <w:r>
              <w:rPr>
                <w:snapToGrid w:val="0"/>
                <w:sz w:val="19"/>
              </w:rPr>
              <w:t>3 Sep 2012</w:t>
            </w:r>
          </w:p>
        </w:tc>
        <w:tc>
          <w:tcPr>
            <w:tcW w:w="2551" w:type="dxa"/>
            <w:gridSpan w:val="2"/>
          </w:tcPr>
          <w:p>
            <w:pPr>
              <w:pStyle w:val="nTable"/>
              <w:spacing w:after="40"/>
              <w:rPr>
                <w:snapToGrid w:val="0"/>
                <w:sz w:val="19"/>
              </w:rPr>
            </w:pPr>
            <w:r>
              <w:rPr>
                <w:snapToGrid w:val="0"/>
                <w:sz w:val="19"/>
              </w:rPr>
              <w:t>4 Sep 2012 (see s. 2(e))</w:t>
            </w:r>
          </w:p>
        </w:tc>
      </w:tr>
      <w:tr>
        <w:tc>
          <w:tcPr>
            <w:tcW w:w="2266" w:type="dxa"/>
            <w:gridSpan w:val="2"/>
          </w:tcPr>
          <w:p>
            <w:pPr>
              <w:pStyle w:val="nTable"/>
              <w:spacing w:after="40"/>
              <w:rPr>
                <w:snapToGrid w:val="0"/>
                <w:sz w:val="19"/>
              </w:rPr>
            </w:pPr>
            <w:r>
              <w:rPr>
                <w:i/>
                <w:snapToGrid w:val="0"/>
                <w:sz w:val="19"/>
              </w:rPr>
              <w:t xml:space="preserve">Revenue Laws Amendment Act (No. 2) </w:t>
            </w:r>
            <w:r>
              <w:rPr>
                <w:snapToGrid w:val="0"/>
                <w:sz w:val="19"/>
              </w:rPr>
              <w:t>2012 Pt. 4</w:t>
            </w:r>
          </w:p>
        </w:tc>
        <w:tc>
          <w:tcPr>
            <w:tcW w:w="1136" w:type="dxa"/>
            <w:gridSpan w:val="2"/>
          </w:tcPr>
          <w:p>
            <w:pPr>
              <w:pStyle w:val="nTable"/>
              <w:spacing w:after="40"/>
              <w:rPr>
                <w:snapToGrid w:val="0"/>
                <w:sz w:val="19"/>
              </w:rPr>
            </w:pPr>
            <w:r>
              <w:rPr>
                <w:snapToGrid w:val="0"/>
                <w:sz w:val="19"/>
              </w:rPr>
              <w:t>32 of 2012</w:t>
            </w:r>
          </w:p>
        </w:tc>
        <w:tc>
          <w:tcPr>
            <w:tcW w:w="1133" w:type="dxa"/>
            <w:gridSpan w:val="2"/>
          </w:tcPr>
          <w:p>
            <w:pPr>
              <w:pStyle w:val="nTable"/>
              <w:spacing w:after="40"/>
              <w:rPr>
                <w:snapToGrid w:val="0"/>
                <w:sz w:val="19"/>
              </w:rPr>
            </w:pPr>
            <w:r>
              <w:rPr>
                <w:snapToGrid w:val="0"/>
                <w:sz w:val="19"/>
              </w:rPr>
              <w:t>8 Oct 2012</w:t>
            </w:r>
          </w:p>
        </w:tc>
        <w:tc>
          <w:tcPr>
            <w:tcW w:w="2551" w:type="dxa"/>
            <w:gridSpan w:val="2"/>
          </w:tcPr>
          <w:p>
            <w:pPr>
              <w:pStyle w:val="nTable"/>
              <w:spacing w:after="40"/>
              <w:rPr>
                <w:snapToGrid w:val="0"/>
                <w:sz w:val="19"/>
              </w:rPr>
            </w:pPr>
            <w:r>
              <w:rPr>
                <w:snapToGrid w:val="0"/>
                <w:sz w:val="19"/>
              </w:rPr>
              <w:t>1 Jul 2009 (see s. 2(c))</w:t>
            </w:r>
          </w:p>
        </w:tc>
      </w:tr>
      <w:tr>
        <w:tc>
          <w:tcPr>
            <w:tcW w:w="7086" w:type="dxa"/>
            <w:gridSpan w:val="8"/>
            <w:tcBorders>
              <w:bottom w:val="single" w:sz="4" w:space="0" w:color="auto"/>
            </w:tcBorders>
          </w:tcPr>
          <w:p>
            <w:pPr>
              <w:pStyle w:val="nTable"/>
              <w:spacing w:after="40"/>
              <w:rPr>
                <w:snapToGrid w:val="0"/>
                <w:sz w:val="19"/>
              </w:rPr>
            </w:pPr>
            <w:r>
              <w:rPr>
                <w:b/>
                <w:noProof/>
                <w:snapToGrid w:val="0"/>
                <w:sz w:val="19"/>
              </w:rPr>
              <w:t xml:space="preserve">Reprint 4:  The </w:t>
            </w:r>
            <w:r>
              <w:rPr>
                <w:b/>
                <w:i/>
                <w:noProof/>
                <w:snapToGrid w:val="0"/>
                <w:sz w:val="19"/>
              </w:rPr>
              <w:t xml:space="preserve">Land Tax Assessment Act 2002 </w:t>
            </w:r>
            <w:r>
              <w:rPr>
                <w:b/>
                <w:noProof/>
                <w:snapToGrid w:val="0"/>
                <w:sz w:val="19"/>
              </w:rPr>
              <w:t xml:space="preserve">as at 19 Apr 2013 </w:t>
            </w:r>
            <w:r>
              <w:rPr>
                <w:noProof/>
                <w:snapToGrid w:val="0"/>
                <w:sz w:val="19"/>
              </w:rPr>
              <w:t>(includes amendments listed above)</w:t>
            </w:r>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87" w:name="_Toc381880465"/>
      <w:r>
        <w:rPr>
          <w:sz w:val="28"/>
        </w:rPr>
        <w:t>Defined terms</w:t>
      </w:r>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pPr>
      <w:r>
        <w:t>commencement date</w:t>
      </w:r>
      <w:r>
        <w:tab/>
        <w:t>Gl. cl. 1</w:t>
      </w:r>
    </w:p>
    <w:p>
      <w:pPr>
        <w:pStyle w:val="DefinedTerms"/>
      </w:pPr>
      <w:r>
        <w:t>completion date</w:t>
      </w:r>
      <w: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previous financial year</w:t>
      </w:r>
      <w:r>
        <w:tab/>
        <w:t>Gl. cl. 6(5)(a)</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pPr>
      <w:r>
        <w:t>sport</w:t>
      </w:r>
      <w:r>
        <w:tab/>
        <w:t>Gl. cl. 1</w:t>
      </w:r>
    </w:p>
    <w:p>
      <w:pPr>
        <w:pStyle w:val="DefinedTerms"/>
      </w:pPr>
      <w:r>
        <w:t>sports association</w:t>
      </w:r>
      <w: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04-b0-04</w:t>
    </w:r>
    <w:r>
      <w:rPr>
        <w:rFonts w:ascii="Arial" w:hAnsi="Arial" w:cs="Arial"/>
        <w:sz w:val="20"/>
      </w:rPr>
      <w:fldChar w:fldCharType="end"/>
    </w:r>
    <w:r>
      <w:rPr>
        <w:rFonts w:ascii="Arial" w:hAnsi="Arial" w:cs="Arial"/>
        <w:sz w:val="20"/>
      </w:rPr>
      <w:tab/>
    </w:r>
  </w:p>
  <w:p>
    <w:pPr>
      <w:jc w:val="center"/>
      <w:rPr>
        <w:rFonts w:ascii="Arial" w:hAnsi="Arial" w:cs="Arial"/>
        <w:sz w:val="16"/>
      </w:rPr>
    </w:pPr>
    <w:r>
      <w:rPr>
        <w:rFonts w:ascii="Arial" w:hAnsi="Arial"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344"/>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1204114344" w:val="RemoveTrackChanges"/>
    <w:docVar w:name="WAFER_20151204114344_GUID" w:val="72bdbb2a-e8fc-4202-9074-b7ca157d07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2390">
      <w:bodyDiv w:val="1"/>
      <w:marLeft w:val="0"/>
      <w:marRight w:val="0"/>
      <w:marTop w:val="0"/>
      <w:marBottom w:val="0"/>
      <w:divBdr>
        <w:top w:val="none" w:sz="0" w:space="0" w:color="auto"/>
        <w:left w:val="none" w:sz="0" w:space="0" w:color="auto"/>
        <w:bottom w:val="none" w:sz="0" w:space="0" w:color="auto"/>
        <w:right w:val="none" w:sz="0" w:space="0" w:color="auto"/>
      </w:divBdr>
    </w:div>
    <w:div w:id="679430922">
      <w:bodyDiv w:val="1"/>
      <w:marLeft w:val="0"/>
      <w:marRight w:val="0"/>
      <w:marTop w:val="0"/>
      <w:marBottom w:val="0"/>
      <w:divBdr>
        <w:top w:val="none" w:sz="0" w:space="0" w:color="auto"/>
        <w:left w:val="none" w:sz="0" w:space="0" w:color="auto"/>
        <w:bottom w:val="none" w:sz="0" w:space="0" w:color="auto"/>
        <w:right w:val="none" w:sz="0" w:space="0" w:color="auto"/>
      </w:divBdr>
    </w:div>
    <w:div w:id="868297129">
      <w:bodyDiv w:val="1"/>
      <w:marLeft w:val="0"/>
      <w:marRight w:val="0"/>
      <w:marTop w:val="0"/>
      <w:marBottom w:val="0"/>
      <w:divBdr>
        <w:top w:val="none" w:sz="0" w:space="0" w:color="auto"/>
        <w:left w:val="none" w:sz="0" w:space="0" w:color="auto"/>
        <w:bottom w:val="none" w:sz="0" w:space="0" w:color="auto"/>
        <w:right w:val="none" w:sz="0" w:space="0" w:color="auto"/>
      </w:divBdr>
    </w:div>
    <w:div w:id="1197355251">
      <w:bodyDiv w:val="1"/>
      <w:marLeft w:val="0"/>
      <w:marRight w:val="0"/>
      <w:marTop w:val="0"/>
      <w:marBottom w:val="0"/>
      <w:divBdr>
        <w:top w:val="none" w:sz="0" w:space="0" w:color="auto"/>
        <w:left w:val="none" w:sz="0" w:space="0" w:color="auto"/>
        <w:bottom w:val="none" w:sz="0" w:space="0" w:color="auto"/>
        <w:right w:val="none" w:sz="0" w:space="0" w:color="auto"/>
      </w:divBdr>
    </w:div>
    <w:div w:id="1285233111">
      <w:bodyDiv w:val="1"/>
      <w:marLeft w:val="0"/>
      <w:marRight w:val="0"/>
      <w:marTop w:val="0"/>
      <w:marBottom w:val="0"/>
      <w:divBdr>
        <w:top w:val="none" w:sz="0" w:space="0" w:color="auto"/>
        <w:left w:val="none" w:sz="0" w:space="0" w:color="auto"/>
        <w:bottom w:val="none" w:sz="0" w:space="0" w:color="auto"/>
        <w:right w:val="none" w:sz="0" w:space="0" w:color="auto"/>
      </w:divBdr>
    </w:div>
    <w:div w:id="1285962538">
      <w:bodyDiv w:val="1"/>
      <w:marLeft w:val="0"/>
      <w:marRight w:val="0"/>
      <w:marTop w:val="0"/>
      <w:marBottom w:val="0"/>
      <w:divBdr>
        <w:top w:val="none" w:sz="0" w:space="0" w:color="auto"/>
        <w:left w:val="none" w:sz="0" w:space="0" w:color="auto"/>
        <w:bottom w:val="none" w:sz="0" w:space="0" w:color="auto"/>
        <w:right w:val="none" w:sz="0" w:space="0" w:color="auto"/>
      </w:divBdr>
    </w:div>
    <w:div w:id="18659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image" Target="media/image4.png"/><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header" Target="header8.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7CA0-0D96-45A9-B49F-11D1B121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20356</Words>
  <Characters>93236</Characters>
  <Application>Microsoft Office Word</Application>
  <DocSecurity>0</DocSecurity>
  <Lines>2519</Lines>
  <Paragraphs>1368</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112224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2002 - 04-b0-04</dc:title>
  <dc:subject/>
  <dc:creator/>
  <cp:keywords/>
  <dc:description/>
  <cp:lastModifiedBy>svcMRProcess</cp:lastModifiedBy>
  <cp:revision>4</cp:revision>
  <cp:lastPrinted>2013-05-01T07:53:00Z</cp:lastPrinted>
  <dcterms:created xsi:type="dcterms:W3CDTF">2020-02-17T23:40:00Z</dcterms:created>
  <dcterms:modified xsi:type="dcterms:W3CDTF">2020-02-17T23:40:00Z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6341</vt:i4>
  </property>
  <property fmtid="{D5CDD505-2E9C-101B-9397-08002B2CF9AE}" pid="6" name="AsAtDate">
    <vt:lpwstr>01 Jul 2014</vt:lpwstr>
  </property>
  <property fmtid="{D5CDD505-2E9C-101B-9397-08002B2CF9AE}" pid="7" name="Suffix">
    <vt:lpwstr>04-b0-04</vt:lpwstr>
  </property>
  <property fmtid="{D5CDD505-2E9C-101B-9397-08002B2CF9AE}" pid="8" name="ReprintNo">
    <vt:lpwstr>4</vt:lpwstr>
  </property>
  <property fmtid="{D5CDD505-2E9C-101B-9397-08002B2CF9AE}" pid="9" name="ReprintedAsAt">
    <vt:filetime>2013-04-18T16:00:00Z</vt:filetime>
  </property>
</Properties>
</file>