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Firearms Act 1973</w:t>
      </w:r>
      <w:r>
        <w:rPr>
          <w:sz w:val="48"/>
        </w:rPr>
        <w:fldChar w:fldCharType="end"/>
      </w:r>
    </w:p>
    <w:p>
      <w:pPr>
        <w:pStyle w:val="ReprintNo"/>
      </w:pPr>
      <w:r>
        <w:t>Reprint 6:  The Act as at 13 February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pStyle w:val="ListParagraph"/>
        <w:numPr>
          <w:ilvl w:val="0"/>
          <w:numId w:val="1"/>
        </w:numPr>
        <w:ind w:left="1418"/>
        <w:rPr>
          <w:sz w:val="20"/>
        </w:rPr>
      </w:pPr>
      <w:r>
        <w:rPr>
          <w:sz w:val="20"/>
        </w:rPr>
        <w:t>removed (because it was repealed or deleted from the law); or</w:t>
      </w:r>
    </w:p>
    <w:p>
      <w:pPr>
        <w:pStyle w:val="ListParagraph"/>
        <w:numPr>
          <w:ilvl w:val="0"/>
          <w:numId w:val="1"/>
        </w:numPr>
        <w:ind w:left="1418"/>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February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_Toc412544117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_Toc412544118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_Toc412544119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Administration</w:t>
      </w:r>
      <w:r>
        <w:tab/>
      </w:r>
      <w:r>
        <w:fldChar w:fldCharType="begin"/>
      </w:r>
      <w:r>
        <w:instrText xml:space="preserve"> PAGEREF _Toc412544120 \h </w:instrText>
      </w:r>
      <w:r>
        <w:fldChar w:fldCharType="separate"/>
      </w:r>
      <w:r>
        <w:t>3</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Delegation of Commissioner’s power to give licences, permits and approvals</w:t>
      </w:r>
      <w:r>
        <w:tab/>
      </w:r>
      <w:r>
        <w:fldChar w:fldCharType="begin"/>
      </w:r>
      <w:r>
        <w:instrText xml:space="preserve"> PAGEREF _Toc412544121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Prohibition</w:t>
      </w:r>
      <w:r>
        <w:tab/>
      </w:r>
      <w:r>
        <w:fldChar w:fldCharType="begin"/>
      </w:r>
      <w:r>
        <w:instrText xml:space="preserve"> PAGEREF _Toc412544122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Governor may order delivery of firearms by dealers and manufacturers in cases of emergency</w:t>
      </w:r>
      <w:r>
        <w:tab/>
      </w:r>
      <w:r>
        <w:fldChar w:fldCharType="begin"/>
      </w:r>
      <w:r>
        <w:instrText xml:space="preserve"> PAGEREF _Toc412544123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Exemptions from licensing requirements</w:t>
      </w:r>
      <w:r>
        <w:tab/>
      </w:r>
      <w:r>
        <w:fldChar w:fldCharType="begin"/>
      </w:r>
      <w:r>
        <w:instrText xml:space="preserve"> PAGEREF _Toc412544124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Licences, permits, approvals not transferable</w:t>
      </w:r>
      <w:r>
        <w:tab/>
      </w:r>
      <w:r>
        <w:fldChar w:fldCharType="begin"/>
      </w:r>
      <w:r>
        <w:instrText xml:space="preserve"> PAGEREF _Toc412544125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Duration and renewal of licences</w:t>
      </w:r>
      <w:r>
        <w:tab/>
      </w:r>
      <w:r>
        <w:fldChar w:fldCharType="begin"/>
      </w:r>
      <w:r>
        <w:instrText xml:space="preserve"> PAGEREF _Toc412544126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Minimum age of licensee or permit holder</w:t>
      </w:r>
      <w:r>
        <w:tab/>
      </w:r>
      <w:r>
        <w:fldChar w:fldCharType="begin"/>
      </w:r>
      <w:r>
        <w:instrText xml:space="preserve"> PAGEREF _Toc412544127 \h </w:instrText>
      </w:r>
      <w:r>
        <w:fldChar w:fldCharType="separate"/>
      </w:r>
      <w:r>
        <w:t>11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Training courses</w:t>
      </w:r>
      <w:r>
        <w:tab/>
      </w:r>
      <w:r>
        <w:fldChar w:fldCharType="begin"/>
      </w:r>
      <w:r>
        <w:instrText xml:space="preserve"> PAGEREF _Toc412544128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Exercise of Commissioner’s discretion</w:t>
      </w:r>
      <w:r>
        <w:tab/>
      </w:r>
      <w:r>
        <w:fldChar w:fldCharType="begin"/>
      </w:r>
      <w:r>
        <w:instrText xml:space="preserve"> PAGEREF _Toc412544129 \h </w:instrText>
      </w:r>
      <w:r>
        <w:fldChar w:fldCharType="separate"/>
      </w:r>
      <w:r>
        <w:t>12</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Genuine reason required in all cases</w:t>
      </w:r>
      <w:r>
        <w:tab/>
      </w:r>
      <w:r>
        <w:fldChar w:fldCharType="begin"/>
      </w:r>
      <w:r>
        <w:instrText xml:space="preserve"> PAGEREF _Toc412544130 \h </w:instrText>
      </w:r>
      <w:r>
        <w:fldChar w:fldCharType="separate"/>
      </w:r>
      <w:r>
        <w:t>15</w:t>
      </w:r>
      <w:r>
        <w:fldChar w:fldCharType="end"/>
      </w:r>
    </w:p>
    <w:p>
      <w:pPr>
        <w:pStyle w:val="TOC8"/>
        <w:rPr>
          <w:rFonts w:asciiTheme="minorHAnsi" w:eastAsiaTheme="minorEastAsia" w:hAnsiTheme="minorHAnsi" w:cstheme="minorBidi"/>
          <w:szCs w:val="22"/>
        </w:rPr>
      </w:pPr>
      <w:r>
        <w:t>11B</w:t>
      </w:r>
      <w:r>
        <w:rPr>
          <w:snapToGrid w:val="0"/>
        </w:rPr>
        <w:t>.</w:t>
      </w:r>
      <w:r>
        <w:rPr>
          <w:snapToGrid w:val="0"/>
        </w:rPr>
        <w:tab/>
        <w:t>Genuine need required in some cases</w:t>
      </w:r>
      <w:r>
        <w:tab/>
      </w:r>
      <w:r>
        <w:fldChar w:fldCharType="begin"/>
      </w:r>
      <w:r>
        <w:instrText xml:space="preserve"> PAGEREF _Toc412544131 \h </w:instrText>
      </w:r>
      <w:r>
        <w:fldChar w:fldCharType="separate"/>
      </w:r>
      <w:r>
        <w:t>16</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Other restrictions</w:t>
      </w:r>
      <w:r>
        <w:tab/>
      </w:r>
      <w:r>
        <w:fldChar w:fldCharType="begin"/>
      </w:r>
      <w:r>
        <w:instrText xml:space="preserve"> PAGEREF _Toc412544132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Unsafe or unserviceable firearms</w:t>
      </w:r>
      <w:r>
        <w:tab/>
      </w:r>
      <w:r>
        <w:fldChar w:fldCharType="begin"/>
      </w:r>
      <w:r>
        <w:instrText xml:space="preserve"> PAGEREF _Toc412544133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Firearm collections</w:t>
      </w:r>
      <w:r>
        <w:tab/>
      </w:r>
      <w:r>
        <w:fldChar w:fldCharType="begin"/>
      </w:r>
      <w:r>
        <w:instrText xml:space="preserve"> PAGEREF _Toc412544134 \h </w:instrText>
      </w:r>
      <w:r>
        <w:fldChar w:fldCharType="separate"/>
      </w:r>
      <w:r>
        <w:t>17</w:t>
      </w:r>
      <w:r>
        <w:fldChar w:fldCharType="end"/>
      </w:r>
    </w:p>
    <w:p>
      <w:pPr>
        <w:pStyle w:val="TOC8"/>
        <w:rPr>
          <w:rFonts w:asciiTheme="minorHAnsi" w:eastAsiaTheme="minorEastAsia" w:hAnsiTheme="minorHAnsi" w:cstheme="minorBidi"/>
          <w:szCs w:val="22"/>
        </w:rPr>
      </w:pPr>
      <w:r>
        <w:t>15A.</w:t>
      </w:r>
      <w:r>
        <w:tab/>
        <w:t>Accredited societies of collectors</w:t>
      </w:r>
      <w:r>
        <w:tab/>
      </w:r>
      <w:r>
        <w:fldChar w:fldCharType="begin"/>
      </w:r>
      <w:r>
        <w:instrText xml:space="preserve"> PAGEREF _Toc412544135 \h </w:instrText>
      </w:r>
      <w:r>
        <w:fldChar w:fldCharType="separate"/>
      </w:r>
      <w:r>
        <w:t>19</w:t>
      </w:r>
      <w:r>
        <w:fldChar w:fldCharType="end"/>
      </w:r>
    </w:p>
    <w:p>
      <w:pPr>
        <w:pStyle w:val="TOC8"/>
        <w:rPr>
          <w:rFonts w:asciiTheme="minorHAnsi" w:eastAsiaTheme="minorEastAsia" w:hAnsiTheme="minorHAnsi" w:cstheme="minorBidi"/>
          <w:szCs w:val="22"/>
        </w:rPr>
      </w:pPr>
      <w:r>
        <w:t>15B.</w:t>
      </w:r>
      <w:r>
        <w:tab/>
        <w:t>Information from accredited society of collectors</w:t>
      </w:r>
      <w:r>
        <w:tab/>
      </w:r>
      <w:r>
        <w:fldChar w:fldCharType="begin"/>
      </w:r>
      <w:r>
        <w:instrText xml:space="preserve"> PAGEREF _Toc412544136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Licences</w:t>
      </w:r>
      <w:r>
        <w:tab/>
      </w:r>
      <w:r>
        <w:fldChar w:fldCharType="begin"/>
      </w:r>
      <w:r>
        <w:instrText xml:space="preserve"> PAGEREF _Toc412544137 \h </w:instrText>
      </w:r>
      <w:r>
        <w:fldChar w:fldCharType="separate"/>
      </w:r>
      <w:r>
        <w:t>20</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Possession of firearms by security officers</w:t>
      </w:r>
      <w:r>
        <w:tab/>
      </w:r>
      <w:r>
        <w:fldChar w:fldCharType="begin"/>
      </w:r>
      <w:r>
        <w:instrText xml:space="preserve"> PAGEREF _Toc412544138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Temporary permits</w:t>
      </w:r>
      <w:r>
        <w:tab/>
      </w:r>
      <w:r>
        <w:fldChar w:fldCharType="begin"/>
      </w:r>
      <w:r>
        <w:instrText xml:space="preserve"> PAGEREF _Toc412544139 \h </w:instrText>
      </w:r>
      <w:r>
        <w:fldChar w:fldCharType="separate"/>
      </w:r>
      <w:r>
        <w:t>23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Interstate group permits</w:t>
      </w:r>
      <w:r>
        <w:tab/>
      </w:r>
      <w:r>
        <w:fldChar w:fldCharType="begin"/>
      </w:r>
      <w:r>
        <w:instrText xml:space="preserve"> PAGEREF _Toc412544140 \h </w:instrText>
      </w:r>
      <w:r>
        <w:fldChar w:fldCharType="separate"/>
      </w:r>
      <w:r>
        <w:t>24</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Minister may authorise agriculture inspector to possess, carry and use silencers</w:t>
      </w:r>
      <w:r>
        <w:tab/>
      </w:r>
      <w:r>
        <w:fldChar w:fldCharType="begin"/>
      </w:r>
      <w:r>
        <w:instrText xml:space="preserve"> PAGEREF _Toc412544141 \h </w:instrText>
      </w:r>
      <w:r>
        <w:fldChar w:fldCharType="separate"/>
      </w:r>
      <w:r>
        <w:t>25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Licensing procedure</w:t>
      </w:r>
      <w:r>
        <w:tab/>
      </w:r>
      <w:r>
        <w:fldChar w:fldCharType="begin"/>
      </w:r>
      <w:r>
        <w:instrText xml:space="preserve"> PAGEREF _Toc412544142 \h </w:instrText>
      </w:r>
      <w:r>
        <w:fldChar w:fldCharType="separate"/>
      </w:r>
      <w:r>
        <w:t>27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Licensing offences</w:t>
      </w:r>
      <w:r>
        <w:tab/>
      </w:r>
      <w:r>
        <w:fldChar w:fldCharType="begin"/>
      </w:r>
      <w:r>
        <w:instrText xml:space="preserve"> PAGEREF _Toc412544143 \h </w:instrText>
      </w:r>
      <w:r>
        <w:fldChar w:fldCharType="separate"/>
      </w:r>
      <w:r>
        <w:t>31</w:t>
      </w:r>
      <w:r>
        <w:fldChar w:fldCharType="end"/>
      </w:r>
    </w:p>
    <w:p>
      <w:pPr>
        <w:pStyle w:val="TOC8"/>
        <w:rPr>
          <w:rFonts w:asciiTheme="minorHAnsi" w:eastAsiaTheme="minorEastAsia" w:hAnsiTheme="minorHAnsi" w:cstheme="minorBidi"/>
          <w:szCs w:val="22"/>
        </w:rPr>
      </w:pPr>
      <w:r>
        <w:t>19AA.</w:t>
      </w:r>
      <w:r>
        <w:tab/>
        <w:t>Certain offences of lesser severity</w:t>
      </w:r>
      <w:r>
        <w:tab/>
      </w:r>
      <w:r>
        <w:fldChar w:fldCharType="begin"/>
      </w:r>
      <w:r>
        <w:instrText xml:space="preserve"> PAGEREF _Toc412544144 \h </w:instrText>
      </w:r>
      <w:r>
        <w:fldChar w:fldCharType="separate"/>
      </w:r>
      <w:r>
        <w:t>35</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Infringement notice</w:t>
      </w:r>
      <w:r>
        <w:tab/>
      </w:r>
      <w:r>
        <w:fldChar w:fldCharType="begin"/>
      </w:r>
      <w:r>
        <w:instrText xml:space="preserve"> PAGEREF _Toc412544145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Revocation, cancellation, refusal to renew and variation</w:t>
      </w:r>
      <w:r>
        <w:tab/>
      </w:r>
      <w:r>
        <w:fldChar w:fldCharType="begin"/>
      </w:r>
      <w:r>
        <w:instrText xml:space="preserve"> PAGEREF _Toc412544146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Restrictions, limitations and conditions</w:t>
      </w:r>
      <w:r>
        <w:tab/>
      </w:r>
      <w:r>
        <w:fldChar w:fldCharType="begin"/>
      </w:r>
      <w:r>
        <w:instrText xml:space="preserve"> PAGEREF _Toc412544147 \h </w:instrText>
      </w:r>
      <w:r>
        <w:fldChar w:fldCharType="separate"/>
      </w:r>
      <w:r>
        <w:t>39</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Supervision and management</w:t>
      </w:r>
      <w:r>
        <w:tab/>
      </w:r>
      <w:r>
        <w:fldChar w:fldCharType="begin"/>
      </w:r>
      <w:r>
        <w:instrText xml:space="preserve"> PAGEREF _Toc412544148 \h </w:instrText>
      </w:r>
      <w:r>
        <w:fldChar w:fldCharType="separate"/>
      </w:r>
      <w:r>
        <w:t>39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Offences by bodies corporate and partnerships</w:t>
      </w:r>
      <w:r>
        <w:tab/>
      </w:r>
      <w:r>
        <w:fldChar w:fldCharType="begin"/>
      </w:r>
      <w:r>
        <w:instrText xml:space="preserve"> PAGEREF _Toc412544149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Reviews by SAT</w:t>
      </w:r>
      <w:r>
        <w:tab/>
      </w:r>
      <w:r>
        <w:fldChar w:fldCharType="begin"/>
      </w:r>
      <w:r>
        <w:instrText xml:space="preserve"> PAGEREF _Toc412544150 \h </w:instrText>
      </w:r>
      <w:r>
        <w:fldChar w:fldCharType="separate"/>
      </w:r>
      <w:r>
        <w:t>43</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Firearms Act Extract of Licence</w:t>
      </w:r>
      <w:r>
        <w:tab/>
      </w:r>
      <w:r>
        <w:fldChar w:fldCharType="begin"/>
      </w:r>
      <w:r>
        <w:instrText xml:space="preserve"> PAGEREF _Toc412544151 \h </w:instrText>
      </w:r>
      <w:r>
        <w:fldChar w:fldCharType="separate"/>
      </w:r>
      <w:r>
        <w:t>43</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Return of Extract of Licence</w:t>
      </w:r>
      <w:r>
        <w:tab/>
      </w:r>
      <w:r>
        <w:fldChar w:fldCharType="begin"/>
      </w:r>
      <w:r>
        <w:instrText xml:space="preserve"> PAGEREF _Toc412544152 \h </w:instrText>
      </w:r>
      <w:r>
        <w:fldChar w:fldCharType="separate"/>
      </w:r>
      <w:r>
        <w:t>45</w:t>
      </w:r>
      <w:r>
        <w:fldChar w:fldCharType="end"/>
      </w:r>
    </w:p>
    <w:p>
      <w:pPr>
        <w:pStyle w:val="TOC8"/>
        <w:rPr>
          <w:rFonts w:asciiTheme="minorHAnsi" w:eastAsiaTheme="minorEastAsia" w:hAnsiTheme="minorHAnsi" w:cstheme="minorBidi"/>
          <w:szCs w:val="22"/>
        </w:rPr>
      </w:pPr>
      <w:r>
        <w:t>22C</w:t>
      </w:r>
      <w:r>
        <w:rPr>
          <w:snapToGrid w:val="0"/>
        </w:rPr>
        <w:t>.</w:t>
      </w:r>
      <w:r>
        <w:rPr>
          <w:snapToGrid w:val="0"/>
        </w:rPr>
        <w:tab/>
        <w:t>Offences relating to Extract of Licence, licences, permits, approvals or authorisations</w:t>
      </w:r>
      <w:r>
        <w:tab/>
      </w:r>
      <w:r>
        <w:fldChar w:fldCharType="begin"/>
      </w:r>
      <w:r>
        <w:instrText xml:space="preserve"> PAGEREF _Toc412544153 \h </w:instrText>
      </w:r>
      <w:r>
        <w:fldChar w:fldCharType="separate"/>
      </w:r>
      <w:r>
        <w:t>45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General offences</w:t>
      </w:r>
      <w:r>
        <w:tab/>
      </w:r>
      <w:r>
        <w:fldChar w:fldCharType="begin"/>
      </w:r>
      <w:r>
        <w:instrText xml:space="preserve"> PAGEREF _Toc412544154 \h </w:instrText>
      </w:r>
      <w:r>
        <w:fldChar w:fldCharType="separate"/>
      </w:r>
      <w:r>
        <w:t>46</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Limitation periods</w:t>
      </w:r>
      <w:r>
        <w:tab/>
      </w:r>
      <w:r>
        <w:fldChar w:fldCharType="begin"/>
      </w:r>
      <w:r>
        <w:instrText xml:space="preserve"> PAGEREF _Toc412544155 \h </w:instrText>
      </w:r>
      <w:r>
        <w:fldChar w:fldCharType="separate"/>
      </w:r>
      <w:r>
        <w:t>52</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Disclosure by health professionals of certain information</w:t>
      </w:r>
      <w:r>
        <w:tab/>
      </w:r>
      <w:r>
        <w:fldChar w:fldCharType="begin"/>
      </w:r>
      <w:r>
        <w:instrText xml:space="preserve"> PAGEREF _Toc412544156 \h </w:instrText>
      </w:r>
      <w:r>
        <w:fldChar w:fldCharType="separate"/>
      </w:r>
      <w:r>
        <w:t>52</w:t>
      </w:r>
      <w:r>
        <w:fldChar w:fldCharType="end"/>
      </w:r>
    </w:p>
    <w:p>
      <w:pPr>
        <w:pStyle w:val="TOC8"/>
        <w:rPr>
          <w:rFonts w:asciiTheme="minorHAnsi" w:eastAsiaTheme="minorEastAsia" w:hAnsiTheme="minorHAnsi" w:cstheme="minorBidi"/>
          <w:szCs w:val="22"/>
        </w:rPr>
      </w:pPr>
      <w:r>
        <w:t>23BA.</w:t>
      </w:r>
      <w:r>
        <w:tab/>
        <w:t>Disclosure of certain information by approved club and organisation members</w:t>
      </w:r>
      <w:r>
        <w:tab/>
      </w:r>
      <w:r>
        <w:fldChar w:fldCharType="begin"/>
      </w:r>
      <w:r>
        <w:instrText xml:space="preserve"> PAGEREF _Toc412544157 \h </w:instrText>
      </w:r>
      <w:r>
        <w:fldChar w:fldCharType="separate"/>
      </w:r>
      <w:r>
        <w:t>53</w:t>
      </w:r>
      <w:r>
        <w:fldChar w:fldCharType="end"/>
      </w:r>
    </w:p>
    <w:p>
      <w:pPr>
        <w:pStyle w:val="TOC8"/>
        <w:rPr>
          <w:rFonts w:asciiTheme="minorHAnsi" w:eastAsiaTheme="minorEastAsia" w:hAnsiTheme="minorHAnsi" w:cstheme="minorBidi"/>
          <w:szCs w:val="22"/>
        </w:rPr>
      </w:pPr>
      <w:r>
        <w:t>23C</w:t>
      </w:r>
      <w:r>
        <w:rPr>
          <w:snapToGrid w:val="0"/>
        </w:rPr>
        <w:t>.</w:t>
      </w:r>
      <w:r>
        <w:rPr>
          <w:snapToGrid w:val="0"/>
        </w:rPr>
        <w:tab/>
        <w:t>Persons concerned in commission of offences</w:t>
      </w:r>
      <w:r>
        <w:tab/>
      </w:r>
      <w:r>
        <w:fldChar w:fldCharType="begin"/>
      </w:r>
      <w:r>
        <w:instrText xml:space="preserve"> PAGEREF _Toc412544158 \h </w:instrText>
      </w:r>
      <w:r>
        <w:fldChar w:fldCharType="separate"/>
      </w:r>
      <w:r>
        <w:t>54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Powers of police</w:t>
      </w:r>
      <w:r>
        <w:tab/>
      </w:r>
      <w:r>
        <w:fldChar w:fldCharType="begin"/>
      </w:r>
      <w:r>
        <w:instrText xml:space="preserve"> PAGEREF _Toc412544159 \h </w:instrText>
      </w:r>
      <w:r>
        <w:fldChar w:fldCharType="separate"/>
      </w:r>
      <w:r>
        <w:t>55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Constructive possession</w:t>
      </w:r>
      <w:r>
        <w:tab/>
      </w:r>
      <w:r>
        <w:fldChar w:fldCharType="begin"/>
      </w:r>
      <w:r>
        <w:instrText xml:space="preserve"> PAGEREF _Toc412544160 \h </w:instrText>
      </w:r>
      <w:r>
        <w:fldChar w:fldCharType="separate"/>
      </w:r>
      <w:r>
        <w:t>58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Search warrant</w:t>
      </w:r>
      <w:r>
        <w:tab/>
      </w:r>
      <w:r>
        <w:fldChar w:fldCharType="begin"/>
      </w:r>
      <w:r>
        <w:instrText xml:space="preserve"> PAGEREF _Toc412544161 \h </w:instrText>
      </w:r>
      <w:r>
        <w:fldChar w:fldCharType="separate"/>
      </w:r>
      <w:r>
        <w:t>58</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Disqualification by court imposing violence restraining order</w:t>
      </w:r>
      <w:r>
        <w:tab/>
      </w:r>
      <w:r>
        <w:fldChar w:fldCharType="begin"/>
      </w:r>
      <w:r>
        <w:instrText xml:space="preserve"> PAGEREF _Toc412544162 \h </w:instrText>
      </w:r>
      <w:r>
        <w:fldChar w:fldCharType="separate"/>
      </w:r>
      <w:r>
        <w:t>59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Court may order forfeiture on conviction of offender</w:t>
      </w:r>
      <w:r>
        <w:tab/>
      </w:r>
      <w:r>
        <w:fldChar w:fldCharType="begin"/>
      </w:r>
      <w:r>
        <w:instrText xml:space="preserve"> PAGEREF _Toc412544163 \h </w:instrText>
      </w:r>
      <w:r>
        <w:fldChar w:fldCharType="separate"/>
      </w:r>
      <w:r>
        <w:t>59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Evidence</w:t>
      </w:r>
      <w:r>
        <w:tab/>
      </w:r>
      <w:r>
        <w:fldChar w:fldCharType="begin"/>
      </w:r>
      <w:r>
        <w:instrText xml:space="preserve"> PAGEREF _Toc412544164 \h </w:instrText>
      </w:r>
      <w:r>
        <w:fldChar w:fldCharType="separate"/>
      </w:r>
      <w:r>
        <w:t>60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Ammunition sales</w:t>
      </w:r>
      <w:r>
        <w:tab/>
      </w:r>
      <w:r>
        <w:fldChar w:fldCharType="begin"/>
      </w:r>
      <w:r>
        <w:instrText xml:space="preserve"> PAGEREF _Toc412544165 \h </w:instrText>
      </w:r>
      <w:r>
        <w:fldChar w:fldCharType="separate"/>
      </w:r>
      <w:r>
        <w:t>61</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Sale and disposal of firearms</w:t>
      </w:r>
      <w:r>
        <w:tab/>
      </w:r>
      <w:r>
        <w:fldChar w:fldCharType="begin"/>
      </w:r>
      <w:r>
        <w:instrText xml:space="preserve"> PAGEREF _Toc412544166 \h </w:instrText>
      </w:r>
      <w:r>
        <w:fldChar w:fldCharType="separate"/>
      </w:r>
      <w:r>
        <w:t>62</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Loss, theft, destruction, or disposal out of State, to be reported</w:t>
      </w:r>
      <w:r>
        <w:tab/>
      </w:r>
      <w:r>
        <w:fldChar w:fldCharType="begin"/>
      </w:r>
      <w:r>
        <w:instrText xml:space="preserve"> PAGEREF _Toc412544167 \h </w:instrText>
      </w:r>
      <w:r>
        <w:fldChar w:fldCharType="separate"/>
      </w:r>
      <w:r>
        <w:t>63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Records</w:t>
      </w:r>
      <w:r>
        <w:tab/>
      </w:r>
      <w:r>
        <w:fldChar w:fldCharType="begin"/>
      </w:r>
      <w:r>
        <w:instrText xml:space="preserve"> PAGEREF _Toc412544168 \h </w:instrText>
      </w:r>
      <w:r>
        <w:fldChar w:fldCharType="separate"/>
      </w:r>
      <w:r>
        <w:t>64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Safe keeping by traders</w:t>
      </w:r>
      <w:r>
        <w:tab/>
      </w:r>
      <w:r>
        <w:fldChar w:fldCharType="begin"/>
      </w:r>
      <w:r>
        <w:instrText xml:space="preserve"> PAGEREF _Toc412544169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Disposal of firearms</w:t>
      </w:r>
      <w:r>
        <w:tab/>
      </w:r>
      <w:r>
        <w:fldChar w:fldCharType="begin"/>
      </w:r>
      <w:r>
        <w:instrText xml:space="preserve"> PAGEREF _Toc412544170 \h </w:instrText>
      </w:r>
      <w:r>
        <w:fldChar w:fldCharType="separate"/>
      </w:r>
      <w:r>
        <w:t>65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Regulations</w:t>
      </w:r>
      <w:r>
        <w:tab/>
      </w:r>
      <w:r>
        <w:fldChar w:fldCharType="begin"/>
      </w:r>
      <w:r>
        <w:instrText xml:space="preserve"> PAGEREF _Toc412544171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_Toc412544173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February 2015</w:t>
            </w:r>
          </w:p>
        </w:tc>
      </w:tr>
    </w:tbl>
    <w:p>
      <w:pPr>
        <w:pStyle w:val="WA"/>
        <w:spacing w:before="12"/>
      </w:pPr>
      <w:r>
        <w:t>Western Australia</w:t>
      </w:r>
    </w:p>
    <w:p>
      <w:pPr>
        <w:pStyle w:val="NameofActReg"/>
      </w:pPr>
      <w:r>
        <w:t>Firearms Act 1973</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and for incidental and other purposes.</w:t>
      </w:r>
    </w:p>
    <w:p>
      <w:pPr>
        <w:pStyle w:val="Heading5"/>
        <w:spacing w:before="480"/>
        <w:rPr>
          <w:snapToGrid w:val="0"/>
        </w:rPr>
      </w:pPr>
      <w:bookmarkStart w:id="3" w:name="_Toc378252189"/>
      <w:bookmarkStart w:id="4" w:name="_Toc412544117"/>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spacing w:before="240"/>
        <w:rPr>
          <w:snapToGrid w:val="0"/>
        </w:rPr>
      </w:pPr>
      <w:bookmarkStart w:id="5" w:name="_Toc378252190"/>
      <w:bookmarkStart w:id="6" w:name="_Toc412544118"/>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r>
        <w:t>[</w:t>
      </w:r>
      <w:r>
        <w:rPr>
          <w:b/>
          <w:bCs/>
        </w:rPr>
        <w:t>3</w:t>
      </w:r>
      <w:r>
        <w:rPr>
          <w:b/>
        </w:rPr>
        <w:t>.</w:t>
      </w:r>
      <w:r>
        <w:tab/>
        <w:t>Omitted under the Reprints Act 1984 s. 7(4)(f).]</w:t>
      </w:r>
    </w:p>
    <w:p>
      <w:pPr>
        <w:pStyle w:val="Heading5"/>
        <w:spacing w:before="240"/>
        <w:rPr>
          <w:snapToGrid w:val="0"/>
        </w:rPr>
      </w:pPr>
      <w:bookmarkStart w:id="7" w:name="_Toc378252191"/>
      <w:bookmarkStart w:id="8" w:name="_Toc412544119"/>
      <w:r>
        <w:rPr>
          <w:rStyle w:val="CharSectno"/>
        </w:rPr>
        <w:t>4</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ammunition</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r>
      <w:r>
        <w:rPr>
          <w:rStyle w:val="CharDefText"/>
        </w:rPr>
        <w:t>approved</w:t>
      </w:r>
      <w:r>
        <w:t xml:space="preserve"> means approved by the Commissioner;</w:t>
      </w:r>
    </w:p>
    <w:p>
      <w:pPr>
        <w:pStyle w:val="Defstart"/>
        <w:keepNext/>
      </w:pPr>
      <w:r>
        <w:rPr>
          <w:b/>
        </w:rPr>
        <w:tab/>
      </w:r>
      <w:r>
        <w:rPr>
          <w:rStyle w:val="CharDefText"/>
        </w:rPr>
        <w:t>carry</w:t>
      </w:r>
      <w:r>
        <w:t xml:space="preserve"> includes to have on or about one’s person;</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dealer</w:t>
      </w:r>
      <w:r>
        <w:t xml:space="preserve"> means a person who in the ordinary course of business buys, sells or trades in firearms or ammunition; and </w:t>
      </w:r>
      <w:r>
        <w:rPr>
          <w:rStyle w:val="CharDefText"/>
        </w:rPr>
        <w:t>deal</w:t>
      </w:r>
      <w:r>
        <w:t xml:space="preserve"> has a corresponding meaning;</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Extract of Licence</w:t>
      </w:r>
      <w:r>
        <w:t xml:space="preserve"> means a Firearms Act Extract of Licence referred to in, and issued under, section 22A;</w:t>
      </w:r>
    </w:p>
    <w:p>
      <w:pPr>
        <w:pStyle w:val="Defstart"/>
      </w:pPr>
      <w:r>
        <w:rPr>
          <w:b/>
        </w:rPr>
        <w:tab/>
      </w:r>
      <w:r>
        <w:rPr>
          <w:rStyle w:val="CharDefText"/>
        </w:rPr>
        <w:t>firearm</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r>
      <w:r>
        <w:rPr>
          <w:rStyle w:val="CharDefText"/>
        </w:rPr>
        <w:t>handgun</w:t>
      </w:r>
      <w:r>
        <w:t xml:space="preserve"> means any lethal firearm and any other weapon of any length of barrel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r>
      <w:r>
        <w:rPr>
          <w:rStyle w:val="CharDefText"/>
        </w:rPr>
        <w:t>holder</w:t>
      </w:r>
      <w:r>
        <w:t>, in the context of an approval given under this Act, means the person to whom the approval relates;</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Defstart"/>
      </w:pPr>
      <w:r>
        <w:rPr>
          <w:b/>
        </w:rPr>
        <w:tab/>
      </w:r>
      <w:r>
        <w:rPr>
          <w:rStyle w:val="CharDefText"/>
        </w:rPr>
        <w:t>missile</w:t>
      </w:r>
      <w:r>
        <w:t xml:space="preserve"> means any solid substance or liquid chemical which when discharged or propelled from any weapon from any distance is capable of causing physical injury to persons;</w:t>
      </w:r>
    </w:p>
    <w:p>
      <w:pPr>
        <w:pStyle w:val="Defstart"/>
      </w:pPr>
      <w:r>
        <w:tab/>
      </w:r>
      <w:r>
        <w:rPr>
          <w:rStyle w:val="CharDefText"/>
        </w:rPr>
        <w:t>paintball</w:t>
      </w:r>
      <w:r>
        <w:t xml:space="preserve"> means a game in which players attempt to shoot at one another with prescribed paintball guns using prescribed paintball pellets;</w:t>
      </w:r>
    </w:p>
    <w:p>
      <w:pPr>
        <w:pStyle w:val="Defstart"/>
      </w:pPr>
      <w:r>
        <w:tab/>
      </w:r>
      <w:r>
        <w:rPr>
          <w:rStyle w:val="CharDefText"/>
        </w:rPr>
        <w:t>paintball gun</w:t>
      </w:r>
      <w:r>
        <w:t xml:space="preserve"> means a firearm designed to discharge or propel paintball pellets;</w:t>
      </w:r>
    </w:p>
    <w:p>
      <w:pPr>
        <w:pStyle w:val="Defstart"/>
      </w:pPr>
      <w:r>
        <w:rPr>
          <w:b/>
        </w:rPr>
        <w:tab/>
      </w:r>
      <w:r>
        <w:rPr>
          <w:rStyle w:val="CharDefText"/>
        </w:rPr>
        <w:t>paintball pellets</w:t>
      </w:r>
      <w:r>
        <w:t xml:space="preserve"> means pellets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r>
      <w:r>
        <w:rPr>
          <w:rStyle w:val="CharDefText"/>
        </w:rPr>
        <w:t>possession</w:t>
      </w:r>
      <w:r>
        <w:t>, in addition to actual physical possession of a firearm or ammunition, means the custody or control of it, or having and exercising access to it in any place either alone or in common with others;</w:t>
      </w:r>
    </w:p>
    <w:p>
      <w:pPr>
        <w:pStyle w:val="Defstart"/>
      </w:pPr>
      <w:r>
        <w:rPr>
          <w:b/>
        </w:rPr>
        <w:tab/>
      </w:r>
      <w:r>
        <w:rPr>
          <w:rStyle w:val="CharDefText"/>
        </w:rPr>
        <w:t>section</w:t>
      </w:r>
      <w:r>
        <w:t xml:space="preserve"> means section of this Act.</w:t>
      </w:r>
    </w:p>
    <w:p>
      <w:pPr>
        <w:pStyle w:val="Footnotesection"/>
      </w:pPr>
      <w:r>
        <w:tab/>
        <w:t>[Section 4 amended by No. 59 of 1996 s. 4 and 40; No. 18 of 1999 s. 21; No. 69 of 2004 s. 4 and 8(1); No. 22 of 2008 Sch. 3 cl. 20; No. 35 of 2010 s. 64.]</w:t>
      </w:r>
    </w:p>
    <w:p>
      <w:pPr>
        <w:pStyle w:val="Heading5"/>
        <w:rPr>
          <w:snapToGrid w:val="0"/>
        </w:rPr>
      </w:pPr>
      <w:bookmarkStart w:id="9" w:name="_Toc378252192"/>
      <w:bookmarkStart w:id="10" w:name="_Toc412544120"/>
      <w:r>
        <w:rPr>
          <w:rStyle w:val="CharSectno"/>
        </w:rPr>
        <w:t>5</w:t>
      </w:r>
      <w:r>
        <w:rPr>
          <w:snapToGrid w:val="0"/>
        </w:rPr>
        <w:t>.</w:t>
      </w:r>
      <w:r>
        <w:rPr>
          <w:snapToGrid w:val="0"/>
        </w:rPr>
        <w:tab/>
        <w:t>Administration</w:t>
      </w:r>
      <w:bookmarkEnd w:id="9"/>
      <w:bookmarkEnd w:id="10"/>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[Section 5 amended by No. 98 of 1985 s. 3; No. 69 of 2004 s. 8(2); No. 77 of 2006 Sch. 1 cl. 66.]</w:t>
      </w:r>
    </w:p>
    <w:p>
      <w:pPr>
        <w:pStyle w:val="Heading5"/>
        <w:rPr>
          <w:snapToGrid w:val="0"/>
        </w:rPr>
      </w:pPr>
      <w:bookmarkStart w:id="11" w:name="_Toc378252193"/>
      <w:bookmarkStart w:id="12" w:name="_Toc412544121"/>
      <w:r>
        <w:rPr>
          <w:rStyle w:val="CharSectno"/>
        </w:rPr>
        <w:t>5A</w:t>
      </w:r>
      <w:r>
        <w:rPr>
          <w:snapToGrid w:val="0"/>
        </w:rPr>
        <w:t>.</w:t>
      </w:r>
      <w:r>
        <w:rPr>
          <w:snapToGrid w:val="0"/>
        </w:rPr>
        <w:tab/>
        <w:t>Delegation of Commissioner’s power to give licences, permits and approvals</w:t>
      </w:r>
      <w:bookmarkEnd w:id="11"/>
      <w:bookmarkEnd w:id="12"/>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[Section 5A inserted by No. 59 of 1996 s. 5(1).]</w:t>
      </w:r>
    </w:p>
    <w:p>
      <w:pPr>
        <w:pStyle w:val="Ednotesection"/>
      </w:pPr>
      <w:r>
        <w:t>[</w:t>
      </w:r>
      <w:r>
        <w:rPr>
          <w:b/>
        </w:rPr>
        <w:t>5B.</w:t>
      </w:r>
      <w:r>
        <w:rPr>
          <w:b/>
        </w:rPr>
        <w:tab/>
      </w:r>
      <w:r>
        <w:t>Deleted by No. 69 of 2004 s. 9.]</w:t>
      </w:r>
    </w:p>
    <w:p>
      <w:pPr>
        <w:pStyle w:val="Heading5"/>
        <w:rPr>
          <w:snapToGrid w:val="0"/>
        </w:rPr>
      </w:pPr>
      <w:bookmarkStart w:id="13" w:name="_Toc378252194"/>
      <w:bookmarkStart w:id="14" w:name="_Toc412544122"/>
      <w:r>
        <w:rPr>
          <w:rStyle w:val="CharSectno"/>
        </w:rPr>
        <w:t>6</w:t>
      </w:r>
      <w:r>
        <w:rPr>
          <w:snapToGrid w:val="0"/>
        </w:rPr>
        <w:t>.</w:t>
      </w:r>
      <w:r>
        <w:rPr>
          <w:snapToGrid w:val="0"/>
        </w:rPr>
        <w:tab/>
        <w:t>Prohibition</w:t>
      </w:r>
      <w:bookmarkEnd w:id="13"/>
      <w:bookmarkEnd w:id="14"/>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w:t>
      </w:r>
    </w:p>
    <w:p>
      <w:pPr>
        <w:pStyle w:val="Indenta"/>
        <w:rPr>
          <w:snapToGrid w:val="0"/>
        </w:rPr>
      </w:pPr>
      <w:r>
        <w:rPr>
          <w:snapToGrid w:val="0"/>
        </w:rPr>
        <w:tab/>
        <w:t>(a)</w:t>
      </w:r>
      <w:r>
        <w:rPr>
          <w:snapToGrid w:val="0"/>
        </w:rPr>
        <w:tab/>
        <w:t>directing that no licence, permit or approval relating thereto shall be issued or given; or</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[Section 6 amended by No. 35 of 1980 s. 3; No. 70 of 1987 s. 4; No. 59 of 1996 s. 7 and 45; No. 4 of 2004 s. 58; No. 69 of 2004 s. 10.]</w:t>
      </w:r>
    </w:p>
    <w:p>
      <w:pPr>
        <w:pStyle w:val="Heading5"/>
        <w:rPr>
          <w:snapToGrid w:val="0"/>
        </w:rPr>
      </w:pPr>
      <w:bookmarkStart w:id="15" w:name="_Toc378252195"/>
      <w:bookmarkStart w:id="16" w:name="_Toc412544123"/>
      <w:r>
        <w:rPr>
          <w:rStyle w:val="CharSectno"/>
        </w:rPr>
        <w:t>7</w:t>
      </w:r>
      <w:r>
        <w:rPr>
          <w:snapToGrid w:val="0"/>
        </w:rPr>
        <w:t>.</w:t>
      </w:r>
      <w:r>
        <w:rPr>
          <w:snapToGrid w:val="0"/>
        </w:rPr>
        <w:tab/>
        <w:t>Governor may order delivery of firearms by dealers and manufacturers in cases of emergency</w:t>
      </w:r>
      <w:bookmarkEnd w:id="15"/>
      <w:bookmarkEnd w:id="16"/>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[Section 7 amended by No. 70 of 1987 s. 5; No. 59 of 1996 s. 46; No. 4 of 2004 s. 58.]</w:t>
      </w:r>
    </w:p>
    <w:p>
      <w:pPr>
        <w:pStyle w:val="Heading5"/>
        <w:rPr>
          <w:snapToGrid w:val="0"/>
        </w:rPr>
      </w:pPr>
      <w:bookmarkStart w:id="17" w:name="_Toc378252196"/>
      <w:bookmarkStart w:id="18" w:name="_Toc412544124"/>
      <w:r>
        <w:rPr>
          <w:rStyle w:val="CharSectno"/>
        </w:rPr>
        <w:t>8</w:t>
      </w:r>
      <w:r>
        <w:rPr>
          <w:snapToGrid w:val="0"/>
        </w:rPr>
        <w:t>.</w:t>
      </w:r>
      <w:r>
        <w:rPr>
          <w:snapToGrid w:val="0"/>
        </w:rPr>
        <w:tab/>
        <w:t>Exemptions from licensing requirements</w:t>
      </w:r>
      <w:bookmarkEnd w:id="17"/>
      <w:bookmarkEnd w:id="18"/>
    </w:p>
    <w:p>
      <w:pPr>
        <w:pStyle w:val="Subsection"/>
        <w:rPr>
          <w:snapToGrid w:val="0"/>
        </w:rPr>
      </w:pPr>
      <w:r>
        <w:rPr>
          <w:snapToGrid w:val="0"/>
        </w:rPr>
        <w:tab/>
        <w:t>(1)</w:t>
      </w:r>
      <w:r>
        <w:rPr>
          <w:snapToGrid w:val="0"/>
        </w:rPr>
        <w:tab/>
        <w:t>No licence under this Act is required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rPr>
      </w:pPr>
      <w:r>
        <w:rPr>
          <w:snapToGrid w:val="0"/>
          <w:spacing w:val="-4"/>
        </w:rPr>
        <w:tab/>
      </w:r>
      <w:r>
        <w:rPr>
          <w:snapToGrid w:val="0"/>
        </w:rPr>
        <w:t>(h)</w:t>
      </w:r>
      <w:r>
        <w:rPr>
          <w:snapToGrid w:val="0"/>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w:t>
      </w:r>
    </w:p>
    <w:p>
      <w:pPr>
        <w:pStyle w:val="Indenti"/>
        <w:rPr>
          <w:snapToGrid w:val="0"/>
        </w:rPr>
      </w:pPr>
      <w:r>
        <w:rPr>
          <w:snapToGrid w:val="0"/>
        </w:rPr>
        <w:tab/>
        <w:t>(i)</w:t>
      </w:r>
      <w:r>
        <w:rPr>
          <w:snapToGrid w:val="0"/>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antique mechanism firearm</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r>
      <w:r>
        <w:rPr>
          <w:rStyle w:val="CharDefText"/>
        </w:rPr>
        <w:t>approved</w:t>
      </w:r>
      <w:r>
        <w:t xml:space="preserve"> means approved by the Commissioner either generally by notice in the </w:t>
      </w:r>
      <w:r>
        <w:rPr>
          <w:i/>
        </w:rPr>
        <w:t>Gazette</w:t>
      </w:r>
      <w:r>
        <w:t xml:space="preserve"> or specifically by notice in writing;</w:t>
      </w:r>
    </w:p>
    <w:p>
      <w:pPr>
        <w:pStyle w:val="Defstart"/>
      </w:pPr>
      <w:r>
        <w:rPr>
          <w:b/>
        </w:rPr>
        <w:tab/>
      </w:r>
      <w:r>
        <w:rPr>
          <w:rStyle w:val="CharDefText"/>
        </w:rPr>
        <w:t>family member</w:t>
      </w:r>
      <w:r>
        <w:t>, in relation to a person, means —</w:t>
      </w:r>
    </w:p>
    <w:p>
      <w:pPr>
        <w:pStyle w:val="Defpara"/>
      </w:pPr>
      <w:r>
        <w:tab/>
        <w:t>(a)</w:t>
      </w:r>
      <w:r>
        <w:tab/>
        <w:t>the spouse or de facto partner of the person; or</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[Section 8 amended by No. 59 of 1996 s. 8; No. 28 of 2003 s. 59; No. 69 of 2004 s. 5, 8(3) and 11.]</w:t>
      </w:r>
    </w:p>
    <w:p>
      <w:pPr>
        <w:pStyle w:val="Heading5"/>
        <w:rPr>
          <w:snapToGrid w:val="0"/>
        </w:rPr>
      </w:pPr>
      <w:bookmarkStart w:id="19" w:name="_Toc378252197"/>
      <w:bookmarkStart w:id="20" w:name="_Toc412544125"/>
      <w:r>
        <w:rPr>
          <w:rStyle w:val="CharSectno"/>
        </w:rPr>
        <w:t>9</w:t>
      </w:r>
      <w:r>
        <w:rPr>
          <w:snapToGrid w:val="0"/>
        </w:rPr>
        <w:t>.</w:t>
      </w:r>
      <w:r>
        <w:rPr>
          <w:snapToGrid w:val="0"/>
        </w:rPr>
        <w:tab/>
        <w:t>Licences, permits, approvals not transferable</w:t>
      </w:r>
      <w:bookmarkEnd w:id="19"/>
      <w:bookmarkEnd w:id="20"/>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21" w:name="_Toc378252198"/>
      <w:bookmarkStart w:id="22" w:name="_Toc412544126"/>
      <w:r>
        <w:rPr>
          <w:rStyle w:val="CharSectno"/>
        </w:rPr>
        <w:t>9A</w:t>
      </w:r>
      <w:r>
        <w:rPr>
          <w:snapToGrid w:val="0"/>
        </w:rPr>
        <w:t>.</w:t>
      </w:r>
      <w:r>
        <w:rPr>
          <w:snapToGrid w:val="0"/>
        </w:rPr>
        <w:tab/>
        <w:t>Duration and renewal of licences</w:t>
      </w:r>
      <w:bookmarkEnd w:id="21"/>
      <w:bookmarkEnd w:id="22"/>
    </w:p>
    <w:p>
      <w:pPr>
        <w:pStyle w:val="Subsection"/>
        <w:rPr>
          <w:snapToGrid w:val="0"/>
        </w:rPr>
      </w:pPr>
      <w:r>
        <w:rPr>
          <w:snapToGrid w:val="0"/>
        </w:rPr>
        <w:tab/>
        <w:t>(1)</w:t>
      </w:r>
      <w:r>
        <w:rPr>
          <w:snapToGrid w:val="0"/>
        </w:rPr>
        <w:tab/>
        <w:t>The period for which this section provides that a licence is valid is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2004</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[Section 9A inserted by No. 59 of 1996 s. 9; amended by No. 69 of 2004 s. 12.]</w:t>
      </w:r>
    </w:p>
    <w:p>
      <w:pPr>
        <w:pStyle w:val="Heading5"/>
        <w:rPr>
          <w:snapToGrid w:val="0"/>
        </w:rPr>
      </w:pPr>
      <w:bookmarkStart w:id="23" w:name="_Toc378252199"/>
      <w:bookmarkStart w:id="24" w:name="_Toc412544127"/>
      <w:r>
        <w:rPr>
          <w:rStyle w:val="CharSectno"/>
        </w:rPr>
        <w:t>10</w:t>
      </w:r>
      <w:r>
        <w:rPr>
          <w:snapToGrid w:val="0"/>
        </w:rPr>
        <w:t>.</w:t>
      </w:r>
      <w:r>
        <w:rPr>
          <w:snapToGrid w:val="0"/>
        </w:rPr>
        <w:tab/>
        <w:t>Minimum age of licensee or permit holder</w:t>
      </w:r>
      <w:bookmarkEnd w:id="23"/>
      <w:bookmarkEnd w:id="24"/>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[Section 10 inserted by No. 59 of 1996 s. 10.]</w:t>
      </w:r>
    </w:p>
    <w:p>
      <w:pPr>
        <w:pStyle w:val="Heading5"/>
        <w:rPr>
          <w:snapToGrid w:val="0"/>
        </w:rPr>
      </w:pPr>
      <w:bookmarkStart w:id="25" w:name="_Toc378252200"/>
      <w:bookmarkStart w:id="26" w:name="_Toc412544128"/>
      <w:r>
        <w:rPr>
          <w:rStyle w:val="CharSectno"/>
        </w:rPr>
        <w:t>10A</w:t>
      </w:r>
      <w:r>
        <w:rPr>
          <w:snapToGrid w:val="0"/>
        </w:rPr>
        <w:t>.</w:t>
      </w:r>
      <w:r>
        <w:rPr>
          <w:snapToGrid w:val="0"/>
        </w:rPr>
        <w:tab/>
        <w:t>Training courses</w:t>
      </w:r>
      <w:bookmarkEnd w:id="25"/>
      <w:bookmarkEnd w:id="26"/>
    </w:p>
    <w:p>
      <w:pPr>
        <w:pStyle w:val="Subsection"/>
        <w:keepNext/>
        <w:rPr>
          <w:snapToGrid w:val="0"/>
        </w:rPr>
      </w:pPr>
      <w:r>
        <w:rPr>
          <w:snapToGrid w:val="0"/>
        </w:rPr>
        <w:tab/>
      </w:r>
      <w:r>
        <w:rPr>
          <w:snapToGrid w:val="0"/>
        </w:rPr>
        <w:tab/>
        <w:t>Regulations made under section 34 may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[Section 10A inserted by No. 59 of 1996 s. 11.]</w:t>
      </w:r>
    </w:p>
    <w:p>
      <w:pPr>
        <w:pStyle w:val="Heading5"/>
        <w:rPr>
          <w:snapToGrid w:val="0"/>
        </w:rPr>
      </w:pPr>
      <w:bookmarkStart w:id="27" w:name="_Toc378252201"/>
      <w:bookmarkStart w:id="28" w:name="_Toc412544129"/>
      <w:r>
        <w:rPr>
          <w:rStyle w:val="CharSectno"/>
        </w:rPr>
        <w:t>11</w:t>
      </w:r>
      <w:r>
        <w:rPr>
          <w:snapToGrid w:val="0"/>
        </w:rPr>
        <w:t>.</w:t>
      </w:r>
      <w:r>
        <w:rPr>
          <w:snapToGrid w:val="0"/>
        </w:rPr>
        <w:tab/>
        <w:t>Exercise of Commissioner’s discretion</w:t>
      </w:r>
      <w:bookmarkEnd w:id="27"/>
      <w:bookmarkEnd w:id="28"/>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w:t>
      </w:r>
    </w:p>
    <w:p>
      <w:pPr>
        <w:pStyle w:val="Indenta"/>
        <w:rPr>
          <w:snapToGrid w:val="0"/>
        </w:rPr>
      </w:pPr>
      <w:r>
        <w:rPr>
          <w:snapToGrid w:val="0"/>
        </w:rPr>
        <w:tab/>
        <w:t>(a)</w:t>
      </w:r>
      <w:r>
        <w:rPr>
          <w:snapToGrid w:val="0"/>
        </w:rPr>
        <w:tab/>
        <w:t>to do so would be contrary to section 11A or regulations under section 11B or 11C; or</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w:t>
      </w:r>
    </w:p>
    <w:p>
      <w:pPr>
        <w:pStyle w:val="Indenti"/>
        <w:rPr>
          <w:snapToGrid w:val="0"/>
        </w:rPr>
      </w:pPr>
      <w:r>
        <w:rPr>
          <w:snapToGrid w:val="0"/>
        </w:rPr>
        <w:tab/>
        <w:t>(i)</w:t>
      </w:r>
      <w:r>
        <w:rPr>
          <w:snapToGrid w:val="0"/>
        </w:rPr>
        <w:tab/>
        <w:t>the person was convicted of an offence involving assault with a weapon; or</w:t>
      </w:r>
    </w:p>
    <w:p>
      <w:pPr>
        <w:pStyle w:val="Indenti"/>
        <w:rPr>
          <w:snapToGrid w:val="0"/>
        </w:rPr>
      </w:pPr>
      <w:r>
        <w:rPr>
          <w:snapToGrid w:val="0"/>
        </w:rPr>
        <w:tab/>
        <w:t>(ii)</w:t>
      </w:r>
      <w:r>
        <w:rPr>
          <w:snapToGrid w:val="0"/>
        </w:rPr>
        <w:tab/>
        <w:t>the person was convicted of an offence involving violence; or</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 or</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w:t>
      </w:r>
    </w:p>
    <w:p>
      <w:pPr>
        <w:pStyle w:val="Defstart"/>
      </w:pPr>
      <w:r>
        <w:rPr>
          <w:b/>
        </w:rPr>
        <w:tab/>
      </w:r>
      <w:r>
        <w:rPr>
          <w:rStyle w:val="CharDefText"/>
        </w:rPr>
        <w:t>violence restraining order</w:t>
      </w:r>
      <w:r>
        <w:t xml:space="preserve"> means a judicial order imposing on the person against whom the order is made restraints on the person’s lawful activities and behaviour to prevent the person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rPr>
          <w:snapToGrid w:val="0"/>
        </w:rPr>
      </w:pPr>
      <w:r>
        <w:rPr>
          <w:snapToGrid w:val="0"/>
        </w:rPr>
        <w:tab/>
        <w:t>(7)</w:t>
      </w:r>
      <w:r>
        <w:rPr>
          <w:snapToGrid w:val="0"/>
        </w:rPr>
        <w:tab/>
        <w:t>Without limiting the other grounds on which an application may be refused, the Commissioner may refuse an application if satisfied that the applicant has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 or</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[Section 11 inserted by No. 59 of 1996 s. 12; amended by No. 69 of 2004 s. 13.]</w:t>
      </w:r>
    </w:p>
    <w:p>
      <w:pPr>
        <w:pStyle w:val="Heading5"/>
        <w:rPr>
          <w:snapToGrid w:val="0"/>
        </w:rPr>
      </w:pPr>
      <w:bookmarkStart w:id="29" w:name="_Toc378252202"/>
      <w:bookmarkStart w:id="30" w:name="_Toc412544130"/>
      <w:r>
        <w:rPr>
          <w:rStyle w:val="CharSectno"/>
        </w:rPr>
        <w:t>11A</w:t>
      </w:r>
      <w:r>
        <w:rPr>
          <w:snapToGrid w:val="0"/>
        </w:rPr>
        <w:t>.</w:t>
      </w:r>
      <w:r>
        <w:rPr>
          <w:snapToGrid w:val="0"/>
        </w:rPr>
        <w:tab/>
        <w:t>Genuine reason required in all cases</w:t>
      </w:r>
      <w:bookmarkEnd w:id="29"/>
      <w:bookmarkEnd w:id="30"/>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rPr>
          <w:snapToGrid w:val="0"/>
        </w:rPr>
      </w:pPr>
      <w:r>
        <w:rPr>
          <w:snapToGrid w:val="0"/>
        </w:rPr>
        <w:tab/>
        <w:t>(2)</w:t>
      </w:r>
      <w:r>
        <w:rPr>
          <w:snapToGrid w:val="0"/>
        </w:rPr>
        <w:tab/>
        <w:t>A person has a genuine reason for acquiring or possessing a firearm or ammunition if and only if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 or</w:t>
      </w:r>
    </w:p>
    <w:p>
      <w:pPr>
        <w:pStyle w:val="Indenta"/>
        <w:spacing w:before="60"/>
        <w:rPr>
          <w:snapToGrid w:val="0"/>
        </w:rPr>
      </w:pPr>
      <w:r>
        <w:rPr>
          <w:snapToGrid w:val="0"/>
        </w:rPr>
        <w:tab/>
        <w:t>(b)</w:t>
      </w:r>
      <w:r>
        <w:rPr>
          <w:snapToGrid w:val="0"/>
        </w:rPr>
        <w:tab/>
        <w:t>it is for use by the person as a member of an organisation approved under this paragraph; or</w:t>
      </w:r>
    </w:p>
    <w:p>
      <w:pPr>
        <w:pStyle w:val="Indenta"/>
        <w:spacing w:before="60"/>
        <w:rPr>
          <w:snapToGrid w:val="0"/>
        </w:rPr>
      </w:pPr>
      <w:r>
        <w:rPr>
          <w:snapToGrid w:val="0"/>
        </w:rPr>
        <w:tab/>
        <w:t>(c)</w:t>
      </w:r>
      <w:r>
        <w:rPr>
          <w:snapToGrid w:val="0"/>
        </w:rPr>
        <w:tab/>
        <w:t xml:space="preserve">it is for use in hunting or shooting of a recreational nature on land the owner of which has given written permission for that hunting or shooting; or </w:t>
      </w:r>
    </w:p>
    <w:p>
      <w:pPr>
        <w:pStyle w:val="Indenta"/>
        <w:spacing w:before="60"/>
        <w:rPr>
          <w:snapToGrid w:val="0"/>
        </w:rPr>
      </w:pPr>
      <w:r>
        <w:rPr>
          <w:snapToGrid w:val="0"/>
        </w:rPr>
        <w:tab/>
        <w:t>(d)</w:t>
      </w:r>
      <w:r>
        <w:rPr>
          <w:snapToGrid w:val="0"/>
        </w:rPr>
        <w:tab/>
        <w:t>it is required by the person in the course of the person’s occupation; or</w:t>
      </w:r>
    </w:p>
    <w:p>
      <w:pPr>
        <w:pStyle w:val="Indenta"/>
      </w:pPr>
      <w:r>
        <w:tab/>
        <w:t>(da)</w:t>
      </w:r>
      <w:r>
        <w:tab/>
        <w:t>in the case of a prescribed paintball gun, it is required by the person to conduct or engage in paintball in accordance with this Act; or</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rPr>
          <w:snapToGrid w:val="0"/>
        </w:rPr>
      </w:pPr>
      <w:r>
        <w:rPr>
          <w:snapToGrid w:val="0"/>
        </w:rPr>
        <w:tab/>
        <w:t>(6)</w:t>
      </w:r>
      <w:r>
        <w:rPr>
          <w:snapToGrid w:val="0"/>
        </w:rPr>
        <w:tab/>
        <w:t>Regulations made under section 34 may limit the purposes that may be approved under subsection (2)(f).</w:t>
      </w:r>
    </w:p>
    <w:p>
      <w:pPr>
        <w:pStyle w:val="Footnotesection"/>
      </w:pPr>
      <w:r>
        <w:tab/>
        <w:t>[Section 11A inserted by No. 59 of 1996 s. 12; amended by No. 69 of 2004 s. 6 and 14.]</w:t>
      </w:r>
    </w:p>
    <w:p>
      <w:pPr>
        <w:pStyle w:val="Heading5"/>
        <w:rPr>
          <w:snapToGrid w:val="0"/>
        </w:rPr>
      </w:pPr>
      <w:bookmarkStart w:id="31" w:name="_Toc378252203"/>
      <w:bookmarkStart w:id="32" w:name="_Toc412544131"/>
      <w:r>
        <w:rPr>
          <w:rStyle w:val="CharSectno"/>
        </w:rPr>
        <w:t>11B</w:t>
      </w:r>
      <w:r>
        <w:rPr>
          <w:snapToGrid w:val="0"/>
        </w:rPr>
        <w:t>.</w:t>
      </w:r>
      <w:r>
        <w:rPr>
          <w:snapToGrid w:val="0"/>
        </w:rPr>
        <w:tab/>
        <w:t>Genuine need required in some cases</w:t>
      </w:r>
      <w:bookmarkEnd w:id="31"/>
      <w:bookmarkEnd w:id="32"/>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[Section 11B inserted by No. 59 of 1996 s. 12.]</w:t>
      </w:r>
    </w:p>
    <w:p>
      <w:pPr>
        <w:pStyle w:val="Heading5"/>
        <w:rPr>
          <w:snapToGrid w:val="0"/>
        </w:rPr>
      </w:pPr>
      <w:bookmarkStart w:id="33" w:name="_Toc378252204"/>
      <w:bookmarkStart w:id="34" w:name="_Toc412544132"/>
      <w:r>
        <w:rPr>
          <w:rStyle w:val="CharSectno"/>
        </w:rPr>
        <w:t>11C</w:t>
      </w:r>
      <w:r>
        <w:rPr>
          <w:snapToGrid w:val="0"/>
        </w:rPr>
        <w:t>.</w:t>
      </w:r>
      <w:r>
        <w:rPr>
          <w:snapToGrid w:val="0"/>
        </w:rPr>
        <w:tab/>
        <w:t>Other restrictions</w:t>
      </w:r>
      <w:bookmarkEnd w:id="33"/>
      <w:bookmarkEnd w:id="34"/>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[Section 11C inserted by No. 59 of 1996 s. 12.]</w:t>
      </w:r>
    </w:p>
    <w:p>
      <w:pPr>
        <w:pStyle w:val="Heading5"/>
        <w:rPr>
          <w:snapToGrid w:val="0"/>
        </w:rPr>
      </w:pPr>
      <w:bookmarkStart w:id="35" w:name="_Toc378252205"/>
      <w:bookmarkStart w:id="36" w:name="_Toc412544133"/>
      <w:r>
        <w:rPr>
          <w:rStyle w:val="CharSectno"/>
        </w:rPr>
        <w:t>12</w:t>
      </w:r>
      <w:r>
        <w:rPr>
          <w:snapToGrid w:val="0"/>
        </w:rPr>
        <w:t>.</w:t>
      </w:r>
      <w:r>
        <w:rPr>
          <w:snapToGrid w:val="0"/>
        </w:rPr>
        <w:tab/>
        <w:t>Unsafe or unserviceable firearms</w:t>
      </w:r>
      <w:bookmarkEnd w:id="35"/>
      <w:bookmarkEnd w:id="36"/>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[Section 12 inserted by No. 59 of 1996 s. 13.]</w:t>
      </w:r>
    </w:p>
    <w:p>
      <w:pPr>
        <w:pStyle w:val="Ednotesection"/>
      </w:pPr>
      <w:r>
        <w:t>[</w:t>
      </w:r>
      <w:r>
        <w:rPr>
          <w:b/>
        </w:rPr>
        <w:t>13, 14.</w:t>
      </w:r>
      <w:r>
        <w:tab/>
        <w:t>Deleted by No. 59 of 1996 s. 5(2).]</w:t>
      </w:r>
    </w:p>
    <w:p>
      <w:pPr>
        <w:pStyle w:val="Heading5"/>
        <w:rPr>
          <w:snapToGrid w:val="0"/>
        </w:rPr>
      </w:pPr>
      <w:bookmarkStart w:id="37" w:name="_Toc378252206"/>
      <w:bookmarkStart w:id="38" w:name="_Toc412544134"/>
      <w:r>
        <w:rPr>
          <w:rStyle w:val="CharSectno"/>
        </w:rPr>
        <w:t>15</w:t>
      </w:r>
      <w:r>
        <w:rPr>
          <w:snapToGrid w:val="0"/>
        </w:rPr>
        <w:t>.</w:t>
      </w:r>
      <w:r>
        <w:rPr>
          <w:snapToGrid w:val="0"/>
        </w:rPr>
        <w:tab/>
        <w:t>Firearm collections</w:t>
      </w:r>
      <w:bookmarkEnd w:id="37"/>
      <w:bookmarkEnd w:id="38"/>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For the purposes of this Act, a handgun manufactured after 1946 can form part of a genuine firearm collection only if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In subsection (3) —</w:t>
      </w:r>
    </w:p>
    <w:p>
      <w:pPr>
        <w:pStyle w:val="Defstart"/>
      </w:pPr>
      <w:r>
        <w:rPr>
          <w:b/>
        </w:rPr>
        <w:tab/>
      </w:r>
      <w:r>
        <w:rPr>
          <w:rStyle w:val="CharDefText"/>
        </w:rPr>
        <w:t>student of arms</w:t>
      </w:r>
      <w:r>
        <w:t xml:space="preserve"> means a person who can be shown to have a prolonged and genuine interest in the study, preservation, or collection of firearms.</w:t>
      </w:r>
    </w:p>
    <w:p>
      <w:pPr>
        <w:pStyle w:val="Subsection"/>
        <w:spacing w:before="180"/>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spacing w:before="180"/>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spacing w:before="180"/>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spacing w:before="180"/>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keepLines/>
        <w:spacing w:before="180"/>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ind w:left="890" w:hanging="890"/>
      </w:pPr>
      <w:r>
        <w:tab/>
        <w:t>[Section 15 inserted by No. 59 of 1996 s. 14; amended by No. 69 of 2004 s. 15(1) and (2).]</w:t>
      </w:r>
    </w:p>
    <w:p>
      <w:pPr>
        <w:pStyle w:val="Heading5"/>
      </w:pPr>
      <w:bookmarkStart w:id="39" w:name="_Toc378252207"/>
      <w:bookmarkStart w:id="40" w:name="_Toc412544135"/>
      <w:r>
        <w:rPr>
          <w:rStyle w:val="CharSectno"/>
        </w:rPr>
        <w:t>15A</w:t>
      </w:r>
      <w:r>
        <w:t>.</w:t>
      </w:r>
      <w:r>
        <w:tab/>
        <w:t>Accredited societies of collectors</w:t>
      </w:r>
      <w:bookmarkEnd w:id="39"/>
      <w:bookmarkEnd w:id="40"/>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For a person or body to be an accredited society of collectors one of its purposes has to be to facilitate the study, preservation, or collection of —</w:t>
      </w:r>
    </w:p>
    <w:p>
      <w:pPr>
        <w:pStyle w:val="Indenta"/>
        <w:spacing w:before="60"/>
        <w:rPr>
          <w:snapToGrid w:val="0"/>
        </w:rPr>
      </w:pPr>
      <w:r>
        <w:rPr>
          <w:snapToGrid w:val="0"/>
        </w:rPr>
        <w:tab/>
        <w:t>(a)</w:t>
      </w:r>
      <w:r>
        <w:rPr>
          <w:snapToGrid w:val="0"/>
        </w:rPr>
        <w:tab/>
        <w:t>handguns in particular; or</w:t>
      </w:r>
    </w:p>
    <w:p>
      <w:pPr>
        <w:pStyle w:val="Indenta"/>
        <w:spacing w:before="60"/>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ind w:left="890" w:hanging="890"/>
      </w:pPr>
      <w:r>
        <w:tab/>
        <w:t>[Section 15A inserted by No. 69 of 2004 s. 16.]</w:t>
      </w:r>
    </w:p>
    <w:p>
      <w:pPr>
        <w:pStyle w:val="Heading5"/>
        <w:rPr>
          <w:snapToGrid w:val="0"/>
        </w:rPr>
      </w:pPr>
      <w:bookmarkStart w:id="41" w:name="_Toc378252208"/>
      <w:bookmarkStart w:id="42" w:name="_Toc412544136"/>
      <w:r>
        <w:rPr>
          <w:rStyle w:val="CharSectno"/>
        </w:rPr>
        <w:t>15B</w:t>
      </w:r>
      <w:r>
        <w:t>.</w:t>
      </w:r>
      <w:r>
        <w:tab/>
        <w:t>Information from accredited society of collectors</w:t>
      </w:r>
      <w:bookmarkEnd w:id="41"/>
      <w:bookmarkEnd w:id="42"/>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An accredited society of collectors that is requested at any time to do so may provide to the Commissioner any information that the Commissioner might consider relevant to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43" w:name="_Toc378252209"/>
      <w:bookmarkStart w:id="44" w:name="_Toc412544137"/>
      <w:r>
        <w:rPr>
          <w:rStyle w:val="CharSectno"/>
        </w:rPr>
        <w:t>16</w:t>
      </w:r>
      <w:r>
        <w:rPr>
          <w:snapToGrid w:val="0"/>
        </w:rPr>
        <w:t>.</w:t>
      </w:r>
      <w:r>
        <w:rPr>
          <w:snapToGrid w:val="0"/>
        </w:rPr>
        <w:tab/>
        <w:t>Licences</w:t>
      </w:r>
      <w:bookmarkEnd w:id="43"/>
      <w:bookmarkEnd w:id="44"/>
    </w:p>
    <w:p>
      <w:pPr>
        <w:pStyle w:val="Subsection"/>
        <w:rPr>
          <w:snapToGrid w:val="0"/>
        </w:rPr>
      </w:pPr>
      <w:r>
        <w:rPr>
          <w:snapToGrid w:val="0"/>
        </w:rPr>
        <w:tab/>
        <w:t>(1)</w:t>
      </w:r>
      <w:r>
        <w:rPr>
          <w:snapToGrid w:val="0"/>
        </w:rPr>
        <w:tab/>
        <w:t>The licences which may be issued under this Act are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 and</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 and</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 and</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 and</w:t>
      </w:r>
    </w:p>
    <w:p>
      <w:pPr>
        <w:pStyle w:val="Indenta"/>
        <w:rPr>
          <w:snapToGrid w:val="0"/>
        </w:rPr>
      </w:pPr>
      <w:r>
        <w:rPr>
          <w:snapToGrid w:val="0"/>
        </w:rPr>
        <w:tab/>
        <w:t>(e)</w:t>
      </w:r>
      <w:r>
        <w:rPr>
          <w:snapToGrid w:val="0"/>
        </w:rPr>
        <w:tab/>
        <w:t>a Repairer’s Licence, which entitles the holder to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 and</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 and</w:t>
      </w:r>
    </w:p>
    <w:p>
      <w:pPr>
        <w:pStyle w:val="Indenta"/>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w:t>
      </w:r>
    </w:p>
    <w:p>
      <w:pPr>
        <w:pStyle w:val="Indenta"/>
        <w:spacing w:before="60"/>
        <w:rPr>
          <w:snapToGrid w:val="0"/>
        </w:rPr>
      </w:pPr>
      <w:r>
        <w:rPr>
          <w:snapToGrid w:val="0"/>
        </w:rPr>
        <w:tab/>
        <w:t>(a)</w:t>
      </w:r>
      <w:r>
        <w:rPr>
          <w:snapToGrid w:val="0"/>
        </w:rPr>
        <w:tab/>
        <w:t>an employee of that organisation; or</w:t>
      </w:r>
    </w:p>
    <w:p>
      <w:pPr>
        <w:pStyle w:val="Indenta"/>
        <w:spacing w:before="60"/>
        <w:rPr>
          <w:snapToGrid w:val="0"/>
        </w:rPr>
      </w:pPr>
      <w:r>
        <w:rPr>
          <w:snapToGrid w:val="0"/>
        </w:rPr>
        <w:tab/>
        <w:t>(b)</w:t>
      </w:r>
      <w:r>
        <w:rPr>
          <w:snapToGrid w:val="0"/>
        </w:rPr>
        <w:tab/>
        <w:t>in respect to any particular act or omission authorised by the organisation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[Section 16 amended by No. 59 of 1996 s. 15; No. 27 of 1996 s. 96.]</w:t>
      </w:r>
    </w:p>
    <w:p>
      <w:pPr>
        <w:pStyle w:val="Heading5"/>
        <w:rPr>
          <w:snapToGrid w:val="0"/>
        </w:rPr>
      </w:pPr>
      <w:bookmarkStart w:id="45" w:name="_Toc378252210"/>
      <w:bookmarkStart w:id="46" w:name="_Toc412544138"/>
      <w:r>
        <w:rPr>
          <w:rStyle w:val="CharSectno"/>
        </w:rPr>
        <w:t>16A</w:t>
      </w:r>
      <w:r>
        <w:rPr>
          <w:snapToGrid w:val="0"/>
        </w:rPr>
        <w:t>.</w:t>
      </w:r>
      <w:r>
        <w:rPr>
          <w:snapToGrid w:val="0"/>
        </w:rPr>
        <w:tab/>
        <w:t>Possession of firearms by security officers</w:t>
      </w:r>
      <w:bookmarkEnd w:id="45"/>
      <w:bookmarkEnd w:id="46"/>
    </w:p>
    <w:p>
      <w:pPr>
        <w:pStyle w:val="Subsection"/>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w:t>
      </w:r>
      <w:r>
        <w:t>, or a permit issued under section 25,</w:t>
      </w:r>
      <w:r>
        <w:rPr>
          <w:snapToGrid w:val="0"/>
        </w:rPr>
        <w:t xml:space="preserve"> of that Act.</w:t>
      </w:r>
    </w:p>
    <w:p>
      <w:pPr>
        <w:pStyle w:val="Footnotesection"/>
      </w:pPr>
      <w:r>
        <w:tab/>
        <w:t>[Section 16A inserted by No. 27 of 1996 s. 96; amended by No. 59 of 1996 s. 16; No. 4 of 2008 s. 81.]</w:t>
      </w:r>
    </w:p>
    <w:p>
      <w:pPr>
        <w:pStyle w:val="Heading5"/>
        <w:rPr>
          <w:snapToGrid w:val="0"/>
        </w:rPr>
      </w:pPr>
      <w:bookmarkStart w:id="47" w:name="_Toc378252211"/>
      <w:bookmarkStart w:id="48" w:name="_Toc412544139"/>
      <w:r>
        <w:rPr>
          <w:rStyle w:val="CharSectno"/>
        </w:rPr>
        <w:t>17</w:t>
      </w:r>
      <w:r>
        <w:rPr>
          <w:snapToGrid w:val="0"/>
        </w:rPr>
        <w:t>.</w:t>
      </w:r>
      <w:r>
        <w:rPr>
          <w:snapToGrid w:val="0"/>
        </w:rPr>
        <w:tab/>
        <w:t>Temporary permits</w:t>
      </w:r>
      <w:bookmarkEnd w:id="47"/>
      <w:bookmarkEnd w:id="48"/>
    </w:p>
    <w:p>
      <w:pPr>
        <w:pStyle w:val="Subsection"/>
        <w:rPr>
          <w:snapToGrid w:val="0"/>
        </w:rPr>
      </w:pPr>
      <w:r>
        <w:rPr>
          <w:snapToGrid w:val="0"/>
        </w:rPr>
        <w:tab/>
        <w:t>(1)</w:t>
      </w:r>
      <w:r>
        <w:rPr>
          <w:snapToGrid w:val="0"/>
        </w:rPr>
        <w:tab/>
        <w:t>Subject to subsection (3), a permit to possess a firearm or ammunition temporarily may be granted by the Commissioner to a person —</w:t>
      </w:r>
    </w:p>
    <w:p>
      <w:pPr>
        <w:pStyle w:val="Indenta"/>
        <w:rPr>
          <w:snapToGrid w:val="0"/>
        </w:rPr>
      </w:pPr>
      <w:r>
        <w:rPr>
          <w:snapToGrid w:val="0"/>
        </w:rPr>
        <w:tab/>
        <w:t>(a)</w:t>
      </w:r>
      <w:r>
        <w:rPr>
          <w:snapToGrid w:val="0"/>
        </w:rPr>
        <w:tab/>
        <w:t>for the purpose of any test or demonstration of it; or</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 or</w:t>
      </w:r>
    </w:p>
    <w:p>
      <w:pPr>
        <w:pStyle w:val="Indenta"/>
        <w:rPr>
          <w:snapToGrid w:val="0"/>
        </w:rPr>
      </w:pPr>
      <w:r>
        <w:rPr>
          <w:snapToGrid w:val="0"/>
        </w:rPr>
        <w:tab/>
        <w:t>(c)</w:t>
      </w:r>
      <w:r>
        <w:rPr>
          <w:snapToGrid w:val="0"/>
        </w:rPr>
        <w:tab/>
        <w:t>for the purposes of transit; or</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keepNext/>
        <w:keepLines/>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[Section 17 amended by No. 59 of 2004 s. 141.]</w:t>
      </w:r>
    </w:p>
    <w:p>
      <w:pPr>
        <w:pStyle w:val="Heading5"/>
        <w:rPr>
          <w:snapToGrid w:val="0"/>
        </w:rPr>
      </w:pPr>
      <w:bookmarkStart w:id="49" w:name="_Toc378252212"/>
      <w:bookmarkStart w:id="50" w:name="_Toc412544140"/>
      <w:r>
        <w:rPr>
          <w:rStyle w:val="CharSectno"/>
        </w:rPr>
        <w:t>17A</w:t>
      </w:r>
      <w:r>
        <w:rPr>
          <w:snapToGrid w:val="0"/>
        </w:rPr>
        <w:t>.</w:t>
      </w:r>
      <w:r>
        <w:rPr>
          <w:snapToGrid w:val="0"/>
        </w:rPr>
        <w:tab/>
        <w:t>Interstate group permits</w:t>
      </w:r>
      <w:bookmarkEnd w:id="49"/>
      <w:bookmarkEnd w:id="50"/>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rPr>
          <w:snapToGrid w:val="0"/>
        </w:rPr>
      </w:pPr>
      <w:r>
        <w:rPr>
          <w:snapToGrid w:val="0"/>
        </w:rPr>
        <w:tab/>
      </w:r>
      <w:r>
        <w:rPr>
          <w:snapToGrid w:val="0"/>
        </w:rPr>
        <w:tab/>
        <w:t>grant to the club, body or organisation an interstate group permit.</w:t>
      </w:r>
    </w:p>
    <w:p>
      <w:pPr>
        <w:pStyle w:val="Subsection"/>
        <w:rPr>
          <w:snapToGrid w:val="0"/>
        </w:rPr>
      </w:pPr>
      <w:r>
        <w:rPr>
          <w:snapToGrid w:val="0"/>
        </w:rPr>
        <w:tab/>
        <w:t>(2)</w:t>
      </w:r>
      <w:r>
        <w:rPr>
          <w:snapToGrid w:val="0"/>
        </w:rPr>
        <w:tab/>
        <w:t>An interstate group permit under this section —</w:t>
      </w:r>
    </w:p>
    <w:p>
      <w:pPr>
        <w:pStyle w:val="Indenta"/>
        <w:rPr>
          <w:snapToGrid w:val="0"/>
        </w:rPr>
      </w:pPr>
      <w:r>
        <w:rPr>
          <w:snapToGrid w:val="0"/>
        </w:rPr>
        <w:tab/>
        <w:t>(a)</w:t>
      </w:r>
      <w:r>
        <w:rPr>
          <w:snapToGrid w:val="0"/>
        </w:rPr>
        <w:tab/>
        <w:t>shall be in the prescribed form; and</w:t>
      </w:r>
    </w:p>
    <w:p>
      <w:pPr>
        <w:pStyle w:val="Indenta"/>
        <w:rPr>
          <w:snapToGrid w:val="0"/>
        </w:rPr>
      </w:pPr>
      <w:r>
        <w:rPr>
          <w:snapToGrid w:val="0"/>
        </w:rPr>
        <w:tab/>
        <w:t>(b)</w:t>
      </w:r>
      <w:r>
        <w:rPr>
          <w:snapToGrid w:val="0"/>
        </w:rPr>
        <w:tab/>
        <w:t>shall be issued to the club, body or organisation on whose behalf the application for the permit has been made; and</w:t>
      </w:r>
    </w:p>
    <w:p>
      <w:pPr>
        <w:pStyle w:val="Indenta"/>
        <w:rPr>
          <w:snapToGrid w:val="0"/>
        </w:rPr>
      </w:pPr>
      <w:r>
        <w:rPr>
          <w:snapToGrid w:val="0"/>
        </w:rPr>
        <w:tab/>
        <w:t>(c)</w:t>
      </w:r>
      <w:r>
        <w:rPr>
          <w:snapToGrid w:val="0"/>
        </w:rPr>
        <w:tab/>
        <w:t>shall set forth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[Section 17A inserted by No. 61 of 1976 s. 2.]</w:t>
      </w:r>
    </w:p>
    <w:p>
      <w:pPr>
        <w:pStyle w:val="Heading5"/>
        <w:spacing w:before="240"/>
        <w:rPr>
          <w:snapToGrid w:val="0"/>
        </w:rPr>
      </w:pPr>
      <w:bookmarkStart w:id="51" w:name="_Toc378252213"/>
      <w:bookmarkStart w:id="52" w:name="_Toc412544141"/>
      <w:r>
        <w:rPr>
          <w:rStyle w:val="CharSectno"/>
        </w:rPr>
        <w:t>17B</w:t>
      </w:r>
      <w:r>
        <w:rPr>
          <w:snapToGrid w:val="0"/>
        </w:rPr>
        <w:t>.</w:t>
      </w:r>
      <w:r>
        <w:rPr>
          <w:snapToGrid w:val="0"/>
        </w:rPr>
        <w:tab/>
        <w:t>Minister may authorise agriculture inspector to possess, carry and use silencers</w:t>
      </w:r>
      <w:bookmarkEnd w:id="51"/>
      <w:bookmarkEnd w:id="52"/>
    </w:p>
    <w:p>
      <w:pPr>
        <w:pStyle w:val="Subsection"/>
        <w:rPr>
          <w:snapToGrid w:val="0"/>
        </w:rPr>
      </w:pPr>
      <w:r>
        <w:rPr>
          <w:snapToGrid w:val="0"/>
        </w:rPr>
        <w:tab/>
        <w:t>(1)</w:t>
      </w:r>
      <w:r>
        <w:rPr>
          <w:snapToGrid w:val="0"/>
        </w:rPr>
        <w:tab/>
        <w:t xml:space="preserve">Subject to this section, the Minister may grant authority in writing to an approved </w:t>
      </w:r>
      <w:r>
        <w:t>agriculture inspector</w:t>
      </w:r>
      <w:r>
        <w:rPr>
          <w:snapToGrid w:val="0"/>
        </w:rPr>
        <w:t xml:space="preserve">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 xml:space="preserve">An </w:t>
      </w:r>
      <w:r>
        <w:t>agriculture inspector</w:t>
      </w:r>
      <w:r>
        <w:rPr>
          <w:snapToGrid w:val="0"/>
        </w:rPr>
        <w:t xml:space="preserve"> to whom an authority has been granted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 and</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 and</w:t>
      </w:r>
    </w:p>
    <w:p>
      <w:pPr>
        <w:pStyle w:val="Indenta"/>
      </w:pPr>
      <w:r>
        <w:tab/>
        <w:t>(c)</w:t>
      </w:r>
      <w:r>
        <w:tab/>
        <w:t xml:space="preserve">shall not use a silencer otherwise than in conjunction with a .22 calibre rifle named and identified in the Corporate Licence referred to in subsection (7) for the purpose of shooting birds that are declared pests under the </w:t>
      </w:r>
      <w:r>
        <w:rPr>
          <w:i/>
          <w:iCs/>
        </w:rPr>
        <w:t>Biosecurity and Agriculture Management Act 2007</w:t>
      </w:r>
      <w:r>
        <w:t>; and</w:t>
      </w:r>
    </w:p>
    <w:p>
      <w:pPr>
        <w:pStyle w:val="Indenta"/>
        <w:rPr>
          <w:snapToGrid w:val="0"/>
        </w:rPr>
      </w:pPr>
      <w:r>
        <w:rPr>
          <w:snapToGrid w:val="0"/>
        </w:rPr>
        <w:tab/>
        <w:t>(d)</w:t>
      </w:r>
      <w:r>
        <w:rPr>
          <w:snapToGrid w:val="0"/>
        </w:rPr>
        <w:tab/>
        <w:t>shall take all reasonable precautions to ensure the safekeeping of a silencer possessed, carried or used by him; and</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spacing w:before="180"/>
        <w:rPr>
          <w:snapToGrid w:val="0"/>
        </w:rPr>
      </w:pPr>
      <w:r>
        <w:rPr>
          <w:snapToGrid w:val="0"/>
        </w:rPr>
        <w:tab/>
        <w:t>(4)</w:t>
      </w:r>
      <w:r>
        <w:rPr>
          <w:snapToGrid w:val="0"/>
        </w:rPr>
        <w:tab/>
        <w:t xml:space="preserve">If an </w:t>
      </w:r>
      <w:r>
        <w:t>agriculture inspector</w:t>
      </w:r>
      <w:r>
        <w:rPr>
          <w:snapToGrid w:val="0"/>
        </w:rPr>
        <w:t xml:space="preserve"> to whom an authority has been granted fails to perform any of the duties imposed on him by subsection (3) or ceases to be permitted by </w:t>
      </w:r>
      <w:r>
        <w:t>the Director General</w:t>
      </w:r>
      <w:r>
        <w:rPr>
          <w:snapToGrid w:val="0"/>
        </w:rPr>
        <w:t xml:space="preserve"> to possess, carry or use a .22 calibre rifle under the Corporate Licence referred to in subsection (7), his authority is rendered void.</w:t>
      </w:r>
    </w:p>
    <w:p>
      <w:pPr>
        <w:pStyle w:val="Subsection"/>
        <w:spacing w:before="180"/>
        <w:rPr>
          <w:snapToGrid w:val="0"/>
        </w:rPr>
      </w:pPr>
      <w:r>
        <w:rPr>
          <w:snapToGrid w:val="0"/>
        </w:rPr>
        <w:tab/>
        <w:t>(5)</w:t>
      </w:r>
      <w:r>
        <w:rPr>
          <w:snapToGrid w:val="0"/>
        </w:rPr>
        <w:tab/>
        <w:t>An authority ceases to be in force on —</w:t>
      </w:r>
    </w:p>
    <w:p>
      <w:pPr>
        <w:pStyle w:val="Indenta"/>
        <w:rPr>
          <w:snapToGrid w:val="0"/>
        </w:rPr>
      </w:pPr>
      <w:r>
        <w:rPr>
          <w:snapToGrid w:val="0"/>
        </w:rPr>
        <w:tab/>
        <w:t>(a)</w:t>
      </w:r>
      <w:r>
        <w:rPr>
          <w:snapToGrid w:val="0"/>
        </w:rPr>
        <w:tab/>
        <w:t>the expiry of the period specified in the authority; or</w:t>
      </w:r>
    </w:p>
    <w:p>
      <w:pPr>
        <w:pStyle w:val="Indenta"/>
        <w:rPr>
          <w:snapToGrid w:val="0"/>
        </w:rPr>
      </w:pPr>
      <w:r>
        <w:rPr>
          <w:snapToGrid w:val="0"/>
        </w:rPr>
        <w:tab/>
        <w:t>(b)</w:t>
      </w:r>
      <w:r>
        <w:rPr>
          <w:snapToGrid w:val="0"/>
        </w:rPr>
        <w:tab/>
        <w:t>its revocation under subsection (2); or</w:t>
      </w:r>
    </w:p>
    <w:p>
      <w:pPr>
        <w:pStyle w:val="Indenta"/>
        <w:rPr>
          <w:snapToGrid w:val="0"/>
        </w:rPr>
      </w:pPr>
      <w:r>
        <w:rPr>
          <w:snapToGrid w:val="0"/>
        </w:rPr>
        <w:tab/>
        <w:t>(c)</w:t>
      </w:r>
      <w:r>
        <w:rPr>
          <w:snapToGrid w:val="0"/>
        </w:rPr>
        <w:tab/>
        <w:t>its being rendered void by virtue of subsection (4); or</w:t>
      </w:r>
    </w:p>
    <w:p>
      <w:pPr>
        <w:pStyle w:val="Indenta"/>
        <w:keepNext/>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 xml:space="preserve">For the purposes of section 22, neither the approval of an </w:t>
      </w:r>
      <w:r>
        <w:t>agriculture inspector</w:t>
      </w:r>
      <w:r>
        <w:rPr>
          <w:snapToGrid w:val="0"/>
        </w:rPr>
        <w:t xml:space="preserve">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 xml:space="preserve">This section has effect only while </w:t>
      </w:r>
      <w:r>
        <w:t>the department</w:t>
      </w:r>
      <w:r>
        <w:rPr>
          <w:snapToGrid w:val="0"/>
        </w:rPr>
        <w:t xml:space="preserve"> is the holder of a valid Corporate Licence entitling the department to possess .22 calibre rifles, together with ammunition therefor.</w:t>
      </w:r>
    </w:p>
    <w:p>
      <w:pPr>
        <w:pStyle w:val="Subsection"/>
        <w:rPr>
          <w:snapToGrid w:val="0"/>
        </w:rPr>
      </w:pPr>
      <w:r>
        <w:rPr>
          <w:snapToGrid w:val="0"/>
        </w:rPr>
        <w:tab/>
        <w:t>(8)</w:t>
      </w:r>
      <w:r>
        <w:rPr>
          <w:snapToGrid w:val="0"/>
        </w:rPr>
        <w:tab/>
        <w:t>In this section —</w:t>
      </w:r>
    </w:p>
    <w:p>
      <w:pPr>
        <w:pStyle w:val="Defstart"/>
      </w:pPr>
      <w:r>
        <w:tab/>
      </w:r>
      <w:r>
        <w:rPr>
          <w:rStyle w:val="CharDefText"/>
        </w:rPr>
        <w:t>agriculture inspector</w:t>
      </w:r>
      <w:r>
        <w:t xml:space="preserve"> means an inspector appointed under the </w:t>
      </w:r>
      <w:r>
        <w:rPr>
          <w:i/>
        </w:rPr>
        <w:t>Biosecurity and Agriculture Management Act 2007</w:t>
      </w:r>
      <w:r>
        <w:t xml:space="preserve"> section 162;</w:t>
      </w:r>
    </w:p>
    <w:p>
      <w:pPr>
        <w:pStyle w:val="Defstart"/>
      </w:pPr>
      <w:r>
        <w:rPr>
          <w:b/>
        </w:rPr>
        <w:tab/>
      </w:r>
      <w:r>
        <w:rPr>
          <w:rStyle w:val="CharDefText"/>
        </w:rPr>
        <w:t>authority</w:t>
      </w:r>
      <w:r>
        <w:t xml:space="preserve"> means authority granted under subsection (1);</w:t>
      </w:r>
    </w:p>
    <w:p>
      <w:pPr>
        <w:pStyle w:val="Defstart"/>
      </w:pPr>
      <w:r>
        <w:rPr>
          <w:b/>
        </w:rPr>
        <w:tab/>
      </w:r>
      <w:r>
        <w:rPr>
          <w:rStyle w:val="CharDefText"/>
        </w:rPr>
        <w:t>Corporate Licence</w:t>
      </w:r>
      <w:r>
        <w:t xml:space="preserve"> means Corporate Licence referred to in section 16(1)(c);</w:t>
      </w:r>
    </w:p>
    <w:p>
      <w:pPr>
        <w:pStyle w:val="Defstart"/>
      </w:pPr>
      <w:r>
        <w:tab/>
      </w:r>
      <w:r>
        <w:rPr>
          <w:rStyle w:val="CharDefText"/>
        </w:rPr>
        <w:t>department</w:t>
      </w:r>
      <w:r>
        <w:t xml:space="preserve"> means the department principally assisting in the administration of the </w:t>
      </w:r>
      <w:r>
        <w:rPr>
          <w:i/>
        </w:rPr>
        <w:t>Biosecurity and Agriculture Management Act 2007</w:t>
      </w:r>
      <w:r>
        <w:t>;</w:t>
      </w:r>
    </w:p>
    <w:p>
      <w:pPr>
        <w:pStyle w:val="Defstart"/>
      </w:pPr>
      <w:r>
        <w:rPr>
          <w:b/>
        </w:rPr>
        <w:tab/>
      </w:r>
      <w:r>
        <w:rPr>
          <w:rStyle w:val="CharDefText"/>
        </w:rPr>
        <w:t>silencer</w:t>
      </w:r>
      <w:r>
        <w:t xml:space="preserve"> means contrivance commonly known as a silencer, or contrivance of a similar nature.</w:t>
      </w:r>
    </w:p>
    <w:p>
      <w:pPr>
        <w:pStyle w:val="Footnotesection"/>
      </w:pPr>
      <w:r>
        <w:tab/>
        <w:t>[Section 17B inserted by No. 3 of 1983 s. 2; amended by No. 59 of 1996 s. 17; No. 24 of 2007 s. 30A (as inserted by No. 46 of 2010 s. 59); No. 46 of 2010 s. 69.]</w:t>
      </w:r>
    </w:p>
    <w:p>
      <w:pPr>
        <w:pStyle w:val="Heading5"/>
        <w:spacing w:before="240"/>
        <w:rPr>
          <w:snapToGrid w:val="0"/>
        </w:rPr>
      </w:pPr>
      <w:bookmarkStart w:id="53" w:name="_Toc378252214"/>
      <w:bookmarkStart w:id="54" w:name="_Toc412544142"/>
      <w:r>
        <w:rPr>
          <w:rStyle w:val="CharSectno"/>
        </w:rPr>
        <w:t>18</w:t>
      </w:r>
      <w:r>
        <w:rPr>
          <w:snapToGrid w:val="0"/>
        </w:rPr>
        <w:t>.</w:t>
      </w:r>
      <w:r>
        <w:rPr>
          <w:snapToGrid w:val="0"/>
        </w:rPr>
        <w:tab/>
        <w:t>Licensing procedure</w:t>
      </w:r>
      <w:bookmarkEnd w:id="53"/>
      <w:bookmarkEnd w:id="54"/>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 w:val="left" w:pos="1440"/>
        </w:tabs>
        <w:spacing w:before="120"/>
        <w:ind w:left="0" w:firstLine="0"/>
      </w:pPr>
      <w:r>
        <w:tab/>
        <w:t>[(2), (3)</w:t>
      </w:r>
      <w:r>
        <w:tab/>
        <w:t>deleted]</w:t>
      </w:r>
    </w:p>
    <w:p>
      <w:pPr>
        <w:pStyle w:val="Subsection"/>
        <w:keepNext/>
        <w:rPr>
          <w:snapToGrid w:val="0"/>
        </w:rPr>
      </w:pPr>
      <w:r>
        <w:rPr>
          <w:snapToGrid w:val="0"/>
        </w:rPr>
        <w:tab/>
        <w:t>(4)</w:t>
      </w:r>
      <w:r>
        <w:rPr>
          <w:snapToGrid w:val="0"/>
        </w:rPr>
        <w:tab/>
        <w:t>The fee payable on the issue of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w:t>
      </w:r>
    </w:p>
    <w:p>
      <w:pPr>
        <w:pStyle w:val="Indenta"/>
        <w:rPr>
          <w:snapToGrid w:val="0"/>
        </w:rPr>
      </w:pPr>
      <w:r>
        <w:rPr>
          <w:snapToGrid w:val="0"/>
        </w:rPr>
        <w:tab/>
        <w:t>(a)</w:t>
      </w:r>
      <w:r>
        <w:rPr>
          <w:snapToGrid w:val="0"/>
        </w:rPr>
        <w:tab/>
        <w:t xml:space="preserve">reference has been made where practicable to relevant criminal records held by the police forces in this State and elsewhere in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w:t>
      </w:r>
    </w:p>
    <w:p>
      <w:pPr>
        <w:pStyle w:val="Indenta"/>
        <w:rPr>
          <w:snapToGrid w:val="0"/>
        </w:rPr>
      </w:pPr>
      <w:r>
        <w:rPr>
          <w:snapToGrid w:val="0"/>
        </w:rPr>
        <w:tab/>
        <w:t>(a)</w:t>
      </w:r>
      <w:r>
        <w:rPr>
          <w:snapToGrid w:val="0"/>
        </w:rPr>
        <w:tab/>
        <w:t>the requirements of this section have been satisfied; and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[Section 18 amended by No. 61 of 1976 s. 3; No. 59 of 1996 s. 18; No. 69 of 2004 s. 17.]</w:t>
      </w:r>
    </w:p>
    <w:p>
      <w:pPr>
        <w:pStyle w:val="Heading5"/>
        <w:rPr>
          <w:snapToGrid w:val="0"/>
        </w:rPr>
      </w:pPr>
      <w:bookmarkStart w:id="55" w:name="_Toc378252215"/>
      <w:bookmarkStart w:id="56" w:name="_Toc412544143"/>
      <w:r>
        <w:rPr>
          <w:rStyle w:val="CharSectno"/>
        </w:rPr>
        <w:t>19</w:t>
      </w:r>
      <w:r>
        <w:rPr>
          <w:snapToGrid w:val="0"/>
        </w:rPr>
        <w:t>.</w:t>
      </w:r>
      <w:r>
        <w:rPr>
          <w:snapToGrid w:val="0"/>
        </w:rPr>
        <w:tab/>
        <w:t>Licensing offences</w:t>
      </w:r>
      <w:bookmarkEnd w:id="55"/>
      <w:bookmarkEnd w:id="5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sells, delivers or disposes of; or</w:t>
      </w:r>
    </w:p>
    <w:p>
      <w:pPr>
        <w:pStyle w:val="Indenta"/>
        <w:rPr>
          <w:snapToGrid w:val="0"/>
        </w:rPr>
      </w:pPr>
      <w:r>
        <w:rPr>
          <w:snapToGrid w:val="0"/>
        </w:rPr>
        <w:tab/>
        <w:t>(b)</w:t>
      </w:r>
      <w:r>
        <w:rPr>
          <w:snapToGrid w:val="0"/>
        </w:rPr>
        <w:tab/>
        <w:t>purchases or otherwise comes into possession of; or</w:t>
      </w:r>
    </w:p>
    <w:p>
      <w:pPr>
        <w:pStyle w:val="Indenta"/>
        <w:keepNext/>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keepLines/>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spacing w:before="120"/>
      </w:pPr>
      <w:r>
        <w:tab/>
        <w:t>(1ab)</w:t>
      </w:r>
      <w:r>
        <w:tab/>
        <w:t>A person who is guilty of a crime under subsection (1)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spacing w:before="120"/>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at the time of the offence the offender —</w:t>
      </w:r>
    </w:p>
    <w:p>
      <w:pPr>
        <w:pStyle w:val="Indenti"/>
        <w:spacing w:before="60"/>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 or</w:t>
      </w:r>
    </w:p>
    <w:p>
      <w:pPr>
        <w:pStyle w:val="Indenta"/>
      </w:pPr>
      <w:r>
        <w:tab/>
        <w:t>(b)</w:t>
      </w:r>
      <w:r>
        <w:tab/>
        <w:t>the firearm was a handgun or a prescribed firearm; or</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 or</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spacing w:before="60"/>
      </w:pPr>
      <w:r>
        <w:tab/>
        <w:t>Penalty:</w:t>
      </w:r>
    </w:p>
    <w:p>
      <w:pPr>
        <w:pStyle w:val="Penpara"/>
        <w:spacing w:before="60"/>
      </w:pPr>
      <w:r>
        <w:tab/>
        <w:t>(a)</w:t>
      </w:r>
      <w:r>
        <w:tab/>
        <w:t>if the firearm concerned was a handgun or a prescribed firearm, imprisonment for 5 years;</w:t>
      </w:r>
    </w:p>
    <w:p>
      <w:pPr>
        <w:pStyle w:val="Penpara"/>
        <w:spacing w:before="60"/>
      </w:pPr>
      <w:r>
        <w:tab/>
        <w:t>(b)</w:t>
      </w:r>
      <w:r>
        <w:tab/>
        <w:t>in any other case, imprisonment for 3 years or a fine of $12 000.</w:t>
      </w:r>
    </w:p>
    <w:p>
      <w:pPr>
        <w:pStyle w:val="Ednotesubsection"/>
        <w:spacing w:before="100"/>
      </w:pPr>
      <w:r>
        <w:tab/>
        <w:t>[(3)</w:t>
      </w:r>
      <w:r>
        <w:tab/>
        <w:t>deleted]</w:t>
      </w:r>
    </w:p>
    <w:p>
      <w:pPr>
        <w:pStyle w:val="Subsection"/>
        <w:spacing w:before="120"/>
        <w:rPr>
          <w:snapToGrid w:val="0"/>
        </w:rPr>
      </w:pPr>
      <w:r>
        <w:rPr>
          <w:snapToGrid w:val="0"/>
        </w:rPr>
        <w:tab/>
        <w:t>(4)</w:t>
      </w:r>
      <w:r>
        <w:rPr>
          <w:snapToGrid w:val="0"/>
        </w:rPr>
        <w:tab/>
        <w:t>A person who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repairs on behalf of another;</w:t>
      </w:r>
    </w:p>
    <w:p>
      <w:pPr>
        <w:pStyle w:val="Indenta"/>
        <w:spacing w:before="60"/>
        <w:rPr>
          <w:snapToGrid w:val="0"/>
        </w:rPr>
      </w:pPr>
      <w:r>
        <w:rPr>
          <w:snapToGrid w:val="0"/>
        </w:rPr>
        <w:tab/>
        <w:t>(c)</w:t>
      </w:r>
      <w:r>
        <w:rPr>
          <w:snapToGrid w:val="0"/>
        </w:rPr>
        <w:tab/>
        <w:t>manufactures,</w:t>
      </w:r>
    </w:p>
    <w:p>
      <w:pPr>
        <w:pStyle w:val="Subsection"/>
        <w:spacing w:before="120"/>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spacing w:before="60"/>
        <w:rPr>
          <w:snapToGrid w:val="0"/>
        </w:rPr>
      </w:pPr>
      <w:r>
        <w:rPr>
          <w:snapToGrid w:val="0"/>
        </w:rPr>
        <w:tab/>
        <w:t>Penalty: $2 000.</w:t>
      </w:r>
    </w:p>
    <w:p>
      <w:pPr>
        <w:pStyle w:val="Footnotesection"/>
        <w:spacing w:before="60"/>
        <w:ind w:left="890" w:hanging="890"/>
      </w:pPr>
      <w:r>
        <w:tab/>
        <w:t>[Section 19 amended by No. 54 of 1978 s. 2; No. 70 of 1987 s. 6; No. 59 of 1996 s. 19, 47 and 50(1); No. 50 of 2003 s. 62(2); No. 4 of 2004 s.  58; No. 69 of 2004 s. 18 and 31.]</w:t>
      </w:r>
    </w:p>
    <w:p>
      <w:pPr>
        <w:pStyle w:val="Heading5"/>
        <w:keepNext w:val="0"/>
        <w:keepLines w:val="0"/>
        <w:pageBreakBefore/>
        <w:spacing w:before="0"/>
      </w:pPr>
      <w:bookmarkStart w:id="57" w:name="_Toc378252216"/>
      <w:bookmarkStart w:id="58" w:name="_Toc412544144"/>
      <w:r>
        <w:rPr>
          <w:rStyle w:val="CharSectno"/>
        </w:rPr>
        <w:t>19AA</w:t>
      </w:r>
      <w:r>
        <w:t>.</w:t>
      </w:r>
      <w:r>
        <w:tab/>
        <w:t>Certain offences of lesser severity</w:t>
      </w:r>
      <w:bookmarkEnd w:id="57"/>
      <w:bookmarkEnd w:id="58"/>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 crime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 crime but is triable summarily and is punishable by a fine of $2 000 instead of the penalty that would otherwise apply for the offence.</w:t>
      </w:r>
    </w:p>
    <w:p>
      <w:pPr>
        <w:pStyle w:val="Footnotesection"/>
      </w:pPr>
      <w:r>
        <w:tab/>
        <w:t>[Section 19AA inserted by No. 69 of 2004 s. 19; amended by No. 8 of 2009 s. 58.]</w:t>
      </w:r>
    </w:p>
    <w:p>
      <w:pPr>
        <w:pStyle w:val="Heading5"/>
        <w:rPr>
          <w:snapToGrid w:val="0"/>
        </w:rPr>
      </w:pPr>
      <w:bookmarkStart w:id="59" w:name="_Toc378252217"/>
      <w:bookmarkStart w:id="60" w:name="_Toc412544145"/>
      <w:r>
        <w:rPr>
          <w:rStyle w:val="CharSectno"/>
        </w:rPr>
        <w:t>19A</w:t>
      </w:r>
      <w:r>
        <w:rPr>
          <w:snapToGrid w:val="0"/>
        </w:rPr>
        <w:t>.</w:t>
      </w:r>
      <w:r>
        <w:rPr>
          <w:snapToGrid w:val="0"/>
        </w:rPr>
        <w:tab/>
        <w:t>Infringement notice</w:t>
      </w:r>
      <w:bookmarkEnd w:id="59"/>
      <w:bookmarkEnd w:id="60"/>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 and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ind w:left="890" w:hanging="890"/>
      </w:pPr>
      <w:r>
        <w:tab/>
        <w:t>[Section 19A inserted by No. 61 of 1976 s. 4; amended by No. 35 of 1980 s. 4; No. 59 of 1996 s. 20; No. 84 of 2004 s. 80.]</w:t>
      </w:r>
    </w:p>
    <w:p>
      <w:pPr>
        <w:pStyle w:val="Heading5"/>
        <w:rPr>
          <w:snapToGrid w:val="0"/>
        </w:rPr>
      </w:pPr>
      <w:bookmarkStart w:id="61" w:name="_Toc378252218"/>
      <w:bookmarkStart w:id="62" w:name="_Toc412544146"/>
      <w:r>
        <w:rPr>
          <w:rStyle w:val="CharSectno"/>
        </w:rPr>
        <w:t>20</w:t>
      </w:r>
      <w:r>
        <w:rPr>
          <w:snapToGrid w:val="0"/>
        </w:rPr>
        <w:t>.</w:t>
      </w:r>
      <w:r>
        <w:rPr>
          <w:snapToGrid w:val="0"/>
        </w:rPr>
        <w:tab/>
        <w:t>Revocation, cancellation, refusal to renew and variation</w:t>
      </w:r>
      <w:bookmarkEnd w:id="61"/>
      <w:bookmarkEnd w:id="62"/>
    </w:p>
    <w:p>
      <w:pPr>
        <w:pStyle w:val="Subsection"/>
        <w:rPr>
          <w:snapToGrid w:val="0"/>
        </w:rPr>
      </w:pPr>
      <w:r>
        <w:rPr>
          <w:snapToGrid w:val="0"/>
        </w:rPr>
        <w:tab/>
        <w:t>(1)</w:t>
      </w:r>
      <w:r>
        <w:rPr>
          <w:snapToGrid w:val="0"/>
        </w:rPr>
        <w:tab/>
        <w:t>Where the Commissioner is satisfied —</w:t>
      </w:r>
    </w:p>
    <w:p>
      <w:pPr>
        <w:pStyle w:val="Indenta"/>
        <w:rPr>
          <w:snapToGrid w:val="0"/>
        </w:rPr>
      </w:pPr>
      <w:r>
        <w:rPr>
          <w:snapToGrid w:val="0"/>
        </w:rPr>
        <w:tab/>
        <w:t>(a)</w:t>
      </w:r>
      <w:r>
        <w:rPr>
          <w:snapToGrid w:val="0"/>
        </w:rPr>
        <w:tab/>
        <w:t>that a person who is the holder of a licence, permit or approval under this Act —</w:t>
      </w:r>
    </w:p>
    <w:p>
      <w:pPr>
        <w:pStyle w:val="Indenti"/>
        <w:rPr>
          <w:snapToGrid w:val="0"/>
        </w:rPr>
      </w:pPr>
      <w:r>
        <w:rPr>
          <w:snapToGrid w:val="0"/>
        </w:rPr>
        <w:tab/>
        <w:t>(i)</w:t>
      </w:r>
      <w:r>
        <w:rPr>
          <w:snapToGrid w:val="0"/>
        </w:rPr>
        <w:tab/>
        <w:t>obtained it by fraud or deception; or</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that harm may be suffered by any person as a result of a person retaining or regaining possession of a firearm or ammunition; or</w:t>
      </w:r>
    </w:p>
    <w:p>
      <w:pPr>
        <w:pStyle w:val="Indenta"/>
        <w:rPr>
          <w:snapToGrid w:val="0"/>
        </w:rPr>
      </w:pPr>
      <w:r>
        <w:rPr>
          <w:snapToGrid w:val="0"/>
        </w:rPr>
        <w:tab/>
        <w:t>(ab)</w:t>
      </w:r>
      <w:r>
        <w:rPr>
          <w:snapToGrid w:val="0"/>
        </w:rPr>
        <w:tab/>
        <w:t>that a licence or permit was issued, or an approval was given, incorrectly because of an administrative or procedural error; or</w:t>
      </w:r>
    </w:p>
    <w:p>
      <w:pPr>
        <w:pStyle w:val="Indenta"/>
        <w:rPr>
          <w:snapToGrid w:val="0"/>
        </w:rPr>
      </w:pPr>
      <w:r>
        <w:rPr>
          <w:snapToGrid w:val="0"/>
        </w:rPr>
        <w:tab/>
        <w:t>(ac)</w:t>
      </w:r>
      <w:r>
        <w:rPr>
          <w:snapToGrid w:val="0"/>
        </w:rPr>
        <w:tab/>
        <w:t>that to do so is in the public interest; or</w:t>
      </w:r>
    </w:p>
    <w:p>
      <w:pPr>
        <w:pStyle w:val="Indenta"/>
        <w:rPr>
          <w:snapToGrid w:val="0"/>
        </w:rPr>
      </w:pPr>
      <w:r>
        <w:rPr>
          <w:snapToGrid w:val="0"/>
        </w:rPr>
        <w:tab/>
        <w:t>(ad)</w:t>
      </w:r>
      <w:r>
        <w:rPr>
          <w:snapToGrid w:val="0"/>
        </w:rPr>
        <w:tab/>
        <w:t>that a person holding or applying for the renewal of a licence, permit or approval has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 or</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 particular firearm is unsafe or unfit for use; or</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rPr>
          <w:snapToGrid w:val="0"/>
        </w:rPr>
      </w:pPr>
      <w:r>
        <w:rPr>
          <w:snapToGrid w:val="0"/>
        </w:rPr>
        <w:tab/>
        <w:t>(1a)</w:t>
      </w:r>
      <w:r>
        <w:rPr>
          <w:snapToGrid w:val="0"/>
        </w:rPr>
        <w:tab/>
        <w:t>Where the Commissioner, in writing, requests a person who is the holder of any licence, permit, or approval to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rPr>
          <w:snapToGrid w:val="0"/>
        </w:rPr>
      </w:pPr>
      <w:r>
        <w:rPr>
          <w:snapToGrid w:val="0"/>
        </w:rPr>
        <w:tab/>
        <w:t>(2)</w:t>
      </w:r>
      <w:r>
        <w:rPr>
          <w:snapToGrid w:val="0"/>
        </w:rPr>
        <w:tab/>
        <w:t>A restriction, limitation or condition imposed under this Act may be varied from time to time.</w:t>
      </w:r>
    </w:p>
    <w:p>
      <w:pPr>
        <w:pStyle w:val="Subsection"/>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[Section 20 amended by No. 90 of 1994 s. 4; No. 59 of 1996 s. 21.]</w:t>
      </w:r>
    </w:p>
    <w:p>
      <w:pPr>
        <w:pStyle w:val="Heading5"/>
        <w:spacing w:before="180"/>
        <w:rPr>
          <w:snapToGrid w:val="0"/>
        </w:rPr>
      </w:pPr>
      <w:bookmarkStart w:id="63" w:name="_Toc378252219"/>
      <w:bookmarkStart w:id="64" w:name="_Toc412544147"/>
      <w:r>
        <w:rPr>
          <w:rStyle w:val="CharSectno"/>
        </w:rPr>
        <w:t>21</w:t>
      </w:r>
      <w:r>
        <w:rPr>
          <w:snapToGrid w:val="0"/>
        </w:rPr>
        <w:t>.</w:t>
      </w:r>
      <w:r>
        <w:rPr>
          <w:snapToGrid w:val="0"/>
        </w:rPr>
        <w:tab/>
        <w:t>Restrictions, limitations and conditions</w:t>
      </w:r>
      <w:bookmarkEnd w:id="63"/>
      <w:bookmarkEnd w:id="64"/>
    </w:p>
    <w:p>
      <w:pPr>
        <w:pStyle w:val="Subsection"/>
        <w:rPr>
          <w:snapToGrid w:val="0"/>
        </w:rPr>
      </w:pPr>
      <w:r>
        <w:rPr>
          <w:snapToGrid w:val="0"/>
        </w:rPr>
        <w:tab/>
        <w:t>(1)</w:t>
      </w:r>
      <w:r>
        <w:rPr>
          <w:snapToGrid w:val="0"/>
        </w:rPr>
        <w:tab/>
        <w:t>A licence, permit or approval issued or granted under this Act may be made subject to restrictions, limitations or conditions which shall be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[Section 21 amended by No. 70 of 1987 s. 7; No. 59 of 1996 s. 22 and 50(3); No. 69 of 2004 s. 20.]</w:t>
      </w:r>
    </w:p>
    <w:p>
      <w:pPr>
        <w:pStyle w:val="Heading5"/>
        <w:spacing w:before="180"/>
        <w:rPr>
          <w:snapToGrid w:val="0"/>
        </w:rPr>
      </w:pPr>
      <w:bookmarkStart w:id="65" w:name="_Toc378252220"/>
      <w:bookmarkStart w:id="66" w:name="_Toc412544148"/>
      <w:r>
        <w:rPr>
          <w:rStyle w:val="CharSectno"/>
        </w:rPr>
        <w:t>21A</w:t>
      </w:r>
      <w:r>
        <w:rPr>
          <w:snapToGrid w:val="0"/>
        </w:rPr>
        <w:t>.</w:t>
      </w:r>
      <w:r>
        <w:rPr>
          <w:snapToGrid w:val="0"/>
        </w:rPr>
        <w:tab/>
        <w:t>Supervision and management</w:t>
      </w:r>
      <w:bookmarkEnd w:id="65"/>
      <w:bookmarkEnd w:id="66"/>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w:t>
      </w:r>
    </w:p>
    <w:p>
      <w:pPr>
        <w:pStyle w:val="Indenta"/>
        <w:rPr>
          <w:snapToGrid w:val="0"/>
        </w:rPr>
      </w:pPr>
      <w:r>
        <w:rPr>
          <w:snapToGrid w:val="0"/>
        </w:rPr>
        <w:tab/>
        <w:t>(a)</w:t>
      </w:r>
      <w:r>
        <w:rPr>
          <w:snapToGrid w:val="0"/>
        </w:rPr>
        <w:tab/>
        <w:t>a requirement is made of the holder of the licence under which that business is conducted; or</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[Section 21A inserted by No. 59 of 1996 s. 23; amended by No. 84 of 2004 s. 80.]</w:t>
      </w:r>
    </w:p>
    <w:p>
      <w:pPr>
        <w:pStyle w:val="Heading5"/>
        <w:rPr>
          <w:snapToGrid w:val="0"/>
        </w:rPr>
      </w:pPr>
      <w:bookmarkStart w:id="67" w:name="_Toc378252221"/>
      <w:bookmarkStart w:id="68" w:name="_Toc412544149"/>
      <w:r>
        <w:rPr>
          <w:rStyle w:val="CharSectno"/>
        </w:rPr>
        <w:t>21B</w:t>
      </w:r>
      <w:r>
        <w:rPr>
          <w:snapToGrid w:val="0"/>
        </w:rPr>
        <w:t>.</w:t>
      </w:r>
      <w:r>
        <w:rPr>
          <w:snapToGrid w:val="0"/>
        </w:rPr>
        <w:tab/>
        <w:t>Offences by bodies corporate and partnerships</w:t>
      </w:r>
      <w:bookmarkEnd w:id="67"/>
      <w:bookmarkEnd w:id="68"/>
    </w:p>
    <w:p>
      <w:pPr>
        <w:pStyle w:val="Subsection"/>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w:t>
      </w:r>
    </w:p>
    <w:p>
      <w:pPr>
        <w:pStyle w:val="Indenta"/>
        <w:rPr>
          <w:snapToGrid w:val="0"/>
        </w:rPr>
      </w:pPr>
      <w:r>
        <w:rPr>
          <w:snapToGrid w:val="0"/>
        </w:rPr>
        <w:tab/>
        <w:t>(a)</w:t>
      </w:r>
      <w:r>
        <w:rPr>
          <w:snapToGrid w:val="0"/>
        </w:rPr>
        <w:tab/>
        <w:t>if the offence is found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rPr>
          <w:snapToGrid w:val="0"/>
        </w:rPr>
      </w:pPr>
      <w:r>
        <w:rPr>
          <w:snapToGrid w:val="0"/>
        </w:rPr>
        <w:tab/>
      </w:r>
      <w:r>
        <w:rPr>
          <w:snapToGrid w:val="0"/>
        </w:rPr>
        <w:tab/>
        <w:t>and each is liable to the same penalty as is prescribed for the principal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rPr>
          <w:snapToGrid w:val="0"/>
        </w:rPr>
      </w:pPr>
      <w:r>
        <w:rPr>
          <w:snapToGrid w:val="0"/>
        </w:rPr>
        <w:tab/>
        <w:t>(3)</w:t>
      </w:r>
      <w:r>
        <w:rPr>
          <w:snapToGrid w:val="0"/>
        </w:rPr>
        <w:tab/>
        <w:t>In this section —</w:t>
      </w:r>
    </w:p>
    <w:p>
      <w:pPr>
        <w:pStyle w:val="Defstart"/>
      </w:pPr>
      <w:r>
        <w:rPr>
          <w:b/>
        </w:rPr>
        <w:tab/>
      </w:r>
      <w:r>
        <w:rPr>
          <w:rStyle w:val="CharDefText"/>
        </w:rPr>
        <w:t>officer</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rPr>
          <w:snapToGrid w:val="0"/>
        </w:rPr>
      </w:pPr>
      <w:r>
        <w:rPr>
          <w:snapToGrid w:val="0"/>
        </w:rPr>
        <w:tab/>
        <w:t>(5)</w:t>
      </w:r>
      <w:r>
        <w:rPr>
          <w:snapToGrid w:val="0"/>
        </w:rPr>
        <w:tab/>
        <w:t>Where this Act provides that the holder of a licence, permit or approval commits an offence in specified circumstances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[Section 21B inserted by No. 59 of 1996 s. 23; amended by No. 10 of 2001 s. 220; No. 84 of 2004 s. 80.]</w:t>
      </w:r>
    </w:p>
    <w:p>
      <w:pPr>
        <w:pStyle w:val="Heading5"/>
        <w:keepNext w:val="0"/>
        <w:keepLines w:val="0"/>
        <w:pageBreakBefore/>
        <w:spacing w:before="0"/>
        <w:rPr>
          <w:snapToGrid w:val="0"/>
        </w:rPr>
      </w:pPr>
      <w:bookmarkStart w:id="69" w:name="_Toc378252222"/>
      <w:bookmarkStart w:id="70" w:name="_Toc412544150"/>
      <w:r>
        <w:rPr>
          <w:rStyle w:val="CharSectno"/>
        </w:rPr>
        <w:t>22</w:t>
      </w:r>
      <w:r>
        <w:rPr>
          <w:snapToGrid w:val="0"/>
        </w:rPr>
        <w:t>.</w:t>
      </w:r>
      <w:r>
        <w:rPr>
          <w:snapToGrid w:val="0"/>
        </w:rPr>
        <w:tab/>
        <w:t>Reviews</w:t>
      </w:r>
      <w:bookmarkEnd w:id="69"/>
      <w:r>
        <w:rPr>
          <w:snapToGrid w:val="0"/>
        </w:rPr>
        <w:t xml:space="preserve"> by SAT</w:t>
      </w:r>
      <w:bookmarkEnd w:id="70"/>
    </w:p>
    <w:p>
      <w:pPr>
        <w:pStyle w:val="Subsection"/>
        <w:rPr>
          <w:snapToGrid w:val="0"/>
        </w:rPr>
      </w:pPr>
      <w:r>
        <w:rPr>
          <w:snapToGrid w:val="0"/>
        </w:rPr>
        <w:tab/>
        <w:t>(1)</w:t>
      </w:r>
      <w:r>
        <w:rPr>
          <w:snapToGrid w:val="0"/>
        </w:rPr>
        <w:tab/>
        <w:t>In this section —</w:t>
      </w:r>
    </w:p>
    <w:p>
      <w:pPr>
        <w:pStyle w:val="Defstart"/>
      </w:pPr>
      <w:r>
        <w:rPr>
          <w:b/>
        </w:rPr>
        <w:tab/>
      </w:r>
      <w:r>
        <w:rPr>
          <w:rStyle w:val="CharDefText"/>
        </w:rPr>
        <w:t>decision</w:t>
      </w:r>
      <w:r>
        <w:t xml:space="preserve"> includes a restriction, limitation or condition imposed under this Act.</w:t>
      </w:r>
    </w:p>
    <w:p>
      <w:pPr>
        <w:pStyle w:val="Subsection"/>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ind w:left="890" w:hanging="890"/>
      </w:pPr>
      <w:r>
        <w:tab/>
        <w:t>[Section 22 inserted by No. 59 of 1996 s. 24; amended by No. 55 of 2004 s. 369.]</w:t>
      </w:r>
    </w:p>
    <w:p>
      <w:pPr>
        <w:pStyle w:val="Ednotesection"/>
      </w:pPr>
      <w:r>
        <w:t>[</w:t>
      </w:r>
      <w:r>
        <w:rPr>
          <w:b/>
        </w:rPr>
        <w:t>22AA.</w:t>
      </w:r>
      <w:r>
        <w:tab/>
        <w:t>Deleted by No. 69 of 2004 s. 21(2).]</w:t>
      </w:r>
    </w:p>
    <w:p>
      <w:pPr>
        <w:pStyle w:val="Heading5"/>
        <w:rPr>
          <w:snapToGrid w:val="0"/>
        </w:rPr>
      </w:pPr>
      <w:bookmarkStart w:id="71" w:name="_Toc378252223"/>
      <w:bookmarkStart w:id="72" w:name="_Toc412544151"/>
      <w:r>
        <w:rPr>
          <w:rStyle w:val="CharSectno"/>
        </w:rPr>
        <w:t>22A</w:t>
      </w:r>
      <w:r>
        <w:rPr>
          <w:snapToGrid w:val="0"/>
        </w:rPr>
        <w:t>.</w:t>
      </w:r>
      <w:r>
        <w:rPr>
          <w:snapToGrid w:val="0"/>
        </w:rPr>
        <w:tab/>
        <w:t>Firearms Act Extract of Licence</w:t>
      </w:r>
      <w:bookmarkEnd w:id="71"/>
      <w:bookmarkEnd w:id="72"/>
    </w:p>
    <w:p>
      <w:pPr>
        <w:pStyle w:val="Subsection"/>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w:t>
      </w:r>
    </w:p>
    <w:p>
      <w:pPr>
        <w:pStyle w:val="Indenta"/>
        <w:rPr>
          <w:snapToGrid w:val="0"/>
        </w:rPr>
      </w:pPr>
      <w:r>
        <w:rPr>
          <w:snapToGrid w:val="0"/>
        </w:rPr>
        <w:tab/>
        <w:t>(a)</w:t>
      </w:r>
      <w:r>
        <w:rPr>
          <w:snapToGrid w:val="0"/>
        </w:rPr>
        <w:tab/>
        <w:t>is exempted by section 8 from the requirement to hold a licence under this Act; or</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rPr>
          <w:snapToGrid w:val="0"/>
        </w:rPr>
      </w:pPr>
      <w:r>
        <w:rPr>
          <w:snapToGrid w:val="0"/>
        </w:rPr>
        <w:tab/>
      </w:r>
      <w:r>
        <w:rPr>
          <w:snapToGrid w:val="0"/>
        </w:rPr>
        <w:tab/>
        <w:t>setting out particulars of the exemption or of the licence, permit, approval or authorisation held by that person.</w:t>
      </w:r>
    </w:p>
    <w:p>
      <w:pPr>
        <w:pStyle w:val="Subsection"/>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rPr>
          <w:snapToGrid w:val="0"/>
        </w:rPr>
      </w:pPr>
      <w:r>
        <w:rPr>
          <w:snapToGrid w:val="0"/>
        </w:rPr>
        <w:tab/>
        <w:t>(6)</w:t>
      </w:r>
      <w:r>
        <w:rPr>
          <w:snapToGrid w:val="0"/>
        </w:rPr>
        <w:tab/>
        <w:t>Regulations made under section 34 may —</w:t>
      </w:r>
    </w:p>
    <w:p>
      <w:pPr>
        <w:pStyle w:val="Indenta"/>
        <w:rPr>
          <w:snapToGrid w:val="0"/>
        </w:rPr>
      </w:pPr>
      <w:r>
        <w:rPr>
          <w:snapToGrid w:val="0"/>
        </w:rPr>
        <w:tab/>
        <w:t>(a)</w:t>
      </w:r>
      <w:r>
        <w:rPr>
          <w:snapToGrid w:val="0"/>
        </w:rPr>
        <w:tab/>
        <w:t>require that a photograph of the face of the holder be included on the Extract of Licence, and provide for the manner in which that photograph is to be supplied; and</w:t>
      </w:r>
    </w:p>
    <w:p>
      <w:pPr>
        <w:pStyle w:val="Indenta"/>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 and</w:t>
      </w:r>
    </w:p>
    <w:p>
      <w:pPr>
        <w:pStyle w:val="Indenta"/>
        <w:rPr>
          <w:snapToGrid w:val="0"/>
        </w:rPr>
      </w:pPr>
      <w:r>
        <w:rPr>
          <w:snapToGrid w:val="0"/>
        </w:rPr>
        <w:tab/>
        <w:t>(c)</w:t>
      </w:r>
      <w:r>
        <w:rPr>
          <w:snapToGrid w:val="0"/>
        </w:rPr>
        <w:tab/>
        <w:t>provide for the use, and for the issue, expiry, renewal, return and cancellation, of Extracts of Licence; and</w:t>
      </w:r>
    </w:p>
    <w:p>
      <w:pPr>
        <w:pStyle w:val="Indenta"/>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[Section 22A inserted by No. 59 of 1996 s. 41.]</w:t>
      </w:r>
    </w:p>
    <w:p>
      <w:pPr>
        <w:pStyle w:val="Heading5"/>
        <w:rPr>
          <w:snapToGrid w:val="0"/>
        </w:rPr>
      </w:pPr>
      <w:bookmarkStart w:id="73" w:name="_Toc378252224"/>
      <w:bookmarkStart w:id="74" w:name="_Toc412544152"/>
      <w:r>
        <w:rPr>
          <w:rStyle w:val="CharSectno"/>
        </w:rPr>
        <w:t>22B</w:t>
      </w:r>
      <w:r>
        <w:rPr>
          <w:snapToGrid w:val="0"/>
        </w:rPr>
        <w:t>.</w:t>
      </w:r>
      <w:r>
        <w:rPr>
          <w:snapToGrid w:val="0"/>
        </w:rPr>
        <w:tab/>
        <w:t>Return of Extract of Licence</w:t>
      </w:r>
      <w:bookmarkEnd w:id="73"/>
      <w:bookmarkEnd w:id="74"/>
    </w:p>
    <w:p>
      <w:pPr>
        <w:pStyle w:val="Subsection"/>
        <w:rPr>
          <w:snapToGrid w:val="0"/>
        </w:rPr>
      </w:pPr>
      <w:r>
        <w:rPr>
          <w:snapToGrid w:val="0"/>
        </w:rPr>
        <w:tab/>
      </w:r>
      <w:r>
        <w:rPr>
          <w:snapToGrid w:val="0"/>
        </w:rPr>
        <w:tab/>
        <w:t>A person who was —</w:t>
      </w:r>
    </w:p>
    <w:p>
      <w:pPr>
        <w:pStyle w:val="Indenta"/>
        <w:spacing w:before="60"/>
        <w:rPr>
          <w:snapToGrid w:val="0"/>
        </w:rPr>
      </w:pPr>
      <w:r>
        <w:rPr>
          <w:snapToGrid w:val="0"/>
        </w:rPr>
        <w:tab/>
        <w:t>(a)</w:t>
      </w:r>
      <w:r>
        <w:rPr>
          <w:snapToGrid w:val="0"/>
        </w:rPr>
        <w:tab/>
        <w:t>the subject of an exemption under section 8 that has ceased to apply; or</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 or</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[Section 22B inserted by No. 59 of 1996 s. 41.]</w:t>
      </w:r>
    </w:p>
    <w:p>
      <w:pPr>
        <w:pStyle w:val="Heading5"/>
        <w:rPr>
          <w:snapToGrid w:val="0"/>
        </w:rPr>
      </w:pPr>
      <w:bookmarkStart w:id="75" w:name="_Toc378252225"/>
      <w:bookmarkStart w:id="76" w:name="_Toc412544153"/>
      <w:r>
        <w:rPr>
          <w:rStyle w:val="CharSectno"/>
        </w:rPr>
        <w:t>22C</w:t>
      </w:r>
      <w:r>
        <w:rPr>
          <w:snapToGrid w:val="0"/>
        </w:rPr>
        <w:t>.</w:t>
      </w:r>
      <w:r>
        <w:rPr>
          <w:snapToGrid w:val="0"/>
        </w:rPr>
        <w:tab/>
        <w:t>Offences relating to Extract of Licence, licences, permits, approvals or authorisations</w:t>
      </w:r>
      <w:bookmarkEnd w:id="75"/>
      <w:bookmarkEnd w:id="76"/>
    </w:p>
    <w:p>
      <w:pPr>
        <w:pStyle w:val="Subsection"/>
        <w:rPr>
          <w:snapToGrid w:val="0"/>
        </w:rPr>
      </w:pPr>
      <w:r>
        <w:rPr>
          <w:snapToGrid w:val="0"/>
        </w:rPr>
        <w:tab/>
        <w:t>(1)</w:t>
      </w:r>
      <w:r>
        <w:rPr>
          <w:snapToGrid w:val="0"/>
        </w:rPr>
        <w:tab/>
        <w:t>Any person who, without lawful authority —</w:t>
      </w:r>
    </w:p>
    <w:p>
      <w:pPr>
        <w:pStyle w:val="Indenta"/>
        <w:rPr>
          <w:snapToGrid w:val="0"/>
        </w:rPr>
      </w:pPr>
      <w:r>
        <w:rPr>
          <w:snapToGrid w:val="0"/>
        </w:rPr>
        <w:tab/>
        <w:t>(a)</w:t>
      </w:r>
      <w:r>
        <w:rPr>
          <w:snapToGrid w:val="0"/>
        </w:rPr>
        <w:tab/>
        <w:t>alters an Extract of Licence, licence, permit, approval or authorisation to which this Act applies; or</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 or</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 or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 or</w:t>
      </w:r>
    </w:p>
    <w:p>
      <w:pPr>
        <w:pStyle w:val="Indenta"/>
        <w:spacing w:before="60"/>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spacing w:before="60"/>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[Section 22C inserted by No. 59 of 1996 s. 41.]</w:t>
      </w:r>
    </w:p>
    <w:p>
      <w:pPr>
        <w:pStyle w:val="Heading5"/>
        <w:spacing w:before="180"/>
        <w:rPr>
          <w:snapToGrid w:val="0"/>
        </w:rPr>
      </w:pPr>
      <w:bookmarkStart w:id="77" w:name="_Toc378252226"/>
      <w:bookmarkStart w:id="78" w:name="_Toc412544154"/>
      <w:r>
        <w:rPr>
          <w:rStyle w:val="CharSectno"/>
        </w:rPr>
        <w:t>23</w:t>
      </w:r>
      <w:r>
        <w:rPr>
          <w:snapToGrid w:val="0"/>
        </w:rPr>
        <w:t>.</w:t>
      </w:r>
      <w:r>
        <w:rPr>
          <w:snapToGrid w:val="0"/>
        </w:rPr>
        <w:tab/>
        <w:t>General offences</w:t>
      </w:r>
      <w:bookmarkEnd w:id="77"/>
      <w:bookmarkEnd w:id="78"/>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spacing w:before="60"/>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spacing w:before="60"/>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Summary conviction penalty:</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deleted]</w:t>
      </w:r>
    </w:p>
    <w:p>
      <w:pPr>
        <w:pStyle w:val="Subsection"/>
        <w:keepNext/>
        <w:rPr>
          <w:snapToGrid w:val="0"/>
        </w:rPr>
      </w:pPr>
      <w:r>
        <w:rPr>
          <w:snapToGrid w:val="0"/>
        </w:rPr>
        <w:tab/>
        <w:t>(5)</w:t>
      </w:r>
      <w:r>
        <w:rPr>
          <w:snapToGrid w:val="0"/>
        </w:rPr>
        <w:tab/>
        <w:t>A person who, without lawful excuse, —</w:t>
      </w:r>
    </w:p>
    <w:p>
      <w:pPr>
        <w:pStyle w:val="Indenta"/>
        <w:rPr>
          <w:snapToGrid w:val="0"/>
        </w:rPr>
      </w:pPr>
      <w:r>
        <w:rPr>
          <w:snapToGrid w:val="0"/>
        </w:rPr>
        <w:tab/>
        <w:t>(a)</w:t>
      </w:r>
      <w:r>
        <w:rPr>
          <w:snapToGrid w:val="0"/>
        </w:rPr>
        <w:tab/>
        <w:t>defaces or alters any number or identification mark on a firearm; or</w:t>
      </w:r>
    </w:p>
    <w:p>
      <w:pPr>
        <w:pStyle w:val="Indenta"/>
        <w:keepLines/>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keepNext/>
        <w:rPr>
          <w:snapToGrid w:val="0"/>
        </w:rPr>
      </w:pPr>
      <w:r>
        <w:rPr>
          <w:snapToGrid w:val="0"/>
        </w:rPr>
        <w:tab/>
        <w:t>(c)</w:t>
      </w:r>
      <w:r>
        <w:rPr>
          <w:snapToGrid w:val="0"/>
        </w:rPr>
        <w:tab/>
        <w:t>alters a firearm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Summary conviction penalty:</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spacing w:before="160"/>
        <w:rPr>
          <w:snapToGrid w:val="0"/>
        </w:rPr>
      </w:pPr>
      <w:r>
        <w:rPr>
          <w:snapToGrid w:val="0"/>
        </w:rPr>
        <w:tab/>
        <w:t>Penalty: Imprisonment for</w:t>
      </w:r>
      <w:r>
        <w:t xml:space="preserve"> 3 years or a fine of $12 000.</w:t>
      </w:r>
    </w:p>
    <w:p>
      <w:pPr>
        <w:pStyle w:val="Subsection"/>
        <w:rPr>
          <w:snapToGrid w:val="0"/>
        </w:rPr>
      </w:pPr>
      <w:r>
        <w:rPr>
          <w:snapToGrid w:val="0"/>
        </w:rPr>
        <w:tab/>
        <w:t>(7a)</w:t>
      </w:r>
      <w:r>
        <w:rPr>
          <w:snapToGrid w:val="0"/>
        </w:rPr>
        <w:tab/>
        <w:t>A person who, being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w:t>
      </w:r>
    </w:p>
    <w:p>
      <w:pPr>
        <w:pStyle w:val="Indenta"/>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 or</w:t>
      </w:r>
    </w:p>
    <w:p>
      <w:pPr>
        <w:pStyle w:val="Indenta"/>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 or</w:t>
      </w:r>
    </w:p>
    <w:p>
      <w:pPr>
        <w:pStyle w:val="Indenta"/>
        <w:rPr>
          <w:snapToGrid w:val="0"/>
        </w:rPr>
      </w:pPr>
      <w:r>
        <w:rPr>
          <w:snapToGrid w:val="0"/>
        </w:rPr>
        <w:tab/>
        <w:t>(c)</w:t>
      </w:r>
      <w:r>
        <w:rPr>
          <w:snapToGrid w:val="0"/>
        </w:rPr>
        <w:tab/>
        <w:t>without lawful excuse, discharges any firearm or any shot, bullet or other missile from a firearm, onto, from or across any road; or</w:t>
      </w:r>
    </w:p>
    <w:p>
      <w:pPr>
        <w:pStyle w:val="Indenta"/>
        <w:keepNext/>
        <w:rPr>
          <w:snapToGrid w:val="0"/>
        </w:rPr>
      </w:pPr>
      <w:r>
        <w:rPr>
          <w:snapToGrid w:val="0"/>
        </w:rPr>
        <w:tab/>
        <w:t>(d)</w:t>
      </w:r>
      <w:r>
        <w:rPr>
          <w:snapToGrid w:val="0"/>
        </w:rPr>
        <w:tab/>
        <w:t>being responsible for the storage of any firearm or ammunition, fails —</w:t>
      </w:r>
    </w:p>
    <w:p>
      <w:pPr>
        <w:pStyle w:val="Indenti"/>
        <w:rPr>
          <w:snapToGrid w:val="0"/>
        </w:rPr>
      </w:pPr>
      <w:r>
        <w:rPr>
          <w:snapToGrid w:val="0"/>
        </w:rPr>
        <w:tab/>
        <w:t>(i)</w:t>
      </w:r>
      <w:r>
        <w:rPr>
          <w:snapToGrid w:val="0"/>
        </w:rPr>
        <w:tab/>
        <w:t>to provide and use adequate storage facilities to ensure its safety; or</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Penalty:</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 or</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keepLines w:val="0"/>
        <w:ind w:left="890" w:hanging="890"/>
      </w:pPr>
      <w:r>
        <w:tab/>
        <w:t>[Section 23 amended by No. 54 of 1978 s. 3; No. 3 of 1983 s. 3; No. 70 of 1987 s. 8; No. 59 of 1996 s. 25, 48 and 50(1), (3), (4) and (5); No. 50 of 2003 s. 62(3); No. 4 of 2004 s. 58; No. 69 of 2004 s. 7, 8(3), 22 and 31.]</w:t>
      </w:r>
    </w:p>
    <w:p>
      <w:pPr>
        <w:pStyle w:val="Heading5"/>
        <w:spacing w:before="180"/>
        <w:rPr>
          <w:snapToGrid w:val="0"/>
        </w:rPr>
      </w:pPr>
      <w:bookmarkStart w:id="79" w:name="_Toc378252227"/>
      <w:bookmarkStart w:id="80" w:name="_Toc412544155"/>
      <w:r>
        <w:rPr>
          <w:rStyle w:val="CharSectno"/>
        </w:rPr>
        <w:t>23A</w:t>
      </w:r>
      <w:r>
        <w:rPr>
          <w:snapToGrid w:val="0"/>
        </w:rPr>
        <w:t>.</w:t>
      </w:r>
      <w:r>
        <w:rPr>
          <w:snapToGrid w:val="0"/>
        </w:rPr>
        <w:tab/>
        <w:t>Limitation periods</w:t>
      </w:r>
      <w:bookmarkEnd w:id="79"/>
      <w:bookmarkEnd w:id="80"/>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[Section 23A inserted by No. 59 of 1996 s. 26; amended by No. 69 of 2004 s. 23; No. 84 of 2004 s. 80.]</w:t>
      </w:r>
    </w:p>
    <w:p>
      <w:pPr>
        <w:pStyle w:val="Heading5"/>
        <w:spacing w:before="180"/>
        <w:rPr>
          <w:snapToGrid w:val="0"/>
        </w:rPr>
      </w:pPr>
      <w:bookmarkStart w:id="81" w:name="_Toc378252228"/>
      <w:bookmarkStart w:id="82" w:name="_Toc412544156"/>
      <w:r>
        <w:rPr>
          <w:rStyle w:val="CharSectno"/>
        </w:rPr>
        <w:t>23B</w:t>
      </w:r>
      <w:r>
        <w:rPr>
          <w:snapToGrid w:val="0"/>
        </w:rPr>
        <w:t>.</w:t>
      </w:r>
      <w:r>
        <w:rPr>
          <w:snapToGrid w:val="0"/>
        </w:rPr>
        <w:tab/>
        <w:t>Disclosure by health professionals of certain information</w:t>
      </w:r>
      <w:bookmarkEnd w:id="81"/>
      <w:bookmarkEnd w:id="82"/>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w:t>
      </w:r>
    </w:p>
    <w:p>
      <w:pPr>
        <w:pStyle w:val="Indenta"/>
        <w:spacing w:before="60"/>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spacing w:before="120"/>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spacing w:before="120"/>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keepNext/>
        <w:spacing w:before="120"/>
      </w:pPr>
      <w:r>
        <w:tab/>
        <w:t>(3)</w:t>
      </w:r>
      <w:r>
        <w:tab/>
        <w:t>In this section —</w:t>
      </w:r>
    </w:p>
    <w:p>
      <w:pPr>
        <w:pStyle w:val="Defstart"/>
      </w:pPr>
      <w:r>
        <w:rPr>
          <w:b/>
        </w:rPr>
        <w:tab/>
      </w:r>
      <w:r>
        <w:rPr>
          <w:rStyle w:val="CharDefText"/>
        </w:rPr>
        <w:t>health professional</w:t>
      </w:r>
      <w:r>
        <w:t xml:space="preserve"> means —</w:t>
      </w:r>
    </w:p>
    <w:p>
      <w:pPr>
        <w:pStyle w:val="Defpara"/>
      </w:pPr>
      <w:r>
        <w:tab/>
        <w:t>(a)</w:t>
      </w:r>
      <w:r>
        <w:tab/>
        <w:t>a medical practitioner; or</w:t>
      </w:r>
    </w:p>
    <w:p>
      <w:pPr>
        <w:pStyle w:val="Defpara"/>
      </w:pPr>
      <w:r>
        <w:tab/>
        <w:t>(b)</w:t>
      </w:r>
      <w:r>
        <w:tab/>
        <w:t xml:space="preserve">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 or</w:t>
      </w:r>
    </w:p>
    <w:p>
      <w:pPr>
        <w:pStyle w:val="Defpara"/>
      </w:pPr>
      <w:r>
        <w:tab/>
        <w:t>(c)</w:t>
      </w:r>
      <w:r>
        <w:tab/>
        <w:t>a registered nurse; or</w:t>
      </w:r>
    </w:p>
    <w:p>
      <w:pPr>
        <w:pStyle w:val="Defpara"/>
      </w:pPr>
      <w:r>
        <w:tab/>
        <w:t>(d)</w:t>
      </w:r>
      <w:r>
        <w:tab/>
        <w:t>a prescribed class of social worker; or</w:t>
      </w:r>
    </w:p>
    <w:p>
      <w:pPr>
        <w:pStyle w:val="Defpara"/>
      </w:pPr>
      <w:r>
        <w:tab/>
        <w:t>(e)</w:t>
      </w:r>
      <w:r>
        <w:tab/>
        <w:t>a prescribed class of professional counsellor;</w:t>
      </w:r>
    </w:p>
    <w:p>
      <w:pPr>
        <w:pStyle w:val="Defstart"/>
      </w:pPr>
      <w:r>
        <w:tab/>
      </w:r>
      <w:r>
        <w:rPr>
          <w:rStyle w:val="CharDefText"/>
        </w:rPr>
        <w:t>registered 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Footnotesection"/>
        <w:ind w:left="890" w:hanging="890"/>
      </w:pPr>
      <w:r>
        <w:tab/>
        <w:t>[Section 23B inserted by No. 59 of 1996 s. 26; amended by No. 69 of 2004 s. 24; No. 28 of 2005 Sch. 3 cl. 4; No. 50 of 2006 Sch. 3 cl. 8; No. 35 of 2010 s. 65.]</w:t>
      </w:r>
    </w:p>
    <w:p>
      <w:pPr>
        <w:pStyle w:val="Heading5"/>
        <w:spacing w:before="240"/>
      </w:pPr>
      <w:bookmarkStart w:id="83" w:name="_Toc378252229"/>
      <w:bookmarkStart w:id="84" w:name="_Toc412544157"/>
      <w:r>
        <w:rPr>
          <w:rStyle w:val="CharSectno"/>
        </w:rPr>
        <w:t>23BA</w:t>
      </w:r>
      <w:r>
        <w:t>.</w:t>
      </w:r>
      <w:r>
        <w:tab/>
        <w:t>Disclosure of certain information by approved club and organisation members</w:t>
      </w:r>
      <w:bookmarkEnd w:id="83"/>
      <w:bookmarkEnd w:id="84"/>
    </w:p>
    <w:p>
      <w:pPr>
        <w:pStyle w:val="Subsection"/>
      </w:pPr>
      <w:r>
        <w:tab/>
        <w:t>(1)</w:t>
      </w:r>
      <w:r>
        <w:tab/>
        <w:t>If an officer of an approved shooting club or approved organisation is of the opinion that —</w:t>
      </w:r>
    </w:p>
    <w:p>
      <w:pPr>
        <w:pStyle w:val="Indenta"/>
        <w:spacing w:before="60"/>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In this section —</w:t>
      </w:r>
    </w:p>
    <w:p>
      <w:pPr>
        <w:pStyle w:val="Defstart"/>
      </w:pPr>
      <w:r>
        <w:rPr>
          <w:b/>
        </w:rPr>
        <w:tab/>
      </w:r>
      <w:r>
        <w:rPr>
          <w:rStyle w:val="CharDefText"/>
        </w:rPr>
        <w:t>approved organisation</w:t>
      </w:r>
      <w:r>
        <w:t xml:space="preserve"> means an organisation approved under section 11A(2)(b);</w:t>
      </w:r>
    </w:p>
    <w:p>
      <w:pPr>
        <w:pStyle w:val="Defstart"/>
      </w:pPr>
      <w:r>
        <w:rPr>
          <w:b/>
        </w:rPr>
        <w:tab/>
      </w:r>
      <w:r>
        <w:rPr>
          <w:rStyle w:val="CharDefText"/>
        </w:rPr>
        <w:t>approved shooting club</w:t>
      </w:r>
      <w:r>
        <w:t xml:space="preserve"> means a shooting club approved under section 11A(2)(a);</w:t>
      </w:r>
    </w:p>
    <w:p>
      <w:pPr>
        <w:pStyle w:val="Defstart"/>
      </w:pPr>
      <w:r>
        <w:rPr>
          <w:b/>
        </w:rPr>
        <w:tab/>
      </w:r>
      <w:r>
        <w:rPr>
          <w:rStyle w:val="CharDefText"/>
        </w:rPr>
        <w:t>officer</w:t>
      </w:r>
      <w:r>
        <w:t>, in relation to an approved shooting club or approved organisation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t>but does not include an employee of the club or organisation unless the employee is involved in its management.</w:t>
      </w:r>
    </w:p>
    <w:p>
      <w:pPr>
        <w:pStyle w:val="Footnotesection"/>
        <w:ind w:left="890" w:hanging="890"/>
      </w:pPr>
      <w:r>
        <w:tab/>
        <w:t>[Section 23BA inserted by No. 69 of 2004 s. 25.]</w:t>
      </w:r>
    </w:p>
    <w:p>
      <w:pPr>
        <w:pStyle w:val="Heading5"/>
        <w:rPr>
          <w:snapToGrid w:val="0"/>
        </w:rPr>
      </w:pPr>
      <w:bookmarkStart w:id="85" w:name="_Toc378252230"/>
      <w:bookmarkStart w:id="86" w:name="_Toc412544158"/>
      <w:r>
        <w:rPr>
          <w:rStyle w:val="CharSectno"/>
        </w:rPr>
        <w:t>23C</w:t>
      </w:r>
      <w:r>
        <w:rPr>
          <w:snapToGrid w:val="0"/>
        </w:rPr>
        <w:t>.</w:t>
      </w:r>
      <w:r>
        <w:rPr>
          <w:snapToGrid w:val="0"/>
        </w:rPr>
        <w:tab/>
        <w:t>Persons concerned in commission of offences</w:t>
      </w:r>
      <w:bookmarkEnd w:id="85"/>
      <w:bookmarkEnd w:id="86"/>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[Section 23C inserted by No. 59 of 1996 s. 49.]</w:t>
      </w:r>
    </w:p>
    <w:p>
      <w:pPr>
        <w:pStyle w:val="Ednotesection"/>
      </w:pPr>
      <w:r>
        <w:t>[</w:t>
      </w:r>
      <w:r>
        <w:rPr>
          <w:b/>
        </w:rPr>
        <w:t>23D.</w:t>
      </w:r>
      <w:r>
        <w:tab/>
        <w:t>Deleted by No. 4 of 2004 s. 58.]</w:t>
      </w:r>
    </w:p>
    <w:p>
      <w:pPr>
        <w:pStyle w:val="Heading5"/>
        <w:rPr>
          <w:snapToGrid w:val="0"/>
        </w:rPr>
      </w:pPr>
      <w:bookmarkStart w:id="87" w:name="_Toc378252231"/>
      <w:bookmarkStart w:id="88" w:name="_Toc412544159"/>
      <w:r>
        <w:rPr>
          <w:rStyle w:val="CharSectno"/>
        </w:rPr>
        <w:t>24</w:t>
      </w:r>
      <w:r>
        <w:rPr>
          <w:snapToGrid w:val="0"/>
        </w:rPr>
        <w:t>.</w:t>
      </w:r>
      <w:r>
        <w:rPr>
          <w:snapToGrid w:val="0"/>
        </w:rPr>
        <w:tab/>
        <w:t>Powers of police</w:t>
      </w:r>
      <w:bookmarkEnd w:id="87"/>
      <w:bookmarkEnd w:id="88"/>
    </w:p>
    <w:p>
      <w:pPr>
        <w:pStyle w:val="Subsection"/>
        <w:spacing w:before="120"/>
        <w:rPr>
          <w:snapToGrid w:val="0"/>
        </w:rPr>
      </w:pPr>
      <w:r>
        <w:rPr>
          <w:snapToGrid w:val="0"/>
        </w:rPr>
        <w:tab/>
        <w:t>(1)</w:t>
      </w:r>
      <w:r>
        <w:rPr>
          <w:snapToGrid w:val="0"/>
        </w:rPr>
        <w:tab/>
        <w:t>A member of the Police Force may demand from any person in possession of a firearm or ammunition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rPr>
          <w:snapToGrid w:val="0"/>
        </w:rPr>
      </w:pPr>
      <w:r>
        <w:rPr>
          <w:snapToGrid w:val="0"/>
        </w:rPr>
        <w:tab/>
        <w:t>(4)</w:t>
      </w:r>
      <w:r>
        <w:rPr>
          <w:snapToGrid w:val="0"/>
        </w:rPr>
        <w:tab/>
        <w:t>A member of the Police Force may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keepNext/>
        <w:rPr>
          <w:snapToGrid w:val="0"/>
        </w:rPr>
      </w:pPr>
      <w:r>
        <w:rPr>
          <w:snapToGrid w:val="0"/>
        </w:rPr>
        <w:tab/>
        <w:t>(6)</w:t>
      </w:r>
      <w:r>
        <w:rPr>
          <w:snapToGrid w:val="0"/>
        </w:rPr>
        <w:tab/>
        <w:t>A person who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w:t>
      </w:r>
    </w:p>
    <w:p>
      <w:pPr>
        <w:pStyle w:val="Indenta"/>
        <w:rPr>
          <w:snapToGrid w:val="0"/>
        </w:rPr>
      </w:pPr>
      <w:r>
        <w:rPr>
          <w:snapToGrid w:val="0"/>
        </w:rPr>
        <w:tab/>
        <w:t>(a)</w:t>
      </w:r>
      <w:r>
        <w:rPr>
          <w:snapToGrid w:val="0"/>
        </w:rPr>
        <w:tab/>
        <w:t>is reasonably of the opinion that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rStyle w:val="CharDefText"/>
        </w:rPr>
        <w:t>firearm</w:t>
      </w:r>
      <w:r>
        <w:rPr>
          <w:snapToGrid w:val="0"/>
        </w:rPr>
        <w:t xml:space="preserve"> is deemed to include any silencer, within the meaning of section 17B(8), and any part of a firearm.</w:t>
      </w:r>
    </w:p>
    <w:p>
      <w:pPr>
        <w:pStyle w:val="Footnotesection"/>
      </w:pPr>
      <w:r>
        <w:tab/>
        <w:t>[Section 24 amended by No. 61 of 1976 s. 5; No. 54 of 1978 s. 4; No. 70 of 1987 s. 9; No. 90 of 1994 s. 5; No. 59 of 1996 s. 27, 42 and 50(2); No. 69 of 2004 s. 31; No. 59 of 2006 s. 73.]</w:t>
      </w:r>
    </w:p>
    <w:p>
      <w:pPr>
        <w:pStyle w:val="Heading5"/>
        <w:keepNext w:val="0"/>
        <w:keepLines w:val="0"/>
        <w:pageBreakBefore/>
        <w:spacing w:before="0"/>
        <w:rPr>
          <w:snapToGrid w:val="0"/>
        </w:rPr>
      </w:pPr>
      <w:bookmarkStart w:id="89" w:name="_Toc378252232"/>
      <w:bookmarkStart w:id="90" w:name="_Toc412544160"/>
      <w:r>
        <w:rPr>
          <w:rStyle w:val="CharSectno"/>
        </w:rPr>
        <w:t>25</w:t>
      </w:r>
      <w:r>
        <w:rPr>
          <w:snapToGrid w:val="0"/>
        </w:rPr>
        <w:t>.</w:t>
      </w:r>
      <w:r>
        <w:rPr>
          <w:snapToGrid w:val="0"/>
        </w:rPr>
        <w:tab/>
        <w:t>Constructive possession</w:t>
      </w:r>
      <w:bookmarkEnd w:id="89"/>
      <w:bookmarkEnd w:id="90"/>
    </w:p>
    <w:p>
      <w:pPr>
        <w:pStyle w:val="Subsection"/>
        <w:rPr>
          <w:snapToGrid w:val="0"/>
        </w:rPr>
      </w:pPr>
      <w:r>
        <w:rPr>
          <w:snapToGrid w:val="0"/>
        </w:rPr>
        <w:tab/>
        <w:t>(1)</w:t>
      </w:r>
      <w:r>
        <w:rPr>
          <w:snapToGrid w:val="0"/>
        </w:rPr>
        <w:tab/>
        <w:t xml:space="preserve">For the purposes of this section the term </w:t>
      </w:r>
      <w:r>
        <w:rPr>
          <w:rStyle w:val="CharDefText"/>
        </w:rPr>
        <w:t>firearm</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91" w:name="_Toc378252233"/>
      <w:bookmarkStart w:id="92" w:name="_Toc412544161"/>
      <w:r>
        <w:rPr>
          <w:rStyle w:val="CharSectno"/>
        </w:rPr>
        <w:t>26</w:t>
      </w:r>
      <w:r>
        <w:rPr>
          <w:snapToGrid w:val="0"/>
        </w:rPr>
        <w:t>.</w:t>
      </w:r>
      <w:r>
        <w:rPr>
          <w:snapToGrid w:val="0"/>
        </w:rPr>
        <w:tab/>
        <w:t>Search warrant</w:t>
      </w:r>
      <w:bookmarkEnd w:id="91"/>
      <w:bookmarkEnd w:id="92"/>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[Section 26 inserted by No. 59 of 1996 s. 28; amended by No. 59 of 2006 s. 73.]</w:t>
      </w:r>
    </w:p>
    <w:p>
      <w:pPr>
        <w:pStyle w:val="Ednotesection"/>
      </w:pPr>
      <w:r>
        <w:t>[</w:t>
      </w:r>
      <w:r>
        <w:rPr>
          <w:b/>
        </w:rPr>
        <w:t>27.</w:t>
      </w:r>
      <w:r>
        <w:tab/>
        <w:t>Deleted by No. 78 of 1995 s. 46.]</w:t>
      </w:r>
    </w:p>
    <w:p>
      <w:pPr>
        <w:pStyle w:val="Heading5"/>
        <w:rPr>
          <w:snapToGrid w:val="0"/>
        </w:rPr>
      </w:pPr>
      <w:bookmarkStart w:id="93" w:name="_Toc378252234"/>
      <w:bookmarkStart w:id="94" w:name="_Toc412544162"/>
      <w:r>
        <w:rPr>
          <w:rStyle w:val="CharSectno"/>
        </w:rPr>
        <w:t>27A</w:t>
      </w:r>
      <w:r>
        <w:rPr>
          <w:snapToGrid w:val="0"/>
        </w:rPr>
        <w:t>.</w:t>
      </w:r>
      <w:r>
        <w:rPr>
          <w:snapToGrid w:val="0"/>
        </w:rPr>
        <w:tab/>
        <w:t>Disqualification by court imposing violence restraining order</w:t>
      </w:r>
      <w:bookmarkEnd w:id="93"/>
      <w:bookmarkEnd w:id="94"/>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w:t>
      </w:r>
    </w:p>
    <w:p>
      <w:pPr>
        <w:pStyle w:val="Defstart"/>
      </w:pPr>
      <w:r>
        <w:rPr>
          <w:b/>
        </w:rPr>
        <w:tab/>
      </w:r>
      <w:r>
        <w:rPr>
          <w:rStyle w:val="CharDefText"/>
        </w:rPr>
        <w:t>violence restraining order</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[Section 27A inserted by No. 59 of 1996 s. 29; amended by No. 19 of 1997 s. 84.]</w:t>
      </w:r>
    </w:p>
    <w:p>
      <w:pPr>
        <w:pStyle w:val="Heading5"/>
        <w:spacing w:before="240"/>
        <w:rPr>
          <w:snapToGrid w:val="0"/>
        </w:rPr>
      </w:pPr>
      <w:bookmarkStart w:id="95" w:name="_Toc378252235"/>
      <w:bookmarkStart w:id="96" w:name="_Toc412544163"/>
      <w:r>
        <w:rPr>
          <w:rStyle w:val="CharSectno"/>
        </w:rPr>
        <w:t>28</w:t>
      </w:r>
      <w:r>
        <w:rPr>
          <w:snapToGrid w:val="0"/>
        </w:rPr>
        <w:t>.</w:t>
      </w:r>
      <w:r>
        <w:rPr>
          <w:snapToGrid w:val="0"/>
        </w:rPr>
        <w:tab/>
        <w:t>Court may order forfeiture on conviction of offender</w:t>
      </w:r>
      <w:bookmarkEnd w:id="95"/>
      <w:bookmarkEnd w:id="96"/>
    </w:p>
    <w:p>
      <w:pPr>
        <w:pStyle w:val="Subsection"/>
        <w:spacing w:before="180"/>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spacing w:before="80"/>
        <w:ind w:left="890" w:hanging="890"/>
      </w:pPr>
      <w:r>
        <w:tab/>
        <w:t>[Section 28 amended by No. 59 of 1996 s. 30.]</w:t>
      </w:r>
    </w:p>
    <w:p>
      <w:pPr>
        <w:pStyle w:val="Heading5"/>
        <w:spacing w:before="180"/>
        <w:rPr>
          <w:snapToGrid w:val="0"/>
        </w:rPr>
      </w:pPr>
      <w:bookmarkStart w:id="97" w:name="_Toc378252236"/>
      <w:bookmarkStart w:id="98" w:name="_Toc412544164"/>
      <w:r>
        <w:rPr>
          <w:rStyle w:val="CharSectno"/>
        </w:rPr>
        <w:t>29</w:t>
      </w:r>
      <w:r>
        <w:rPr>
          <w:snapToGrid w:val="0"/>
        </w:rPr>
        <w:t>.</w:t>
      </w:r>
      <w:r>
        <w:rPr>
          <w:snapToGrid w:val="0"/>
        </w:rPr>
        <w:tab/>
        <w:t>Evidence</w:t>
      </w:r>
      <w:bookmarkEnd w:id="97"/>
      <w:bookmarkEnd w:id="98"/>
    </w:p>
    <w:p>
      <w:pPr>
        <w:pStyle w:val="Subsection"/>
        <w:spacing w:before="120"/>
        <w:rPr>
          <w:snapToGrid w:val="0"/>
        </w:rPr>
      </w:pPr>
      <w:r>
        <w:rPr>
          <w:snapToGrid w:val="0"/>
        </w:rPr>
        <w:tab/>
        <w:t>(1)</w:t>
      </w:r>
      <w:r>
        <w:rPr>
          <w:snapToGrid w:val="0"/>
        </w:rPr>
        <w:tab/>
        <w:t>In a prosecution for an offence against this Act an averment in the prosecution notice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 or</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 or</w:t>
      </w:r>
    </w:p>
    <w:p>
      <w:pPr>
        <w:pStyle w:val="Indenta"/>
        <w:rPr>
          <w:snapToGrid w:val="0"/>
        </w:rPr>
      </w:pPr>
      <w:r>
        <w:rPr>
          <w:snapToGrid w:val="0"/>
        </w:rPr>
        <w:tab/>
        <w:t>(c)</w:t>
      </w:r>
      <w:r>
        <w:rPr>
          <w:snapToGrid w:val="0"/>
        </w:rPr>
        <w:tab/>
        <w:t>that a particular firearm or ammunition is of a particular calibre or kind; or</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 or</w:t>
      </w:r>
    </w:p>
    <w:p>
      <w:pPr>
        <w:pStyle w:val="Indenta"/>
        <w:rPr>
          <w:snapToGrid w:val="0"/>
        </w:rPr>
      </w:pPr>
      <w:r>
        <w:rPr>
          <w:snapToGrid w:val="0"/>
        </w:rPr>
        <w:tab/>
        <w:t>(e)</w:t>
      </w:r>
      <w:r>
        <w:rPr>
          <w:snapToGrid w:val="0"/>
        </w:rPr>
        <w:tab/>
        <w:t>that a person named in the prosecution notice is, or at a particular time was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0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ind w:left="890" w:hanging="890"/>
      </w:pPr>
      <w:r>
        <w:tab/>
        <w:t>[Section 29 amended by No. 59 of 1996 s. 31 and 43; No. 84 of 2004 s. 80.]</w:t>
      </w:r>
    </w:p>
    <w:p>
      <w:pPr>
        <w:pStyle w:val="Heading5"/>
        <w:spacing w:before="180"/>
        <w:rPr>
          <w:snapToGrid w:val="0"/>
        </w:rPr>
      </w:pPr>
      <w:bookmarkStart w:id="99" w:name="_Toc378252237"/>
      <w:bookmarkStart w:id="100" w:name="_Toc412544165"/>
      <w:r>
        <w:rPr>
          <w:rStyle w:val="CharSectno"/>
        </w:rPr>
        <w:t>30</w:t>
      </w:r>
      <w:r>
        <w:rPr>
          <w:snapToGrid w:val="0"/>
        </w:rPr>
        <w:t>.</w:t>
      </w:r>
      <w:r>
        <w:rPr>
          <w:snapToGrid w:val="0"/>
        </w:rPr>
        <w:tab/>
        <w:t>Ammunition sales</w:t>
      </w:r>
      <w:bookmarkEnd w:id="99"/>
      <w:bookmarkEnd w:id="100"/>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rPr>
      </w:pPr>
      <w:r>
        <w:rPr>
          <w:snapToGrid w:val="0"/>
        </w:rPr>
        <w:tab/>
        <w:t>(3)</w:t>
      </w:r>
      <w:r>
        <w:rPr>
          <w:snapToGrid w:val="0"/>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w:t>
      </w:r>
      <w:r>
        <w:rPr>
          <w:snapToGrid w:val="0"/>
          <w:spacing w:val="-4"/>
        </w:rPr>
        <w:t xml:space="preserve"> </w:t>
      </w:r>
      <w:r>
        <w:rPr>
          <w:snapToGrid w:val="0"/>
        </w:rPr>
        <w:t>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t>the</w:t>
      </w:r>
      <w:r>
        <w:rPr>
          <w:rStyle w:val="CharDefText"/>
        </w:rPr>
        <w:t xml:space="preserve"> provider</w:t>
      </w:r>
      <w:r>
        <w:rPr>
          <w:snapToGrid w:val="0"/>
        </w:rPr>
        <w:t xml:space="preserve">) does not request the person receiving the ammunition (in this subsection </w:t>
      </w:r>
      <w:r>
        <w:t>called the</w:t>
      </w:r>
      <w:r>
        <w:rPr>
          <w:b/>
          <w:i/>
        </w:rPr>
        <w:t xml:space="preserve"> </w:t>
      </w:r>
      <w:r>
        <w:rPr>
          <w:rStyle w:val="CharDefText"/>
        </w:rPr>
        <w:t>receiver</w:t>
      </w:r>
      <w:r>
        <w:rPr>
          <w:snapToGrid w:val="0"/>
        </w:rPr>
        <w:t>) to produce —</w:t>
      </w:r>
    </w:p>
    <w:p>
      <w:pPr>
        <w:pStyle w:val="Indenta"/>
        <w:rPr>
          <w:snapToGrid w:val="0"/>
        </w:rPr>
      </w:pPr>
      <w:r>
        <w:rPr>
          <w:snapToGrid w:val="0"/>
        </w:rPr>
        <w:tab/>
        <w:t>(a)</w:t>
      </w:r>
      <w:r>
        <w:rPr>
          <w:snapToGrid w:val="0"/>
        </w:rPr>
        <w:tab/>
        <w:t>a relevant licence or permit, or evidence of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a relevant authorisation;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[Section 30 amended by No. 54 of 1978 s. 5; No. 70 of 1987 s. 10; No. 59 of 1996 s. 32, 44 and 50(1); No. 69 of 2004 s. 31.]</w:t>
      </w:r>
    </w:p>
    <w:p>
      <w:pPr>
        <w:pStyle w:val="Heading5"/>
        <w:spacing w:before="180"/>
        <w:rPr>
          <w:snapToGrid w:val="0"/>
        </w:rPr>
      </w:pPr>
      <w:bookmarkStart w:id="101" w:name="_Toc378252238"/>
      <w:bookmarkStart w:id="102" w:name="_Toc412544166"/>
      <w:r>
        <w:rPr>
          <w:rStyle w:val="CharSectno"/>
        </w:rPr>
        <w:t>30A</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and disposal of firearms</w:t>
      </w:r>
      <w:bookmarkEnd w:id="101"/>
      <w:bookmarkEnd w:id="102"/>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[Section 30A inserted by No. 59 of 1996 s. 33; amended by No. 69 of 2004 s. 31.]</w:t>
      </w:r>
    </w:p>
    <w:p>
      <w:pPr>
        <w:pStyle w:val="Heading5"/>
        <w:keepNext w:val="0"/>
        <w:keepLines w:val="0"/>
        <w:spacing w:before="180"/>
        <w:rPr>
          <w:snapToGrid w:val="0"/>
        </w:rPr>
      </w:pPr>
      <w:bookmarkStart w:id="103" w:name="_Toc378252239"/>
      <w:bookmarkStart w:id="104" w:name="_Toc412544167"/>
      <w:r>
        <w:rPr>
          <w:rStyle w:val="CharSectno"/>
        </w:rPr>
        <w:t>30B</w:t>
      </w:r>
      <w:r>
        <w:rPr>
          <w:snapToGrid w:val="0"/>
        </w:rPr>
        <w:t>.</w:t>
      </w:r>
      <w:r>
        <w:rPr>
          <w:snapToGrid w:val="0"/>
        </w:rPr>
        <w:tab/>
        <w:t>Loss, theft, destruction, or disposal out of State, to be reported</w:t>
      </w:r>
      <w:bookmarkEnd w:id="103"/>
      <w:bookmarkEnd w:id="104"/>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[Section 30B inserted by No. 59 of 1996 s. 33; amended by No. 69 of 2004 s. 31.]</w:t>
      </w:r>
    </w:p>
    <w:p>
      <w:pPr>
        <w:pStyle w:val="Heading5"/>
        <w:rPr>
          <w:snapToGrid w:val="0"/>
        </w:rPr>
      </w:pPr>
      <w:bookmarkStart w:id="105" w:name="_Toc378252240"/>
      <w:bookmarkStart w:id="106" w:name="_Toc412544168"/>
      <w:r>
        <w:rPr>
          <w:rStyle w:val="CharSectno"/>
        </w:rPr>
        <w:t>31</w:t>
      </w:r>
      <w:r>
        <w:rPr>
          <w:snapToGrid w:val="0"/>
        </w:rPr>
        <w:t>.</w:t>
      </w:r>
      <w:r>
        <w:rPr>
          <w:snapToGrid w:val="0"/>
        </w:rPr>
        <w:tab/>
        <w:t>Records</w:t>
      </w:r>
      <w:bookmarkEnd w:id="105"/>
      <w:bookmarkEnd w:id="106"/>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[Section 31 amended by No. 59 of 1996 s. 34; No. 69 of 2004 s. 27 and 31.]</w:t>
      </w:r>
    </w:p>
    <w:p>
      <w:pPr>
        <w:pStyle w:val="Heading5"/>
        <w:rPr>
          <w:snapToGrid w:val="0"/>
        </w:rPr>
      </w:pPr>
      <w:bookmarkStart w:id="107" w:name="_Toc378252241"/>
      <w:bookmarkStart w:id="108" w:name="_Toc412544169"/>
      <w:r>
        <w:rPr>
          <w:rStyle w:val="CharSectno"/>
        </w:rPr>
        <w:t>32</w:t>
      </w:r>
      <w:r>
        <w:rPr>
          <w:snapToGrid w:val="0"/>
        </w:rPr>
        <w:t>.</w:t>
      </w:r>
      <w:r>
        <w:rPr>
          <w:snapToGrid w:val="0"/>
        </w:rPr>
        <w:tab/>
        <w:t>Safe keeping by traders</w:t>
      </w:r>
      <w:bookmarkEnd w:id="107"/>
      <w:bookmarkEnd w:id="108"/>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Penalty:</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[Section 32 amended by No. 59 of 1996 s. 35; No. 69 of 2004 s. 28.]</w:t>
      </w:r>
    </w:p>
    <w:p>
      <w:pPr>
        <w:pStyle w:val="Heading5"/>
        <w:spacing w:before="240"/>
        <w:rPr>
          <w:snapToGrid w:val="0"/>
        </w:rPr>
      </w:pPr>
      <w:bookmarkStart w:id="109" w:name="_Toc378252242"/>
      <w:bookmarkStart w:id="110" w:name="_Toc412544170"/>
      <w:r>
        <w:rPr>
          <w:rStyle w:val="CharSectno"/>
        </w:rPr>
        <w:t>33</w:t>
      </w:r>
      <w:r>
        <w:rPr>
          <w:snapToGrid w:val="0"/>
        </w:rPr>
        <w:t>.</w:t>
      </w:r>
      <w:r>
        <w:rPr>
          <w:snapToGrid w:val="0"/>
        </w:rPr>
        <w:tab/>
        <w:t>Disposal of firearms</w:t>
      </w:r>
      <w:bookmarkEnd w:id="109"/>
      <w:bookmarkEnd w:id="110"/>
    </w:p>
    <w:p>
      <w:pPr>
        <w:pStyle w:val="Subsection"/>
        <w:rPr>
          <w:snapToGrid w:val="0"/>
        </w:rPr>
      </w:pPr>
      <w:r>
        <w:rPr>
          <w:snapToGrid w:val="0"/>
        </w:rPr>
        <w:tab/>
        <w:t>(1)</w:t>
      </w:r>
      <w:r>
        <w:rPr>
          <w:snapToGrid w:val="0"/>
        </w:rPr>
        <w:tab/>
        <w:t>Where any firearm or ammunition is in the possession of a member of the Police Force if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spacing w:before="80"/>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[Section 33 amended by No. 6 of 1993 s. 11; No. 73 of 1994 s. 4; No. 49 of 1996 s. 64; No. 59 of 1996 s. 36; No. 77 of 2006 s. 4.]</w:t>
      </w:r>
    </w:p>
    <w:p>
      <w:pPr>
        <w:pStyle w:val="Heading5"/>
        <w:rPr>
          <w:snapToGrid w:val="0"/>
        </w:rPr>
      </w:pPr>
      <w:bookmarkStart w:id="111" w:name="_Toc378252243"/>
      <w:bookmarkStart w:id="112" w:name="_Toc412544171"/>
      <w:r>
        <w:rPr>
          <w:rStyle w:val="CharSectno"/>
        </w:rPr>
        <w:t>34</w:t>
      </w:r>
      <w:r>
        <w:rPr>
          <w:snapToGrid w:val="0"/>
        </w:rPr>
        <w:t>.</w:t>
      </w:r>
      <w:r>
        <w:rPr>
          <w:snapToGrid w:val="0"/>
        </w:rPr>
        <w:tab/>
        <w:t>Regulations</w:t>
      </w:r>
      <w:bookmarkEnd w:id="111"/>
      <w:bookmarkEnd w:id="112"/>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w:t>
      </w:r>
    </w:p>
    <w:p>
      <w:pPr>
        <w:pStyle w:val="Indenta"/>
        <w:rPr>
          <w:snapToGrid w:val="0"/>
        </w:rPr>
      </w:pPr>
      <w:r>
        <w:rPr>
          <w:snapToGrid w:val="0"/>
        </w:rPr>
        <w:tab/>
        <w:t>(a)</w:t>
      </w:r>
      <w:r>
        <w:rPr>
          <w:snapToGrid w:val="0"/>
        </w:rPr>
        <w:tab/>
        <w:t>the application for and the issue, grant, renewal, cancellation or revocation of licences, permits and approvals under this Act; and</w:t>
      </w:r>
    </w:p>
    <w:p>
      <w:pPr>
        <w:pStyle w:val="Indenta"/>
        <w:rPr>
          <w:snapToGrid w:val="0"/>
        </w:rPr>
      </w:pPr>
      <w:r>
        <w:rPr>
          <w:snapToGrid w:val="0"/>
        </w:rPr>
        <w:tab/>
        <w:t>(b)</w:t>
      </w:r>
      <w:r>
        <w:rPr>
          <w:snapToGrid w:val="0"/>
        </w:rPr>
        <w:tab/>
        <w:t>the restrictions, limitations and conditions that may be imposed on any licence, permit or approval;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 and</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 and</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 and</w:t>
      </w:r>
    </w:p>
    <w:p>
      <w:pPr>
        <w:pStyle w:val="Indenta"/>
        <w:rPr>
          <w:snapToGrid w:val="0"/>
        </w:rPr>
      </w:pPr>
      <w:r>
        <w:rPr>
          <w:snapToGrid w:val="0"/>
        </w:rPr>
        <w:tab/>
        <w:t>(f)</w:t>
      </w:r>
      <w:r>
        <w:rPr>
          <w:snapToGrid w:val="0"/>
        </w:rPr>
        <w:tab/>
        <w:t>the classification of firearms and ammunition for the purposes of this Act; and</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 and</w:t>
      </w:r>
    </w:p>
    <w:p>
      <w:pPr>
        <w:pStyle w:val="Indenta"/>
        <w:rPr>
          <w:snapToGrid w:val="0"/>
        </w:rPr>
      </w:pPr>
      <w:r>
        <w:rPr>
          <w:snapToGrid w:val="0"/>
        </w:rPr>
        <w:tab/>
        <w:t>(ga)</w:t>
      </w:r>
      <w:r>
        <w:rPr>
          <w:snapToGrid w:val="0"/>
        </w:rPr>
        <w:tab/>
        <w:t>the sending or conveyance of firearms or ammunition; and</w:t>
      </w:r>
    </w:p>
    <w:p>
      <w:pPr>
        <w:pStyle w:val="Indenta"/>
        <w:rPr>
          <w:snapToGrid w:val="0"/>
        </w:rPr>
      </w:pPr>
      <w:r>
        <w:rPr>
          <w:snapToGrid w:val="0"/>
        </w:rPr>
        <w:tab/>
        <w:t>(h)</w:t>
      </w:r>
      <w:r>
        <w:rPr>
          <w:snapToGrid w:val="0"/>
        </w:rPr>
        <w:tab/>
        <w:t>the construction and conduct of shooting galleries and ranges; and</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keepNext/>
        <w:keepLines/>
        <w:rPr>
          <w:snapToGrid w:val="0"/>
        </w:rPr>
      </w:pPr>
      <w:r>
        <w:rPr>
          <w:snapToGrid w:val="0"/>
        </w:rPr>
        <w:tab/>
        <w:t>(d)</w:t>
      </w:r>
      <w:r>
        <w:rPr>
          <w:snapToGrid w:val="0"/>
        </w:rPr>
        <w:tab/>
        <w:t>provide penalties, not exceeding $2 000, for the contravention of any regulation.</w:t>
      </w:r>
    </w:p>
    <w:p>
      <w:pPr>
        <w:pStyle w:val="Footnotesection"/>
      </w:pPr>
      <w:r>
        <w:tab/>
        <w:t>[Section 34 amended by No. 54 of 1978 s. 6; No. 70 of 1987 s. 11; No. 59 of 1996 s. 37 and 50(1); No. 55 of 2004 s. 370; No. 69 of 2004 s. 29 and 31.]</w:t>
      </w:r>
    </w:p>
    <w:p>
      <w:pPr>
        <w:pStyle w:val="yEdnoteschedule"/>
        <w:keepNext/>
        <w:rPr>
          <w:sz w:val="24"/>
        </w:rPr>
      </w:pPr>
      <w:r>
        <w:rPr>
          <w:sz w:val="24"/>
        </w:rPr>
        <w:t>[Schedule 1 omitted under the Reprints Act 1984 s. 7(4)(f).]</w:t>
      </w:r>
    </w:p>
    <w:p>
      <w:pPr>
        <w:pStyle w:val="yEdnoteschedule"/>
        <w:rPr>
          <w:sz w:val="24"/>
        </w:rPr>
      </w:pPr>
      <w:r>
        <w:rPr>
          <w:sz w:val="24"/>
        </w:rPr>
        <w:t>[Schedule 2 deleted by No. 69 of 2004 s. 30.]</w:t>
      </w:r>
    </w:p>
    <w:p>
      <w:pPr>
        <w:pStyle w:val="yEdnoteschedule"/>
      </w:pPr>
      <w:r>
        <w:rPr>
          <w:sz w:val="24"/>
        </w:rPr>
        <w:t>[Schedule 3 deleted by No. 55 of 2004 s. 371.]</w:t>
      </w:r>
    </w:p>
    <w:p>
      <w:pPr>
        <w:pStyle w:val="CentredBaseLine"/>
        <w:jc w:val="center"/>
      </w:pPr>
      <w:r>
        <w:rPr>
          <w:noProof/>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outlineLvl w:val="2"/>
      </w:pPr>
      <w:bookmarkStart w:id="113" w:name="_Toc378252244"/>
      <w:bookmarkStart w:id="114" w:name="_Toc412541122"/>
      <w:bookmarkStart w:id="115" w:name="_Toc412541179"/>
      <w:bookmarkStart w:id="116" w:name="_Toc412544172"/>
      <w:r>
        <w:t>Notes</w:t>
      </w:r>
      <w:bookmarkEnd w:id="113"/>
      <w:bookmarkEnd w:id="114"/>
      <w:bookmarkEnd w:id="115"/>
      <w:bookmarkEnd w:id="116"/>
    </w:p>
    <w:p>
      <w:pPr>
        <w:pStyle w:val="nSubsection"/>
      </w:pPr>
      <w:r>
        <w:rPr>
          <w:vertAlign w:val="superscript"/>
        </w:rPr>
        <w:t>1</w:t>
      </w:r>
      <w:r>
        <w:tab/>
        <w:t xml:space="preserve">This reprint is a compilation as at 13 February 2015 of the </w:t>
      </w:r>
      <w:r>
        <w:rPr>
          <w:i/>
          <w:noProof/>
        </w:rPr>
        <w:t>Firearms Act 1973</w:t>
      </w:r>
      <w:r>
        <w:t xml:space="preserve"> and includes the amendments made by the other written laws referred to in the following table.</w:t>
      </w:r>
      <w:r>
        <w:rPr>
          <w:vertAlign w:val="superscript"/>
        </w:rPr>
        <w:t xml:space="preserve"> </w:t>
      </w:r>
      <w:r>
        <w:t>The table also contains information about any reprint.</w:t>
      </w:r>
    </w:p>
    <w:p>
      <w:pPr>
        <w:pStyle w:val="nHeading3"/>
        <w:rPr>
          <w:snapToGrid w:val="0"/>
        </w:rPr>
      </w:pPr>
      <w:bookmarkStart w:id="117" w:name="_Toc412544173"/>
      <w:r>
        <w:rPr>
          <w:snapToGrid w:val="0"/>
        </w:rPr>
        <w:t>Compilation table</w:t>
      </w:r>
      <w:bookmarkEnd w:id="117"/>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Pr>
          <w:p>
            <w:pPr>
              <w:pStyle w:val="nTable"/>
              <w:spacing w:after="40"/>
              <w:ind w:right="113"/>
            </w:pPr>
            <w:r>
              <w:rPr>
                <w:i/>
              </w:rPr>
              <w:t>Firearms Act 1973</w:t>
            </w:r>
          </w:p>
        </w:tc>
        <w:tc>
          <w:tcPr>
            <w:tcW w:w="1134" w:type="dxa"/>
          </w:tcPr>
          <w:p>
            <w:pPr>
              <w:pStyle w:val="nTable"/>
              <w:spacing w:after="40"/>
            </w:pPr>
            <w:r>
              <w:t>36 of 1973</w:t>
            </w:r>
          </w:p>
        </w:tc>
        <w:tc>
          <w:tcPr>
            <w:tcW w:w="1136" w:type="dxa"/>
          </w:tcPr>
          <w:p>
            <w:pPr>
              <w:pStyle w:val="nTable"/>
              <w:spacing w:after="40"/>
            </w:pPr>
            <w:r>
              <w:t>18 Oct 1973</w:t>
            </w:r>
          </w:p>
        </w:tc>
        <w:tc>
          <w:tcPr>
            <w:tcW w:w="2551" w:type="dxa"/>
          </w:tcPr>
          <w:p>
            <w:pPr>
              <w:pStyle w:val="nTable"/>
              <w:spacing w:after="40"/>
            </w:pPr>
            <w:r>
              <w:t>1 Jul 1974 (see s. 2 and </w:t>
            </w:r>
            <w:r>
              <w:rPr>
                <w:i/>
              </w:rPr>
              <w:t>Gazette</w:t>
            </w:r>
            <w:r>
              <w:t xml:space="preserve"> 29 Mar 1974 p. 1027)</w:t>
            </w:r>
          </w:p>
        </w:tc>
      </w:tr>
      <w:tr>
        <w:trPr>
          <w:cantSplit/>
        </w:trPr>
        <w:tc>
          <w:tcPr>
            <w:tcW w:w="2267" w:type="dxa"/>
          </w:tcPr>
          <w:p>
            <w:pPr>
              <w:pStyle w:val="nTable"/>
              <w:spacing w:after="40"/>
              <w:ind w:right="113"/>
            </w:pPr>
            <w:r>
              <w:rPr>
                <w:i/>
              </w:rPr>
              <w:t>Firearms Act Amendment Act 1976</w:t>
            </w:r>
          </w:p>
        </w:tc>
        <w:tc>
          <w:tcPr>
            <w:tcW w:w="1134" w:type="dxa"/>
          </w:tcPr>
          <w:p>
            <w:pPr>
              <w:pStyle w:val="nTable"/>
              <w:spacing w:after="40"/>
            </w:pPr>
            <w:r>
              <w:t>61 of 1976</w:t>
            </w:r>
          </w:p>
        </w:tc>
        <w:tc>
          <w:tcPr>
            <w:tcW w:w="1136" w:type="dxa"/>
          </w:tcPr>
          <w:p>
            <w:pPr>
              <w:pStyle w:val="nTable"/>
              <w:spacing w:after="40"/>
            </w:pPr>
            <w:r>
              <w:t>16 Sep 1976</w:t>
            </w:r>
          </w:p>
        </w:tc>
        <w:tc>
          <w:tcPr>
            <w:tcW w:w="2551" w:type="dxa"/>
          </w:tcPr>
          <w:p>
            <w:pPr>
              <w:pStyle w:val="nTable"/>
              <w:spacing w:after="40"/>
            </w:pPr>
            <w:r>
              <w:t>16 Sep 1976</w:t>
            </w:r>
          </w:p>
        </w:tc>
      </w:tr>
      <w:tr>
        <w:trPr>
          <w:cantSplit/>
        </w:trPr>
        <w:tc>
          <w:tcPr>
            <w:tcW w:w="2267" w:type="dxa"/>
          </w:tcPr>
          <w:p>
            <w:pPr>
              <w:pStyle w:val="nTable"/>
              <w:spacing w:after="40"/>
              <w:ind w:right="113"/>
            </w:pPr>
            <w:r>
              <w:rPr>
                <w:i/>
              </w:rPr>
              <w:t>Firearms Act Amendment Act 1978</w:t>
            </w:r>
          </w:p>
        </w:tc>
        <w:tc>
          <w:tcPr>
            <w:tcW w:w="1134" w:type="dxa"/>
          </w:tcPr>
          <w:p>
            <w:pPr>
              <w:pStyle w:val="nTable"/>
              <w:spacing w:after="40"/>
            </w:pPr>
            <w:r>
              <w:t>54 of 1978</w:t>
            </w:r>
          </w:p>
        </w:tc>
        <w:tc>
          <w:tcPr>
            <w:tcW w:w="1136" w:type="dxa"/>
          </w:tcPr>
          <w:p>
            <w:pPr>
              <w:pStyle w:val="nTable"/>
              <w:spacing w:after="40"/>
            </w:pPr>
            <w:r>
              <w:t>6 Sep 1978</w:t>
            </w:r>
          </w:p>
        </w:tc>
        <w:tc>
          <w:tcPr>
            <w:tcW w:w="2551" w:type="dxa"/>
          </w:tcPr>
          <w:p>
            <w:pPr>
              <w:pStyle w:val="nTable"/>
              <w:spacing w:after="40"/>
            </w:pPr>
            <w:r>
              <w:t>6 Sep 1978</w:t>
            </w:r>
          </w:p>
        </w:tc>
      </w:tr>
      <w:tr>
        <w:trPr>
          <w:cantSplit/>
        </w:trPr>
        <w:tc>
          <w:tcPr>
            <w:tcW w:w="2267" w:type="dxa"/>
          </w:tcPr>
          <w:p>
            <w:pPr>
              <w:pStyle w:val="nTable"/>
              <w:spacing w:after="40"/>
              <w:ind w:right="113"/>
            </w:pPr>
            <w:r>
              <w:rPr>
                <w:i/>
              </w:rPr>
              <w:t>Firearms Amendment Act 1980</w:t>
            </w:r>
          </w:p>
        </w:tc>
        <w:tc>
          <w:tcPr>
            <w:tcW w:w="1134" w:type="dxa"/>
          </w:tcPr>
          <w:p>
            <w:pPr>
              <w:pStyle w:val="nTable"/>
              <w:spacing w:after="40"/>
            </w:pPr>
            <w:r>
              <w:t>35 of 1980</w:t>
            </w:r>
          </w:p>
        </w:tc>
        <w:tc>
          <w:tcPr>
            <w:tcW w:w="1136" w:type="dxa"/>
          </w:tcPr>
          <w:p>
            <w:pPr>
              <w:pStyle w:val="nTable"/>
              <w:spacing w:after="40"/>
            </w:pPr>
            <w:r>
              <w:t>5 Nov 1980</w:t>
            </w:r>
          </w:p>
        </w:tc>
        <w:tc>
          <w:tcPr>
            <w:tcW w:w="2551" w:type="dxa"/>
          </w:tcPr>
          <w:p>
            <w:pPr>
              <w:pStyle w:val="nTable"/>
              <w:spacing w:after="40"/>
            </w:pPr>
            <w:r>
              <w:t xml:space="preserve">24 Jul 1981 (see s. 2 and </w:t>
            </w:r>
            <w:r>
              <w:rPr>
                <w:i/>
              </w:rPr>
              <w:t>Gazette</w:t>
            </w:r>
            <w:r>
              <w:t xml:space="preserve"> 24 Jul 1981 p. 3060)</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approved 22 Apr 1983</w:t>
            </w:r>
            <w:r>
              <w:rPr>
                <w:iCs/>
              </w:rPr>
              <w:t xml:space="preserve"> (includes amendments listed above)</w:t>
            </w:r>
          </w:p>
        </w:tc>
      </w:tr>
      <w:tr>
        <w:trPr>
          <w:cantSplit/>
        </w:trPr>
        <w:tc>
          <w:tcPr>
            <w:tcW w:w="2267" w:type="dxa"/>
          </w:tcPr>
          <w:p>
            <w:pPr>
              <w:pStyle w:val="nTable"/>
              <w:spacing w:after="40"/>
              <w:ind w:right="113"/>
            </w:pPr>
            <w:r>
              <w:rPr>
                <w:i/>
              </w:rPr>
              <w:t>Firearms Amendment Act 1983</w:t>
            </w:r>
          </w:p>
        </w:tc>
        <w:tc>
          <w:tcPr>
            <w:tcW w:w="1134" w:type="dxa"/>
          </w:tcPr>
          <w:p>
            <w:pPr>
              <w:pStyle w:val="nTable"/>
              <w:spacing w:after="40"/>
            </w:pPr>
            <w:r>
              <w:t>3 of 1983</w:t>
            </w:r>
          </w:p>
        </w:tc>
        <w:tc>
          <w:tcPr>
            <w:tcW w:w="1136" w:type="dxa"/>
          </w:tcPr>
          <w:p>
            <w:pPr>
              <w:pStyle w:val="nTable"/>
              <w:spacing w:after="40"/>
            </w:pPr>
            <w:r>
              <w:t>1 Aug 1983</w:t>
            </w:r>
          </w:p>
        </w:tc>
        <w:tc>
          <w:tcPr>
            <w:tcW w:w="2551" w:type="dxa"/>
          </w:tcPr>
          <w:p>
            <w:pPr>
              <w:pStyle w:val="nTable"/>
              <w:spacing w:after="40"/>
            </w:pPr>
            <w:r>
              <w:t>1 Aug 1983</w:t>
            </w:r>
          </w:p>
        </w:tc>
      </w:tr>
      <w:tr>
        <w:trPr>
          <w:cantSplit/>
        </w:trPr>
        <w:tc>
          <w:tcPr>
            <w:tcW w:w="2267" w:type="dxa"/>
          </w:tcPr>
          <w:p>
            <w:pPr>
              <w:pStyle w:val="nTable"/>
              <w:spacing w:after="40"/>
              <w:ind w:right="113"/>
              <w:rPr>
                <w:vertAlign w:val="superscript"/>
              </w:rPr>
            </w:pPr>
            <w:r>
              <w:rPr>
                <w:i/>
              </w:rPr>
              <w:t>Acts Amendment (Financial Administration and Audit) Act 1985</w:t>
            </w:r>
            <w:r>
              <w:t xml:space="preserve"> s. 3</w:t>
            </w:r>
            <w:r>
              <w:rPr>
                <w:vertAlign w:val="superscript"/>
              </w:rPr>
              <w:t> 3</w:t>
            </w:r>
          </w:p>
        </w:tc>
        <w:tc>
          <w:tcPr>
            <w:tcW w:w="1134" w:type="dxa"/>
          </w:tcPr>
          <w:p>
            <w:pPr>
              <w:pStyle w:val="nTable"/>
              <w:spacing w:after="40"/>
            </w:pPr>
            <w:r>
              <w:t>98 of 1985</w:t>
            </w:r>
          </w:p>
        </w:tc>
        <w:tc>
          <w:tcPr>
            <w:tcW w:w="1136"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7" w:type="dxa"/>
          </w:tcPr>
          <w:p>
            <w:pPr>
              <w:pStyle w:val="nTable"/>
              <w:spacing w:after="40"/>
              <w:ind w:right="113"/>
            </w:pPr>
            <w:r>
              <w:rPr>
                <w:i/>
              </w:rPr>
              <w:t>Firearms Amendment Act 1987</w:t>
            </w:r>
          </w:p>
        </w:tc>
        <w:tc>
          <w:tcPr>
            <w:tcW w:w="1134" w:type="dxa"/>
          </w:tcPr>
          <w:p>
            <w:pPr>
              <w:pStyle w:val="nTable"/>
              <w:spacing w:after="40"/>
            </w:pPr>
            <w:r>
              <w:t>70 of 1987</w:t>
            </w:r>
          </w:p>
        </w:tc>
        <w:tc>
          <w:tcPr>
            <w:tcW w:w="1136" w:type="dxa"/>
          </w:tcPr>
          <w:p>
            <w:pPr>
              <w:pStyle w:val="nTable"/>
              <w:spacing w:after="40"/>
            </w:pPr>
            <w:r>
              <w:t>22 Nov 1987</w:t>
            </w:r>
          </w:p>
        </w:tc>
        <w:tc>
          <w:tcPr>
            <w:tcW w:w="2551" w:type="dxa"/>
          </w:tcPr>
          <w:p>
            <w:pPr>
              <w:pStyle w:val="nTable"/>
              <w:spacing w:after="40"/>
            </w:pPr>
            <w:r>
              <w:t>s. 1 and 2: 22 Nov 1987;</w:t>
            </w:r>
            <w:r>
              <w:br/>
              <w:t xml:space="preserve">Act other than s. 1 and 2: 1 Oct 1989 (see s. 2 and </w:t>
            </w:r>
            <w:r>
              <w:rPr>
                <w:i/>
              </w:rPr>
              <w:t>Gazette</w:t>
            </w:r>
            <w:r>
              <w:t xml:space="preserve"> 29 Sep 1989 p. 3665)</w:t>
            </w:r>
          </w:p>
        </w:tc>
      </w:tr>
      <w:tr>
        <w:trPr>
          <w:cantSplit/>
        </w:trPr>
        <w:tc>
          <w:tcPr>
            <w:tcW w:w="2267"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7" w:type="dxa"/>
          </w:tcPr>
          <w:p>
            <w:pPr>
              <w:pStyle w:val="nTable"/>
              <w:spacing w:after="40"/>
              <w:ind w:right="113"/>
            </w:pPr>
            <w:r>
              <w:rPr>
                <w:i/>
              </w:rPr>
              <w:t xml:space="preserve">Statutes (Repeals and Minor Amendments) Act 1994 </w:t>
            </w:r>
            <w:r>
              <w:t>s. 4</w:t>
            </w:r>
          </w:p>
        </w:tc>
        <w:tc>
          <w:tcPr>
            <w:tcW w:w="1134" w:type="dxa"/>
          </w:tcPr>
          <w:p>
            <w:pPr>
              <w:pStyle w:val="nTable"/>
              <w:keepNext/>
              <w:spacing w:after="40"/>
            </w:pPr>
            <w:r>
              <w:t>73 of 1994</w:t>
            </w:r>
          </w:p>
        </w:tc>
        <w:tc>
          <w:tcPr>
            <w:tcW w:w="1136" w:type="dxa"/>
          </w:tcPr>
          <w:p>
            <w:pPr>
              <w:pStyle w:val="nTable"/>
              <w:keepNext/>
              <w:spacing w:after="40"/>
            </w:pPr>
            <w:r>
              <w:t>9 Dec 1994</w:t>
            </w:r>
          </w:p>
        </w:tc>
        <w:tc>
          <w:tcPr>
            <w:tcW w:w="2551" w:type="dxa"/>
          </w:tcPr>
          <w:p>
            <w:pPr>
              <w:pStyle w:val="nTable"/>
              <w:keepNext/>
              <w:spacing w:after="40"/>
            </w:pPr>
            <w:r>
              <w:t>9 Dec 1994 (see s. 2)</w:t>
            </w:r>
          </w:p>
        </w:tc>
      </w:tr>
      <w:tr>
        <w:trPr>
          <w:cantSplit/>
        </w:trPr>
        <w:tc>
          <w:tcPr>
            <w:tcW w:w="2267" w:type="dxa"/>
          </w:tcPr>
          <w:p>
            <w:pPr>
              <w:pStyle w:val="nTable"/>
              <w:spacing w:after="40"/>
              <w:ind w:right="113"/>
            </w:pPr>
            <w:r>
              <w:rPr>
                <w:i/>
              </w:rPr>
              <w:t>Firearms Amendment Act 1994</w:t>
            </w:r>
          </w:p>
        </w:tc>
        <w:tc>
          <w:tcPr>
            <w:tcW w:w="1134" w:type="dxa"/>
          </w:tcPr>
          <w:p>
            <w:pPr>
              <w:pStyle w:val="nTable"/>
              <w:spacing w:after="40"/>
            </w:pPr>
            <w:r>
              <w:t>90 of 1994</w:t>
            </w:r>
          </w:p>
        </w:tc>
        <w:tc>
          <w:tcPr>
            <w:tcW w:w="1136" w:type="dxa"/>
          </w:tcPr>
          <w:p>
            <w:pPr>
              <w:pStyle w:val="nTable"/>
              <w:spacing w:after="40"/>
            </w:pPr>
            <w:r>
              <w:t>5 Jan 1995</w:t>
            </w:r>
          </w:p>
        </w:tc>
        <w:tc>
          <w:tcPr>
            <w:tcW w:w="2551" w:type="dxa"/>
          </w:tcPr>
          <w:p>
            <w:pPr>
              <w:pStyle w:val="nTable"/>
              <w:spacing w:after="40"/>
            </w:pPr>
            <w:r>
              <w:t>5 Jan 1995 (see s. 2)</w:t>
            </w:r>
          </w:p>
        </w:tc>
      </w:tr>
      <w:tr>
        <w:trPr>
          <w:cantSplit/>
        </w:trPr>
        <w:tc>
          <w:tcPr>
            <w:tcW w:w="2267" w:type="dxa"/>
          </w:tcPr>
          <w:p>
            <w:pPr>
              <w:pStyle w:val="nTable"/>
              <w:spacing w:after="40"/>
              <w:ind w:right="113"/>
            </w:pPr>
            <w:r>
              <w:rPr>
                <w:i/>
              </w:rPr>
              <w:t xml:space="preserve">Sentencing (Consequential Provisions) Act 1995 </w:t>
            </w:r>
            <w:r>
              <w:t>Pt. 33</w:t>
            </w:r>
          </w:p>
        </w:tc>
        <w:tc>
          <w:tcPr>
            <w:tcW w:w="1134" w:type="dxa"/>
          </w:tcPr>
          <w:p>
            <w:pPr>
              <w:pStyle w:val="nTable"/>
              <w:keepNext/>
              <w:keepLines/>
              <w:spacing w:after="40"/>
            </w:pPr>
            <w:r>
              <w:t>78 of 1995</w:t>
            </w:r>
          </w:p>
        </w:tc>
        <w:tc>
          <w:tcPr>
            <w:tcW w:w="1136" w:type="dxa"/>
          </w:tcPr>
          <w:p>
            <w:pPr>
              <w:pStyle w:val="nTable"/>
              <w:keepNext/>
              <w:keepLines/>
              <w:spacing w:after="40"/>
            </w:pPr>
            <w:r>
              <w:t>16 Jan 1996</w:t>
            </w:r>
          </w:p>
        </w:tc>
        <w:tc>
          <w:tcPr>
            <w:tcW w:w="2551" w:type="dxa"/>
          </w:tcPr>
          <w:p>
            <w:pPr>
              <w:pStyle w:val="nTable"/>
              <w:keepNext/>
              <w:keepLines/>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 xml:space="preserve">Security and Related Activities (Control) Act 1996 </w:t>
            </w:r>
            <w:r>
              <w:t>s. 96</w:t>
            </w:r>
          </w:p>
        </w:tc>
        <w:tc>
          <w:tcPr>
            <w:tcW w:w="1134" w:type="dxa"/>
          </w:tcPr>
          <w:p>
            <w:pPr>
              <w:pStyle w:val="nTable"/>
              <w:spacing w:after="40"/>
            </w:pPr>
            <w:r>
              <w:t>27 of 1996</w:t>
            </w:r>
          </w:p>
        </w:tc>
        <w:tc>
          <w:tcPr>
            <w:tcW w:w="1136" w:type="dxa"/>
          </w:tcPr>
          <w:p>
            <w:pPr>
              <w:pStyle w:val="nTable"/>
              <w:spacing w:after="40"/>
            </w:pPr>
            <w:r>
              <w:t>22 Jul 1996</w:t>
            </w:r>
          </w:p>
        </w:tc>
        <w:tc>
          <w:tcPr>
            <w:tcW w:w="2551" w:type="dxa"/>
          </w:tcPr>
          <w:p>
            <w:pPr>
              <w:pStyle w:val="nTable"/>
              <w:spacing w:after="40"/>
            </w:pPr>
            <w:r>
              <w:t xml:space="preserve">1 Apr 1997 (see s. 2 and </w:t>
            </w:r>
            <w:r>
              <w:rPr>
                <w:i/>
              </w:rPr>
              <w:t>Gazette</w:t>
            </w:r>
            <w:r>
              <w:t xml:space="preserve"> 27 Mar 1997 p. 1693)</w:t>
            </w:r>
          </w:p>
        </w:tc>
      </w:tr>
      <w:tr>
        <w:trPr>
          <w:cantSplit/>
        </w:trPr>
        <w:tc>
          <w:tcPr>
            <w:tcW w:w="2267"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7" w:type="dxa"/>
          </w:tcPr>
          <w:p>
            <w:pPr>
              <w:pStyle w:val="nTable"/>
              <w:spacing w:after="40"/>
              <w:ind w:right="113"/>
              <w:rPr>
                <w:vertAlign w:val="superscript"/>
              </w:rPr>
            </w:pPr>
            <w:r>
              <w:rPr>
                <w:i/>
              </w:rPr>
              <w:t>Firearms Amendment Act 1996</w:t>
            </w:r>
            <w:r>
              <w:rPr>
                <w:i/>
                <w:vertAlign w:val="superscript"/>
              </w:rPr>
              <w:t> </w:t>
            </w:r>
            <w:r>
              <w:rPr>
                <w:iCs/>
                <w:vertAlign w:val="superscript"/>
              </w:rPr>
              <w:t>4</w:t>
            </w:r>
          </w:p>
        </w:tc>
        <w:tc>
          <w:tcPr>
            <w:tcW w:w="1134" w:type="dxa"/>
          </w:tcPr>
          <w:p>
            <w:pPr>
              <w:pStyle w:val="nTable"/>
              <w:spacing w:after="40"/>
            </w:pPr>
            <w:r>
              <w:t>59 of 1996</w:t>
            </w:r>
          </w:p>
        </w:tc>
        <w:tc>
          <w:tcPr>
            <w:tcW w:w="1136" w:type="dxa"/>
          </w:tcPr>
          <w:p>
            <w:pPr>
              <w:pStyle w:val="nTable"/>
              <w:spacing w:after="40"/>
            </w:pPr>
            <w:r>
              <w:t>11 Nov 1996</w:t>
            </w:r>
          </w:p>
        </w:tc>
        <w:tc>
          <w:tcPr>
            <w:tcW w:w="2551" w:type="dxa"/>
          </w:tcPr>
          <w:p>
            <w:pPr>
              <w:pStyle w:val="nTable"/>
              <w:spacing w:after="40"/>
            </w:pPr>
            <w:r>
              <w:t>s. 1 and 3: 11 Nov 1996;</w:t>
            </w:r>
            <w:r>
              <w:br/>
              <w:t xml:space="preserve">Act other than s. 1, 3 and 16: 6 Dec 1996 (see s. 3(1) and </w:t>
            </w:r>
            <w:r>
              <w:rPr>
                <w:i/>
              </w:rPr>
              <w:t>Gazette</w:t>
            </w:r>
            <w:r>
              <w:t xml:space="preserve"> 6 Dec 1996 p. 6699); s. 16: 1 Apr 1997 (see s. 3(2)(a) and </w:t>
            </w:r>
            <w:r>
              <w:rPr>
                <w:i/>
              </w:rPr>
              <w:t>Gazette</w:t>
            </w:r>
            <w:r>
              <w:t xml:space="preserve"> 27 Mar 1997 p. 1693)</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as at 22 Jan 1997</w:t>
            </w:r>
            <w:r>
              <w:rPr>
                <w:iCs/>
              </w:rPr>
              <w:t xml:space="preserve"> (includes amendments listed above except those in the </w:t>
            </w:r>
            <w:r>
              <w:rPr>
                <w:i/>
              </w:rPr>
              <w:t xml:space="preserve">Security and Related Activities (Control) Act 1996 </w:t>
            </w:r>
            <w:r>
              <w:rPr>
                <w:iCs/>
              </w:rPr>
              <w:t>and the</w:t>
            </w:r>
            <w:r>
              <w:rPr>
                <w:i/>
              </w:rPr>
              <w:t xml:space="preserve"> Firearms Amendment Act 1996 </w:t>
            </w:r>
            <w:r>
              <w:rPr>
                <w:iCs/>
              </w:rPr>
              <w:t>s. 16)</w:t>
            </w:r>
          </w:p>
        </w:tc>
      </w:tr>
      <w:tr>
        <w:trPr>
          <w:cantSplit/>
        </w:trPr>
        <w:tc>
          <w:tcPr>
            <w:tcW w:w="2267" w:type="dxa"/>
          </w:tcPr>
          <w:p>
            <w:pPr>
              <w:pStyle w:val="nTable"/>
              <w:spacing w:after="40"/>
              <w:ind w:right="113"/>
            </w:pPr>
            <w:r>
              <w:rPr>
                <w:i/>
              </w:rPr>
              <w:t xml:space="preserve">Restraining Orders Act 1997 </w:t>
            </w:r>
            <w:r>
              <w:t>s. 84</w:t>
            </w:r>
          </w:p>
        </w:tc>
        <w:tc>
          <w:tcPr>
            <w:tcW w:w="1134" w:type="dxa"/>
          </w:tcPr>
          <w:p>
            <w:pPr>
              <w:pStyle w:val="nTable"/>
              <w:spacing w:after="40"/>
            </w:pPr>
            <w:r>
              <w:t>19 of 1997</w:t>
            </w:r>
          </w:p>
        </w:tc>
        <w:tc>
          <w:tcPr>
            <w:tcW w:w="1136"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7" w:type="dxa"/>
          </w:tcPr>
          <w:p>
            <w:pPr>
              <w:pStyle w:val="nTable"/>
              <w:spacing w:after="40"/>
              <w:ind w:right="113"/>
            </w:pPr>
            <w:r>
              <w:rPr>
                <w:i/>
              </w:rPr>
              <w:t xml:space="preserve">Weapons Act 1999 </w:t>
            </w:r>
            <w:r>
              <w:t>s. 21</w:t>
            </w:r>
          </w:p>
        </w:tc>
        <w:tc>
          <w:tcPr>
            <w:tcW w:w="1134" w:type="dxa"/>
          </w:tcPr>
          <w:p>
            <w:pPr>
              <w:pStyle w:val="nTable"/>
              <w:spacing w:after="40"/>
            </w:pPr>
            <w:r>
              <w:t>18 of 1999</w:t>
            </w:r>
          </w:p>
        </w:tc>
        <w:tc>
          <w:tcPr>
            <w:tcW w:w="1136" w:type="dxa"/>
          </w:tcPr>
          <w:p>
            <w:pPr>
              <w:pStyle w:val="nTable"/>
              <w:spacing w:after="40"/>
            </w:pPr>
            <w:r>
              <w:t>16 Jun 1999</w:t>
            </w:r>
          </w:p>
        </w:tc>
        <w:tc>
          <w:tcPr>
            <w:tcW w:w="2551" w:type="dxa"/>
          </w:tcPr>
          <w:p>
            <w:pPr>
              <w:pStyle w:val="nTable"/>
              <w:spacing w:after="40"/>
            </w:pPr>
            <w:r>
              <w:t xml:space="preserve">1 Sep 1999 (see s. 2(1) and </w:t>
            </w:r>
            <w:r>
              <w:rPr>
                <w:i/>
              </w:rPr>
              <w:t>Gazette</w:t>
            </w:r>
            <w:r>
              <w:t xml:space="preserve"> 31 Aug 1999 p. 4235)</w:t>
            </w:r>
          </w:p>
        </w:tc>
      </w:tr>
      <w:tr>
        <w:trPr>
          <w:cantSplit/>
        </w:trPr>
        <w:tc>
          <w:tcPr>
            <w:tcW w:w="7087" w:type="dxa"/>
            <w:gridSpan w:val="4"/>
          </w:tcPr>
          <w:p>
            <w:pPr>
              <w:pStyle w:val="nTable"/>
              <w:spacing w:after="40"/>
            </w:pPr>
            <w:r>
              <w:rPr>
                <w:b/>
                <w:bCs/>
              </w:rPr>
              <w:t xml:space="preserve">Reprint of the </w:t>
            </w:r>
            <w:r>
              <w:rPr>
                <w:b/>
                <w:bCs/>
                <w:i/>
              </w:rPr>
              <w:t xml:space="preserve">Firearms Act 1973 </w:t>
            </w:r>
            <w:r>
              <w:rPr>
                <w:b/>
                <w:bCs/>
                <w:iCs/>
              </w:rPr>
              <w:t>as at 11 Aug 2000</w:t>
            </w:r>
            <w:r>
              <w:rPr>
                <w:iCs/>
              </w:rPr>
              <w:t xml:space="preserve"> (includes amendments listed above)</w:t>
            </w:r>
          </w:p>
        </w:tc>
      </w:tr>
      <w:tr>
        <w:trPr>
          <w:cantSplit/>
        </w:trPr>
        <w:tc>
          <w:tcPr>
            <w:tcW w:w="2267"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tcPr>
          <w:p>
            <w:pPr>
              <w:pStyle w:val="nTable"/>
              <w:spacing w:after="40"/>
              <w:ind w:right="113"/>
            </w:pPr>
            <w:r>
              <w:rPr>
                <w:i/>
              </w:rPr>
              <w:t>Acts Amendment (Equality of Status) Act 2003</w:t>
            </w:r>
            <w:r>
              <w:t xml:space="preserve"> Pt. 21</w:t>
            </w:r>
          </w:p>
        </w:tc>
        <w:tc>
          <w:tcPr>
            <w:tcW w:w="1134" w:type="dxa"/>
          </w:tcPr>
          <w:p>
            <w:pPr>
              <w:pStyle w:val="nTable"/>
              <w:spacing w:after="40"/>
            </w:pPr>
            <w:r>
              <w:t>28 of 2003</w:t>
            </w:r>
          </w:p>
        </w:tc>
        <w:tc>
          <w:tcPr>
            <w:tcW w:w="1136"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7" w:type="dxa"/>
          </w:tcPr>
          <w:p>
            <w:pPr>
              <w:pStyle w:val="nTable"/>
              <w:spacing w:after="40"/>
              <w:ind w:right="113"/>
              <w:rPr>
                <w:i/>
              </w:rPr>
            </w:pPr>
            <w:r>
              <w:rPr>
                <w:i/>
              </w:rPr>
              <w:t xml:space="preserve">Sentencing Legislation Amendment and Repeal Act 2003 </w:t>
            </w:r>
            <w:r>
              <w:t>s. 62</w:t>
            </w:r>
          </w:p>
        </w:tc>
        <w:tc>
          <w:tcPr>
            <w:tcW w:w="1134" w:type="dxa"/>
          </w:tcPr>
          <w:p>
            <w:pPr>
              <w:pStyle w:val="nTable"/>
              <w:spacing w:after="40"/>
            </w:pPr>
            <w:r>
              <w:t>50 of 2003</w:t>
            </w:r>
          </w:p>
        </w:tc>
        <w:tc>
          <w:tcPr>
            <w:tcW w:w="1136"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2267" w:type="dxa"/>
          </w:tcPr>
          <w:p>
            <w:pPr>
              <w:pStyle w:val="nTable"/>
              <w:spacing w:after="40"/>
              <w:ind w:right="113"/>
              <w:rPr>
                <w:i/>
              </w:rPr>
            </w:pPr>
            <w:r>
              <w:rPr>
                <w:i/>
              </w:rPr>
              <w:t xml:space="preserve">Criminal Code Amendment Act 2004 </w:t>
            </w:r>
            <w: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7"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5</w:t>
            </w:r>
          </w:p>
        </w:tc>
        <w:tc>
          <w:tcPr>
            <w:tcW w:w="1134" w:type="dxa"/>
          </w:tcPr>
          <w:p>
            <w:pPr>
              <w:pStyle w:val="nTable"/>
              <w:spacing w:after="40"/>
            </w:pPr>
            <w:r>
              <w:rPr>
                <w:snapToGrid w:val="0"/>
              </w:rPr>
              <w:t>59 of 2004 (as amended by No. 2 of 2008 s. 77(13))</w:t>
            </w:r>
          </w:p>
        </w:tc>
        <w:tc>
          <w:tcPr>
            <w:tcW w:w="1136"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 xml:space="preserve">Gazette </w:t>
            </w:r>
            <w:r>
              <w:rPr>
                <w:snapToGrid w:val="0"/>
              </w:rPr>
              <w:t>31 Dec 2004 p. 7128)</w:t>
            </w:r>
          </w:p>
        </w:tc>
      </w:tr>
      <w:tr>
        <w:trPr>
          <w:cantSplit/>
        </w:trPr>
        <w:tc>
          <w:tcPr>
            <w:tcW w:w="2267" w:type="dxa"/>
          </w:tcPr>
          <w:p>
            <w:pPr>
              <w:pStyle w:val="nTable"/>
              <w:spacing w:after="40"/>
              <w:ind w:right="113"/>
              <w:rPr>
                <w:i/>
                <w:vertAlign w:val="superscript"/>
              </w:rPr>
            </w:pPr>
            <w:r>
              <w:rPr>
                <w:rFonts w:ascii="Times" w:hAnsi="Times"/>
                <w:i/>
              </w:rPr>
              <w:t>State Administrative Tribunal (Conferral of Jurisdiction) Amendment and Repeal Act 2004</w:t>
            </w:r>
            <w:r>
              <w:rPr>
                <w:rFonts w:ascii="Times" w:hAnsi="Times"/>
              </w:rPr>
              <w:t xml:space="preserve"> Pt. 2 Div. 49</w:t>
            </w:r>
            <w:r>
              <w:rPr>
                <w:rFonts w:ascii="Times" w:hAnsi="Times"/>
                <w:vertAlign w:val="superscript"/>
              </w:rPr>
              <w:t> </w:t>
            </w:r>
            <w:r>
              <w:rPr>
                <w:vertAlign w:val="superscript"/>
              </w:rPr>
              <w:t>6, 7</w:t>
            </w:r>
          </w:p>
        </w:tc>
        <w:tc>
          <w:tcPr>
            <w:tcW w:w="1134" w:type="dxa"/>
          </w:tcPr>
          <w:p>
            <w:pPr>
              <w:pStyle w:val="nTable"/>
              <w:spacing w:after="40"/>
            </w:pPr>
            <w:r>
              <w:rPr>
                <w:rFonts w:ascii="Times" w:hAnsi="Times"/>
              </w:rPr>
              <w:t>55 of 2004</w:t>
            </w:r>
          </w:p>
        </w:tc>
        <w:tc>
          <w:tcPr>
            <w:tcW w:w="1136" w:type="dxa"/>
          </w:tcPr>
          <w:p>
            <w:pPr>
              <w:pStyle w:val="nTable"/>
              <w:spacing w:after="40"/>
            </w:pPr>
            <w:r>
              <w:rPr>
                <w:rFonts w:ascii="Times" w:hAnsi="Times"/>
              </w:rP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2267" w:type="dxa"/>
          </w:tcPr>
          <w:p>
            <w:pPr>
              <w:pStyle w:val="nTable"/>
              <w:spacing w:after="40"/>
              <w:ind w:right="113"/>
            </w:pPr>
            <w:r>
              <w:rPr>
                <w:i/>
              </w:rPr>
              <w:t>Firearms Amendment Act 2004</w:t>
            </w:r>
            <w:r>
              <w:rPr>
                <w:vertAlign w:val="superscript"/>
              </w:rPr>
              <w:t> 8, 9</w:t>
            </w:r>
          </w:p>
        </w:tc>
        <w:tc>
          <w:tcPr>
            <w:tcW w:w="1134" w:type="dxa"/>
          </w:tcPr>
          <w:p>
            <w:pPr>
              <w:pStyle w:val="nTable"/>
              <w:spacing w:after="40"/>
            </w:pPr>
            <w:r>
              <w:t>69 of 2004 (as amended by No. 8 of 2009 s. 59)</w:t>
            </w:r>
          </w:p>
        </w:tc>
        <w:tc>
          <w:tcPr>
            <w:tcW w:w="1136" w:type="dxa"/>
          </w:tcPr>
          <w:p>
            <w:pPr>
              <w:pStyle w:val="nTable"/>
              <w:spacing w:after="40"/>
            </w:pPr>
            <w:r>
              <w:t>8 Dec 2004</w:t>
            </w:r>
          </w:p>
        </w:tc>
        <w:tc>
          <w:tcPr>
            <w:tcW w:w="2551" w:type="dxa"/>
          </w:tcPr>
          <w:p>
            <w:pPr>
              <w:pStyle w:val="nTable"/>
              <w:spacing w:after="40"/>
            </w:pPr>
            <w:r>
              <w:t>s. 1, 2, 13 and 21: 8 Dec 2004 (see s. 2(3));</w:t>
            </w:r>
            <w:r>
              <w:br/>
            </w:r>
            <w:r>
              <w:rPr>
                <w:spacing w:val="-2"/>
              </w:rPr>
              <w:t xml:space="preserve">Act other than s. 1, 2, 13, 17, 21, 22(4)(a) and 26: 1 Jan 2005 (see s. 2 and </w:t>
            </w:r>
            <w:r>
              <w:rPr>
                <w:i/>
                <w:spacing w:val="-2"/>
              </w:rPr>
              <w:t>Gazette</w:t>
            </w:r>
            <w:r>
              <w:rPr>
                <w:spacing w:val="-2"/>
              </w:rPr>
              <w:t xml:space="preserve"> 24 Dec 2004 p. 6265);</w:t>
            </w:r>
            <w:r>
              <w:rPr>
                <w:spacing w:val="-2"/>
              </w:rPr>
              <w:br/>
              <w:t xml:space="preserve">s. 17: 1 Feb 2005 (see s. 2 and </w:t>
            </w:r>
            <w:r>
              <w:rPr>
                <w:i/>
                <w:spacing w:val="-2"/>
              </w:rPr>
              <w:t xml:space="preserve">Gazette </w:t>
            </w:r>
            <w:r>
              <w:rPr>
                <w:spacing w:val="-2"/>
              </w:rPr>
              <w:t>24 Dec 2004 p. 6265);</w:t>
            </w:r>
            <w:r>
              <w:rPr>
                <w:spacing w:val="-2"/>
              </w:rPr>
              <w:br/>
              <w:t>s. 22(4)(a) and 26 deleted by No. 8 of 2009 s. 59</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spacing w:after="40"/>
              <w:rPr>
                <w:snapToGrid w:val="0"/>
              </w:rPr>
            </w:pPr>
            <w:r>
              <w:rPr>
                <w:snapToGrid w:val="0"/>
              </w:rPr>
              <w:t>84 of 2004</w:t>
            </w:r>
          </w:p>
        </w:tc>
        <w:tc>
          <w:tcPr>
            <w:tcW w:w="1136"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bCs/>
                <w:snapToGrid w:val="0"/>
              </w:rPr>
              <w:t xml:space="preserve">Reprint 4: The </w:t>
            </w:r>
            <w:r>
              <w:rPr>
                <w:b/>
                <w:bCs/>
                <w:i/>
                <w:iCs/>
                <w:snapToGrid w:val="0"/>
              </w:rPr>
              <w:t>Firearms Act 1973</w:t>
            </w:r>
            <w:r>
              <w:rPr>
                <w:b/>
                <w:bCs/>
                <w:snapToGrid w:val="0"/>
              </w:rPr>
              <w:t xml:space="preserve"> as at 1 Jul 2005</w:t>
            </w:r>
            <w:r>
              <w:rPr>
                <w:snapToGrid w:val="0"/>
              </w:rPr>
              <w:t xml:space="preserve"> (includes amendments listed above)</w:t>
            </w:r>
          </w:p>
        </w:tc>
      </w:tr>
      <w:tr>
        <w:trPr>
          <w:cantSplit/>
        </w:trPr>
        <w:tc>
          <w:tcPr>
            <w:tcW w:w="2267" w:type="dxa"/>
          </w:tcPr>
          <w:p>
            <w:pPr>
              <w:pStyle w:val="nTable"/>
              <w:spacing w:after="40"/>
              <w:rPr>
                <w:snapToGrid w:val="0"/>
              </w:rPr>
            </w:pPr>
            <w:r>
              <w:rPr>
                <w:i/>
                <w:noProof/>
                <w:snapToGrid w:val="0"/>
              </w:rPr>
              <w:t>Psychologists Act 2005</w:t>
            </w:r>
            <w:r>
              <w:rPr>
                <w:iCs/>
                <w:noProof/>
                <w:snapToGrid w:val="0"/>
              </w:rPr>
              <w:t xml:space="preserve"> Sch. 3 cl. 4</w:t>
            </w:r>
          </w:p>
        </w:tc>
        <w:tc>
          <w:tcPr>
            <w:tcW w:w="1134" w:type="dxa"/>
          </w:tcPr>
          <w:p>
            <w:pPr>
              <w:pStyle w:val="nTable"/>
              <w:spacing w:after="40"/>
              <w:rPr>
                <w:snapToGrid w:val="0"/>
              </w:rPr>
            </w:pPr>
            <w:r>
              <w:rPr>
                <w:snapToGrid w:val="0"/>
              </w:rPr>
              <w:t>28 of 2005</w:t>
            </w:r>
          </w:p>
        </w:tc>
        <w:tc>
          <w:tcPr>
            <w:tcW w:w="1136" w:type="dxa"/>
          </w:tcPr>
          <w:p>
            <w:pPr>
              <w:pStyle w:val="nTable"/>
              <w:spacing w:after="40"/>
              <w:rPr>
                <w:snapToGrid w:val="0"/>
              </w:rPr>
            </w:pPr>
            <w:r>
              <w:rPr>
                <w:snapToGrid w:val="0"/>
              </w:rPr>
              <w:t>12 Dec 2005</w:t>
            </w:r>
          </w:p>
        </w:tc>
        <w:tc>
          <w:tcPr>
            <w:tcW w:w="2551" w:type="dxa"/>
          </w:tcPr>
          <w:p>
            <w:pPr>
              <w:pStyle w:val="nTable"/>
              <w:spacing w:after="40"/>
              <w:rPr>
                <w:snapToGrid w:val="0"/>
              </w:rPr>
            </w:pPr>
            <w:r>
              <w:rPr>
                <w:snapToGrid w:val="0"/>
              </w:rPr>
              <w:t xml:space="preserve">4 May 2007 (see s. 2 and </w:t>
            </w:r>
            <w:r>
              <w:rPr>
                <w:i/>
                <w:iCs/>
                <w:snapToGrid w:val="0"/>
              </w:rPr>
              <w:t>Gazette</w:t>
            </w:r>
            <w:r>
              <w:rPr>
                <w:snapToGrid w:val="0"/>
              </w:rPr>
              <w:t xml:space="preserve"> 4 May 2007 p. 1963)</w:t>
            </w:r>
          </w:p>
        </w:tc>
      </w:tr>
      <w:tr>
        <w:trPr>
          <w:cantSplit/>
        </w:trPr>
        <w:tc>
          <w:tcPr>
            <w:tcW w:w="2267" w:type="dxa"/>
          </w:tcPr>
          <w:p>
            <w:pPr>
              <w:pStyle w:val="nTable"/>
              <w:spacing w:after="40"/>
              <w:rPr>
                <w:i/>
                <w:noProof/>
                <w:snapToGrid w:val="0"/>
              </w:rPr>
            </w:pPr>
            <w:r>
              <w:rPr>
                <w:i/>
                <w:noProof/>
                <w:snapToGrid w:val="0"/>
              </w:rPr>
              <w:t>Nurses and Midwives Act 2006</w:t>
            </w:r>
            <w:r>
              <w:rPr>
                <w:noProof/>
                <w:snapToGrid w:val="0"/>
              </w:rPr>
              <w:t xml:space="preserve"> Sch. 3 cl. 8</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7" w:type="dxa"/>
          </w:tcPr>
          <w:p>
            <w:pPr>
              <w:pStyle w:val="nTable"/>
              <w:spacing w:after="40"/>
              <w:rPr>
                <w:i/>
                <w:noProof/>
                <w:snapToGrid w:val="0"/>
              </w:rPr>
            </w:pPr>
            <w:r>
              <w:rPr>
                <w:i/>
                <w:snapToGrid w:val="0"/>
              </w:rPr>
              <w:t>Criminal Investigation (Consequential Provisions) Act 2006</w:t>
            </w:r>
            <w:r>
              <w:rPr>
                <w:iCs/>
                <w:snapToGrid w:val="0"/>
              </w:rPr>
              <w:t xml:space="preserve"> s. 73</w:t>
            </w:r>
          </w:p>
        </w:tc>
        <w:tc>
          <w:tcPr>
            <w:tcW w:w="1134" w:type="dxa"/>
          </w:tcPr>
          <w:p>
            <w:pPr>
              <w:pStyle w:val="nTable"/>
              <w:spacing w:after="40"/>
              <w:rPr>
                <w:snapToGrid w:val="0"/>
              </w:rPr>
            </w:pPr>
            <w:r>
              <w:rPr>
                <w:snapToGrid w:val="0"/>
              </w:rPr>
              <w:t>59 of 2006</w:t>
            </w:r>
          </w:p>
        </w:tc>
        <w:tc>
          <w:tcPr>
            <w:tcW w:w="1136" w:type="dxa"/>
          </w:tcPr>
          <w:p>
            <w:pPr>
              <w:pStyle w:val="nTable"/>
              <w:spacing w:after="40"/>
              <w:rPr>
                <w:snapToGrid w:val="0"/>
              </w:rPr>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7" w:type="dxa"/>
          </w:tcPr>
          <w:p>
            <w:pPr>
              <w:pStyle w:val="nTable"/>
              <w:spacing w:after="40"/>
              <w:ind w:right="113"/>
              <w:rPr>
                <w:i/>
                <w:snapToGrid w:val="0"/>
              </w:rPr>
            </w:pPr>
            <w:r>
              <w:rPr>
                <w:i/>
                <w:snapToGrid w:val="0"/>
              </w:rPr>
              <w:t xml:space="preserve">Financial Legislation Amendment and Repeal Act 2006 </w:t>
            </w:r>
            <w:r>
              <w:rPr>
                <w:iCs/>
                <w:snapToGrid w:val="0"/>
              </w:rPr>
              <w:t>s. 4 and Sch. 1 cl. 66</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c>
          <w:tcPr>
            <w:tcW w:w="2267" w:type="dxa"/>
            <w:tcBorders>
              <w:top w:val="nil"/>
              <w:bottom w:val="nil"/>
              <w:right w:val="nil"/>
            </w:tcBorders>
          </w:tcPr>
          <w:p>
            <w:pPr>
              <w:pStyle w:val="nTable"/>
              <w:spacing w:after="40"/>
              <w:rPr>
                <w:snapToGrid w:val="0"/>
              </w:rPr>
            </w:pPr>
            <w:r>
              <w:rPr>
                <w:i/>
                <w:snapToGrid w:val="0"/>
              </w:rPr>
              <w:t xml:space="preserve">Biosecurity and Agriculture Management (Repeal and Consequential Provisions) Act 2007 </w:t>
            </w:r>
            <w:r>
              <w:rPr>
                <w:snapToGrid w:val="0"/>
              </w:rPr>
              <w:t>s. 30A</w:t>
            </w:r>
            <w:r>
              <w:rPr>
                <w:snapToGrid w:val="0"/>
                <w:vertAlign w:val="superscript"/>
              </w:rPr>
              <w:t> 10</w:t>
            </w:r>
          </w:p>
        </w:tc>
        <w:tc>
          <w:tcPr>
            <w:tcW w:w="1134" w:type="dxa"/>
            <w:tcBorders>
              <w:top w:val="nil"/>
              <w:left w:val="nil"/>
              <w:bottom w:val="nil"/>
              <w:right w:val="nil"/>
            </w:tcBorders>
          </w:tcPr>
          <w:p>
            <w:pPr>
              <w:pStyle w:val="nTable"/>
              <w:spacing w:after="40"/>
              <w:rPr>
                <w:snapToGrid w:val="0"/>
              </w:rPr>
            </w:pPr>
            <w:r>
              <w:rPr>
                <w:snapToGrid w:val="0"/>
              </w:rPr>
              <w:t>24 of 2007 (as amended by No. 46 of 2010 s. 59)</w:t>
            </w:r>
          </w:p>
        </w:tc>
        <w:tc>
          <w:tcPr>
            <w:tcW w:w="1136" w:type="dxa"/>
            <w:tcBorders>
              <w:top w:val="nil"/>
              <w:left w:val="nil"/>
              <w:bottom w:val="nil"/>
              <w:right w:val="nil"/>
            </w:tcBorders>
          </w:tcPr>
          <w:p>
            <w:pPr>
              <w:pStyle w:val="nTable"/>
              <w:spacing w:after="40"/>
              <w:rPr>
                <w:snapToGrid w:val="0"/>
              </w:rPr>
            </w:pPr>
            <w:r>
              <w:rPr>
                <w:snapToGrid w:val="0"/>
              </w:rPr>
              <w:t>12 Oct 2007</w:t>
            </w:r>
          </w:p>
        </w:tc>
        <w:tc>
          <w:tcPr>
            <w:tcW w:w="2551" w:type="dxa"/>
            <w:tcBorders>
              <w:top w:val="nil"/>
              <w:left w:val="nil"/>
              <w:bottom w:val="nil"/>
            </w:tcBorders>
          </w:tcPr>
          <w:p>
            <w:pPr>
              <w:pStyle w:val="nTable"/>
              <w:spacing w:after="40"/>
              <w:rPr>
                <w:snapToGrid w:val="0"/>
              </w:rPr>
            </w:pPr>
            <w:r>
              <w:rPr>
                <w:snapToGrid w:val="0"/>
              </w:rPr>
              <w:t xml:space="preserve">1 May 2013 (see s. 2(2) and </w:t>
            </w:r>
            <w:r>
              <w:rPr>
                <w:i/>
                <w:snapToGrid w:val="0"/>
              </w:rPr>
              <w:t>Gazette</w:t>
            </w:r>
            <w:r>
              <w:rPr>
                <w:snapToGrid w:val="0"/>
              </w:rPr>
              <w:t xml:space="preserve"> 5 Feb 2013 p. 823)</w:t>
            </w:r>
          </w:p>
        </w:tc>
      </w:tr>
      <w:tr>
        <w:trPr>
          <w:cantSplit/>
        </w:trPr>
        <w:tc>
          <w:tcPr>
            <w:tcW w:w="2267" w:type="dxa"/>
          </w:tcPr>
          <w:p>
            <w:pPr>
              <w:pStyle w:val="nTable"/>
              <w:spacing w:after="40"/>
              <w:ind w:right="113"/>
              <w:rPr>
                <w:i/>
                <w:snapToGrid w:val="0"/>
              </w:rPr>
            </w:pPr>
            <w:r>
              <w:rPr>
                <w:i/>
                <w:snapToGrid w:val="0"/>
              </w:rPr>
              <w:t>Security and Related Activities (Control) Amendment Act 2008</w:t>
            </w:r>
            <w:r>
              <w:rPr>
                <w:iCs/>
                <w:snapToGrid w:val="0"/>
              </w:rPr>
              <w:t xml:space="preserve"> s. 81</w:t>
            </w:r>
          </w:p>
        </w:tc>
        <w:tc>
          <w:tcPr>
            <w:tcW w:w="1134" w:type="dxa"/>
          </w:tcPr>
          <w:p>
            <w:pPr>
              <w:pStyle w:val="nTable"/>
              <w:spacing w:after="40"/>
              <w:rPr>
                <w:snapToGrid w:val="0"/>
              </w:rPr>
            </w:pPr>
            <w:r>
              <w:t>4 of 2008</w:t>
            </w:r>
          </w:p>
        </w:tc>
        <w:tc>
          <w:tcPr>
            <w:tcW w:w="1136" w:type="dxa"/>
          </w:tcPr>
          <w:p>
            <w:pPr>
              <w:pStyle w:val="nTable"/>
              <w:spacing w:after="40"/>
              <w:rPr>
                <w:snapToGrid w:val="0"/>
              </w:rPr>
            </w:pPr>
            <w:r>
              <w:t>2 Apr 2008</w:t>
            </w:r>
          </w:p>
        </w:tc>
        <w:tc>
          <w:tcPr>
            <w:tcW w:w="2551" w:type="dxa"/>
          </w:tcPr>
          <w:p>
            <w:pPr>
              <w:pStyle w:val="nTable"/>
              <w:spacing w:after="40"/>
              <w:rPr>
                <w:snapToGrid w:val="0"/>
              </w:rPr>
            </w:pPr>
            <w:r>
              <w:rPr>
                <w:snapToGrid w:val="0"/>
              </w:rPr>
              <w:t xml:space="preserve">13 Dec 2009 (see s. 2(b) and </w:t>
            </w:r>
            <w:r>
              <w:rPr>
                <w:i/>
                <w:iCs/>
                <w:snapToGrid w:val="0"/>
              </w:rPr>
              <w:t>Gazette</w:t>
            </w:r>
            <w:r>
              <w:rPr>
                <w:snapToGrid w:val="0"/>
              </w:rPr>
              <w:t xml:space="preserve"> 4 Dec 2009 p. 4919)</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snapToGrid w:val="0"/>
              </w:rPr>
              <w:t>Medical Practitioners Act 2008</w:t>
            </w:r>
            <w:r>
              <w:t xml:space="preserve"> Sch. 3 cl. 20</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bCs/>
                <w:snapToGrid w:val="0"/>
              </w:rPr>
              <w:t xml:space="preserve">Reprint 5: The </w:t>
            </w:r>
            <w:r>
              <w:rPr>
                <w:b/>
                <w:bCs/>
                <w:i/>
                <w:iCs/>
                <w:snapToGrid w:val="0"/>
              </w:rPr>
              <w:t>Firearms Act 1973</w:t>
            </w:r>
            <w:r>
              <w:rPr>
                <w:b/>
                <w:bCs/>
                <w:snapToGrid w:val="0"/>
              </w:rPr>
              <w:t xml:space="preserve"> as at 9 Jan 2009</w:t>
            </w:r>
            <w:r>
              <w:rPr>
                <w:snapToGrid w:val="0"/>
              </w:rPr>
              <w:t xml:space="preserve"> (includes amendments listed above except those in the </w:t>
            </w:r>
            <w:r>
              <w:rPr>
                <w:i/>
                <w:snapToGrid w:val="0"/>
              </w:rPr>
              <w:t>Biosecurity and Agriculture Management (Repeal and Consequential Provisions) Act 2007</w:t>
            </w:r>
            <w:r>
              <w:rPr>
                <w:snapToGrid w:val="0"/>
              </w:rPr>
              <w:t xml:space="preserve"> and</w:t>
            </w:r>
            <w:r>
              <w:rPr>
                <w:i/>
                <w:snapToGrid w:val="0"/>
              </w:rPr>
              <w:t xml:space="preserve"> </w:t>
            </w:r>
            <w:r>
              <w:rPr>
                <w:snapToGrid w:val="0"/>
              </w:rPr>
              <w:t xml:space="preserve">the </w:t>
            </w:r>
            <w:r>
              <w:rPr>
                <w:i/>
                <w:iCs/>
                <w:snapToGrid w:val="0"/>
              </w:rPr>
              <w:t>Security and Related Activities (Control) Amendment Act 2008</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Cs/>
              </w:rPr>
            </w:pPr>
            <w:r>
              <w:rPr>
                <w:i/>
                <w:snapToGrid w:val="0"/>
              </w:rPr>
              <w:t>Statutes (Repeals and Miscellaneous Amendments) Act 2009</w:t>
            </w:r>
            <w:r>
              <w:rPr>
                <w:iCs/>
                <w:snapToGrid w:val="0"/>
              </w:rPr>
              <w:t xml:space="preserve"> s. 58</w:t>
            </w:r>
          </w:p>
        </w:tc>
        <w:tc>
          <w:tcPr>
            <w:tcW w:w="1134" w:type="dxa"/>
            <w:tcBorders>
              <w:top w:val="nil"/>
              <w:bottom w:val="nil"/>
            </w:tcBorders>
          </w:tcPr>
          <w:p>
            <w:pPr>
              <w:pStyle w:val="nTable"/>
              <w:spacing w:after="40"/>
            </w:pPr>
            <w:r>
              <w:t>8 of 2009</w:t>
            </w:r>
          </w:p>
        </w:tc>
        <w:tc>
          <w:tcPr>
            <w:tcW w:w="1136" w:type="dxa"/>
            <w:tcBorders>
              <w:top w:val="nil"/>
              <w:bottom w:val="nil"/>
            </w:tcBorders>
          </w:tcPr>
          <w:p>
            <w:pPr>
              <w:pStyle w:val="nTable"/>
              <w:spacing w:after="40"/>
            </w:pPr>
            <w:r>
              <w:t>21 May 2009</w:t>
            </w:r>
          </w:p>
        </w:tc>
        <w:tc>
          <w:tcPr>
            <w:tcW w:w="2551" w:type="dxa"/>
            <w:tcBorders>
              <w:top w:val="nil"/>
              <w:bottom w:val="nil"/>
            </w:tcBorders>
          </w:tcPr>
          <w:p>
            <w:pPr>
              <w:pStyle w:val="nTable"/>
              <w:spacing w:after="40"/>
              <w:rPr>
                <w:snapToGrid w:val="0"/>
              </w:rPr>
            </w:pPr>
            <w:r>
              <w:rPr>
                <w:snapToGrid w:val="0"/>
              </w:rPr>
              <w:t>22 May 2009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20</w:t>
            </w:r>
          </w:p>
        </w:tc>
        <w:tc>
          <w:tcPr>
            <w:tcW w:w="1134" w:type="dxa"/>
            <w:tcBorders>
              <w:top w:val="nil"/>
              <w:bottom w:val="nil"/>
            </w:tcBorders>
          </w:tcPr>
          <w:p>
            <w:pPr>
              <w:pStyle w:val="nTable"/>
              <w:spacing w:after="40"/>
            </w:pPr>
            <w:r>
              <w:rPr>
                <w:snapToGrid w:val="0"/>
              </w:rPr>
              <w:t>35 of 2010</w:t>
            </w:r>
          </w:p>
        </w:tc>
        <w:tc>
          <w:tcPr>
            <w:tcW w:w="1136" w:type="dxa"/>
            <w:tcBorders>
              <w:top w:val="nil"/>
              <w:bottom w:val="nil"/>
            </w:tcBorders>
          </w:tcPr>
          <w:p>
            <w:pPr>
              <w:pStyle w:val="nTable"/>
              <w:spacing w:after="40"/>
            </w:pPr>
            <w:r>
              <w:rPr>
                <w:snapToGrid w:val="0"/>
              </w:rPr>
              <w:t>30 Aug 2010</w:t>
            </w:r>
          </w:p>
        </w:tc>
        <w:tc>
          <w:tcPr>
            <w:tcW w:w="2551"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7" w:type="dxa"/>
            <w:tcBorders>
              <w:top w:val="nil"/>
              <w:bottom w:val="nil"/>
            </w:tcBorders>
            <w:shd w:val="clear" w:color="auto" w:fill="auto"/>
          </w:tcPr>
          <w:p>
            <w:pPr>
              <w:pStyle w:val="nTable"/>
              <w:spacing w:after="40"/>
              <w:rPr>
                <w:i/>
                <w:snapToGrid w:val="0"/>
              </w:rPr>
            </w:pPr>
            <w:r>
              <w:rPr>
                <w:i/>
                <w:snapToGrid w:val="0"/>
              </w:rPr>
              <w:t>Agriculture and Related Resources Protection Amendment Act 2010</w:t>
            </w:r>
            <w:r>
              <w:rPr>
                <w:iCs/>
                <w:snapToGrid w:val="0"/>
              </w:rPr>
              <w:t> s. 69 </w:t>
            </w:r>
          </w:p>
        </w:tc>
        <w:tc>
          <w:tcPr>
            <w:tcW w:w="1134" w:type="dxa"/>
            <w:tcBorders>
              <w:top w:val="nil"/>
              <w:bottom w:val="nil"/>
            </w:tcBorders>
            <w:shd w:val="clear" w:color="auto" w:fill="auto"/>
          </w:tcPr>
          <w:p>
            <w:pPr>
              <w:pStyle w:val="nTable"/>
              <w:spacing w:after="40"/>
              <w:rPr>
                <w:snapToGrid w:val="0"/>
              </w:rPr>
            </w:pPr>
            <w:r>
              <w:rPr>
                <w:snapToGrid w:val="0"/>
              </w:rPr>
              <w:t>46 of 2010</w:t>
            </w:r>
          </w:p>
        </w:tc>
        <w:tc>
          <w:tcPr>
            <w:tcW w:w="1136" w:type="dxa"/>
            <w:tcBorders>
              <w:top w:val="nil"/>
              <w:bottom w:val="nil"/>
            </w:tcBorders>
            <w:shd w:val="clear" w:color="auto" w:fill="auto"/>
          </w:tcPr>
          <w:p>
            <w:pPr>
              <w:pStyle w:val="nTable"/>
              <w:spacing w:after="40"/>
              <w:rPr>
                <w:snapToGrid w:val="0"/>
              </w:rPr>
            </w:pPr>
            <w:r>
              <w:rPr>
                <w:snapToGrid w:val="0"/>
              </w:rPr>
              <w:t>28 Oct 2010</w:t>
            </w:r>
          </w:p>
        </w:tc>
        <w:tc>
          <w:tcPr>
            <w:tcW w:w="2551" w:type="dxa"/>
            <w:tcBorders>
              <w:top w:val="nil"/>
              <w:bottom w:val="nil"/>
            </w:tcBorders>
            <w:shd w:val="clear" w:color="auto" w:fill="auto"/>
          </w:tcPr>
          <w:p>
            <w:pPr>
              <w:pStyle w:val="nTable"/>
              <w:spacing w:after="40"/>
              <w:rPr>
                <w:snapToGrid w:val="0"/>
              </w:rPr>
            </w:pPr>
            <w:r>
              <w:rPr>
                <w:snapToGrid w:val="0"/>
              </w:rPr>
              <w:t xml:space="preserve">18 Dec 2010 (see s. 2(b) and </w:t>
            </w:r>
            <w:r>
              <w:rPr>
                <w:i/>
                <w:iCs/>
                <w:snapToGrid w:val="0"/>
              </w:rPr>
              <w:t>Gazette</w:t>
            </w:r>
            <w:r>
              <w:rPr>
                <w:snapToGrid w:val="0"/>
              </w:rPr>
              <w:t xml:space="preserve"> 17 Dec 2010 p. 6349)</w:t>
            </w:r>
          </w:p>
        </w:tc>
      </w:tr>
      <w:tr>
        <w:tblPrEx>
          <w:tblBorders>
            <w:top w:val="single" w:sz="8" w:space="0" w:color="auto"/>
            <w:bottom w:val="single" w:sz="8" w:space="0" w:color="auto"/>
            <w:insideH w:val="single" w:sz="8" w:space="0" w:color="auto"/>
          </w:tblBorders>
        </w:tblPrEx>
        <w:tc>
          <w:tcPr>
            <w:tcW w:w="7087"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6: The </w:t>
            </w:r>
            <w:r>
              <w:rPr>
                <w:b/>
                <w:i/>
                <w:noProof/>
                <w:snapToGrid w:val="0"/>
              </w:rPr>
              <w:t>Firearms Act 1973</w:t>
            </w:r>
            <w:r>
              <w:rPr>
                <w:b/>
                <w:snapToGrid w:val="0"/>
              </w:rPr>
              <w:t xml:space="preserve"> as at 13 Feb 2015</w:t>
            </w:r>
            <w:r>
              <w:rPr>
                <w:snapToGrid w:val="0"/>
              </w:rPr>
              <w:t xml:space="preserve"> (includes amendments listed above)</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Firearms and Guns Act 1931</w:t>
      </w:r>
      <w:r>
        <w:rPr>
          <w:snapToGrid w:val="0"/>
        </w:rPr>
        <w:t xml:space="preserve">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i/>
          <w:iCs/>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rPr>
          <w:snapToGrid w:val="0"/>
        </w:rPr>
      </w:pPr>
      <w:r>
        <w:rPr>
          <w:snapToGrid w:val="0"/>
          <w:vertAlign w:val="superscript"/>
        </w:rPr>
        <w:t>5</w:t>
      </w:r>
      <w:r>
        <w:rPr>
          <w:snapToGrid w:val="0"/>
        </w:rPr>
        <w:tab/>
        <w:t xml:space="preserve">The </w:t>
      </w:r>
      <w:r>
        <w:rPr>
          <w:i/>
          <w:snapToGrid w:val="0"/>
        </w:rPr>
        <w:t>Courts Legislation Amendment and Repeal Act 2004</w:t>
      </w:r>
      <w:r>
        <w:rPr>
          <w:snapToGrid w:val="0"/>
        </w:rPr>
        <w:t xml:space="preserve"> Sch. 2 cl. 19 was deleted by the </w:t>
      </w:r>
      <w:r>
        <w:rPr>
          <w:i/>
          <w:iCs/>
          <w:snapToGrid w:val="0"/>
        </w:rPr>
        <w:t>Criminal Law and Evidence Amendment Act 2008</w:t>
      </w:r>
      <w:r>
        <w:rPr>
          <w:snapToGrid w:val="0"/>
        </w:rPr>
        <w:t xml:space="preserve"> s. 77(13).</w:t>
      </w:r>
    </w:p>
    <w:p>
      <w:pPr>
        <w:pStyle w:val="nSubsection"/>
      </w:pPr>
      <w:r>
        <w:rPr>
          <w:snapToGrid w:val="0"/>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7</w:t>
      </w:r>
      <w:r>
        <w:tab/>
        <w:t xml:space="preserve">The </w:t>
      </w:r>
      <w:r>
        <w:rPr>
          <w:i/>
        </w:rPr>
        <w:t>State Administrative Tribunal Regulations 2004</w:t>
      </w:r>
      <w:r>
        <w:t xml:space="preserve"> r. 31 reads as follows:</w:t>
      </w:r>
    </w:p>
    <w:p>
      <w:pPr>
        <w:pStyle w:val="BlankOpen"/>
      </w:pPr>
    </w:p>
    <w:p>
      <w:pPr>
        <w:pStyle w:val="nzHeading5"/>
        <w:spacing w:before="40"/>
      </w:pPr>
      <w:r>
        <w:rPr>
          <w:rStyle w:val="CharSectno"/>
        </w:rPr>
        <w:t>31</w:t>
      </w:r>
      <w:r>
        <w:t>.</w:t>
      </w:r>
      <w:r>
        <w:tab/>
      </w:r>
      <w:r>
        <w:rPr>
          <w:i/>
        </w:rPr>
        <w:t>Firearms Act 1973</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BlankClose"/>
      </w:pPr>
    </w:p>
    <w:p>
      <w:pPr>
        <w:pStyle w:val="nSubsection"/>
      </w:pPr>
      <w:r>
        <w:rPr>
          <w:vertAlign w:val="superscript"/>
        </w:rPr>
        <w:t>8</w:t>
      </w:r>
      <w:r>
        <w:tab/>
        <w:t xml:space="preserve">The </w:t>
      </w:r>
      <w:r>
        <w:rPr>
          <w:i/>
        </w:rPr>
        <w:t>Firearms Amendment Act 2004</w:t>
      </w:r>
      <w:r>
        <w:t xml:space="preserve"> s. 15(3) reads as follows:</w:t>
      </w:r>
    </w:p>
    <w:p>
      <w:pPr>
        <w:pStyle w:val="BlankOpen"/>
      </w:pPr>
    </w:p>
    <w:p>
      <w:pPr>
        <w:pStyle w:val="nzSubsection"/>
        <w:spacing w:before="0"/>
        <w:rPr>
          <w:spacing w:val="-2"/>
        </w:rPr>
      </w:pPr>
      <w:r>
        <w:tab/>
        <w:t>(3)</w:t>
      </w:r>
      <w:r>
        <w:tab/>
      </w:r>
      <w:r>
        <w:rPr>
          <w:spacing w:val="-2"/>
        </w:rPr>
        <w:t xml:space="preserve">The amendments made by this section do not affect the validity of a licence or permit that a person already holds under the </w:t>
      </w:r>
      <w:r>
        <w:rPr>
          <w:i/>
          <w:spacing w:val="-2"/>
        </w:rPr>
        <w:t>Firearms Act 1973</w:t>
      </w:r>
      <w:r>
        <w:rPr>
          <w:spacing w:val="-2"/>
        </w:rPr>
        <w:t xml:space="preserve"> on the day on which this section comes into operation, but on or after that day the grant, issue, or renewal of a licence or permit has to be in accordance with that Act as amended by this section.</w:t>
      </w:r>
    </w:p>
    <w:p>
      <w:pPr>
        <w:pStyle w:val="BlankClose"/>
      </w:pPr>
    </w:p>
    <w:p>
      <w:pPr>
        <w:pStyle w:val="nSubsection"/>
        <w:rPr>
          <w:snapToGrid w:val="0"/>
        </w:rPr>
      </w:pPr>
      <w:r>
        <w:rPr>
          <w:snapToGrid w:val="0"/>
          <w:vertAlign w:val="superscript"/>
        </w:rPr>
        <w:t>9</w:t>
      </w:r>
      <w:r>
        <w:rPr>
          <w:snapToGrid w:val="0"/>
        </w:rPr>
        <w:tab/>
        <w:t xml:space="preserve">The </w:t>
      </w:r>
      <w:r>
        <w:rPr>
          <w:i/>
          <w:iCs/>
          <w:snapToGrid w:val="0"/>
        </w:rPr>
        <w:t>Firearms Amendment Act 2004</w:t>
      </w:r>
      <w:r>
        <w:rPr>
          <w:snapToGrid w:val="0"/>
        </w:rPr>
        <w:t xml:space="preserve"> s. 22(4)(a) and 26 had not come into operation when they were deleted by the </w:t>
      </w:r>
      <w:r>
        <w:rPr>
          <w:i/>
          <w:iCs/>
          <w:snapToGrid w:val="0"/>
        </w:rPr>
        <w:t>Statutes (Repeals and Miscellaneous Amendments) Act 2009</w:t>
      </w:r>
      <w:r>
        <w:rPr>
          <w:snapToGrid w:val="0"/>
        </w:rPr>
        <w:t xml:space="preserve"> s. 59.</w:t>
      </w:r>
    </w:p>
    <w:p>
      <w:pPr>
        <w:pStyle w:val="nSubsection"/>
      </w:pPr>
      <w:r>
        <w:rPr>
          <w:snapToGrid w:val="0"/>
          <w:vertAlign w:val="superscript"/>
        </w:rPr>
        <w:t>10</w:t>
      </w:r>
      <w:r>
        <w:rPr>
          <w:snapToGrid w:val="0"/>
        </w:rPr>
        <w:tab/>
        <w:t>T</w:t>
      </w:r>
      <w:r>
        <w:t xml:space="preserve">he </w:t>
      </w:r>
      <w:r>
        <w:rPr>
          <w:i/>
          <w:snapToGrid w:val="0"/>
        </w:rPr>
        <w:t>Biosecurity and Agriculture Management (Repeal and Consequential Provisions) Act 2007</w:t>
      </w:r>
      <w:r>
        <w:rPr>
          <w:iCs/>
          <w:snapToGrid w:val="0"/>
        </w:rPr>
        <w:t xml:space="preserve"> s. 37 </w:t>
      </w:r>
      <w:r>
        <w:t xml:space="preserve">had not come into operation when it was deleted by the </w:t>
      </w:r>
      <w:r>
        <w:rPr>
          <w:i/>
          <w:iCs/>
        </w:rPr>
        <w:t>Agriculture and Related Resources Protection Amendment Act 2010</w:t>
      </w:r>
      <w:r>
        <w:t xml:space="preserve"> s. 62. </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rPr>
          <w:sz w:val="28"/>
        </w:rPr>
      </w:pPr>
      <w:bookmarkStart w:id="119" w:name="_Toc412541181"/>
      <w:bookmarkStart w:id="120" w:name="_Toc412544174"/>
      <w:r>
        <w:rPr>
          <w:sz w:val="28"/>
        </w:rPr>
        <w:t>Defined terms</w:t>
      </w:r>
      <w:bookmarkEnd w:id="119"/>
      <w:bookmarkEnd w:id="1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agriculture inspector</w:t>
      </w:r>
      <w:r>
        <w:tab/>
        <w:t>17B(8)</w:t>
      </w:r>
    </w:p>
    <w:p>
      <w:pPr>
        <w:pStyle w:val="DefinedTerms"/>
      </w:pPr>
      <w:r>
        <w:t>ammunition</w:t>
      </w:r>
      <w:r>
        <w:tab/>
        <w:t>4</w:t>
      </w:r>
    </w:p>
    <w:p>
      <w:pPr>
        <w:pStyle w:val="DefinedTerms"/>
      </w:pPr>
      <w:r>
        <w:t>antique mechanism firearm</w:t>
      </w:r>
      <w:r>
        <w:tab/>
        <w:t>8(2)</w:t>
      </w:r>
    </w:p>
    <w:p>
      <w:pPr>
        <w:pStyle w:val="DefinedTerms"/>
      </w:pPr>
      <w:r>
        <w:t>approved</w:t>
      </w:r>
      <w:r>
        <w:tab/>
        <w:t>4, 8(2)</w:t>
      </w:r>
    </w:p>
    <w:p>
      <w:pPr>
        <w:pStyle w:val="DefinedTerms"/>
      </w:pPr>
      <w:r>
        <w:t>approved organisation</w:t>
      </w:r>
      <w:r>
        <w:tab/>
        <w:t>23BA(5)</w:t>
      </w:r>
    </w:p>
    <w:p>
      <w:pPr>
        <w:pStyle w:val="DefinedTerms"/>
      </w:pPr>
      <w:r>
        <w:t>approved shooting club</w:t>
      </w:r>
      <w:r>
        <w:tab/>
        <w:t>23BA(5)</w:t>
      </w:r>
    </w:p>
    <w:p>
      <w:pPr>
        <w:pStyle w:val="DefinedTerms"/>
      </w:pPr>
      <w:r>
        <w:t>authority</w:t>
      </w:r>
      <w:r>
        <w:tab/>
        <w:t>17B(8)</w:t>
      </w:r>
    </w:p>
    <w:p>
      <w:pPr>
        <w:pStyle w:val="DefinedTerms"/>
      </w:pPr>
      <w:r>
        <w:t>carry</w:t>
      </w:r>
      <w:r>
        <w:tab/>
        <w:t>4</w:t>
      </w:r>
    </w:p>
    <w:p>
      <w:pPr>
        <w:pStyle w:val="DefinedTerms"/>
      </w:pPr>
      <w:r>
        <w:t>Commissioner</w:t>
      </w:r>
      <w:r>
        <w:tab/>
        <w:t>4</w:t>
      </w:r>
    </w:p>
    <w:p>
      <w:pPr>
        <w:pStyle w:val="DefinedTerms"/>
      </w:pPr>
      <w:r>
        <w:t>Corporate Licence</w:t>
      </w:r>
      <w:r>
        <w:tab/>
        <w:t>17B(8)</w:t>
      </w:r>
    </w:p>
    <w:p>
      <w:pPr>
        <w:pStyle w:val="DefinedTerms"/>
      </w:pPr>
      <w:r>
        <w:t>deal</w:t>
      </w:r>
      <w:r>
        <w:tab/>
        <w:t>4</w:t>
      </w:r>
    </w:p>
    <w:p>
      <w:pPr>
        <w:pStyle w:val="DefinedTerms"/>
      </w:pPr>
      <w:r>
        <w:t>dealer</w:t>
      </w:r>
      <w:r>
        <w:tab/>
        <w:t>4</w:t>
      </w:r>
    </w:p>
    <w:p>
      <w:pPr>
        <w:pStyle w:val="DefinedTerms"/>
      </w:pPr>
      <w:r>
        <w:t>decision</w:t>
      </w:r>
      <w:r>
        <w:tab/>
        <w:t>22(1)</w:t>
      </w:r>
    </w:p>
    <w:p>
      <w:pPr>
        <w:pStyle w:val="DefinedTerms"/>
      </w:pPr>
      <w:r>
        <w:t>Department</w:t>
      </w:r>
      <w:r>
        <w:tab/>
        <w:t>4</w:t>
      </w:r>
    </w:p>
    <w:p>
      <w:pPr>
        <w:pStyle w:val="DefinedTerms"/>
      </w:pPr>
      <w:r>
        <w:t>department</w:t>
      </w:r>
      <w:r>
        <w:tab/>
        <w:t>17B(8)</w:t>
      </w:r>
    </w:p>
    <w:p>
      <w:pPr>
        <w:pStyle w:val="DefinedTerms"/>
      </w:pPr>
      <w:r>
        <w:t>Extract of Licence</w:t>
      </w:r>
      <w:r>
        <w:tab/>
        <w:t>4</w:t>
      </w:r>
    </w:p>
    <w:p>
      <w:pPr>
        <w:pStyle w:val="DefinedTerms"/>
      </w:pPr>
      <w:r>
        <w:t>family member</w:t>
      </w:r>
      <w:r>
        <w:tab/>
        <w:t>8(2)</w:t>
      </w:r>
    </w:p>
    <w:p>
      <w:pPr>
        <w:pStyle w:val="DefinedTerms"/>
      </w:pPr>
      <w:r>
        <w:t>firearm</w:t>
      </w:r>
      <w:r>
        <w:tab/>
        <w:t>4, 24(9), 25(1)</w:t>
      </w:r>
    </w:p>
    <w:p>
      <w:pPr>
        <w:pStyle w:val="DefinedTerms"/>
      </w:pPr>
      <w:r>
        <w:t>handgun</w:t>
      </w:r>
      <w:r>
        <w:tab/>
        <w:t>4</w:t>
      </w:r>
    </w:p>
    <w:p>
      <w:pPr>
        <w:pStyle w:val="DefinedTerms"/>
      </w:pPr>
      <w:r>
        <w:t>health professional</w:t>
      </w:r>
      <w:r>
        <w:tab/>
        <w:t>23B(3)</w:t>
      </w:r>
    </w:p>
    <w:p>
      <w:pPr>
        <w:pStyle w:val="DefinedTerms"/>
      </w:pPr>
      <w:r>
        <w:t>holder</w:t>
      </w:r>
      <w:r>
        <w:tab/>
        <w:t>4</w:t>
      </w:r>
    </w:p>
    <w:p>
      <w:pPr>
        <w:pStyle w:val="DefinedTerms"/>
      </w:pPr>
      <w:r>
        <w:t>medical practitioner</w:t>
      </w:r>
      <w:r>
        <w:tab/>
        <w:t>4</w:t>
      </w:r>
    </w:p>
    <w:p>
      <w:pPr>
        <w:pStyle w:val="DefinedTerms"/>
      </w:pPr>
      <w:r>
        <w:t>missile</w:t>
      </w:r>
      <w:r>
        <w:tab/>
        <w:t>4</w:t>
      </w:r>
    </w:p>
    <w:p>
      <w:pPr>
        <w:pStyle w:val="DefinedTerms"/>
      </w:pPr>
      <w:r>
        <w:t>officer</w:t>
      </w:r>
      <w:r>
        <w:tab/>
        <w:t>21B(3), 23BA(5)</w:t>
      </w:r>
    </w:p>
    <w:p>
      <w:pPr>
        <w:pStyle w:val="DefinedTerms"/>
      </w:pPr>
      <w:r>
        <w:t>paintball</w:t>
      </w:r>
      <w:r>
        <w:tab/>
        <w:t>4</w:t>
      </w:r>
    </w:p>
    <w:p>
      <w:pPr>
        <w:pStyle w:val="DefinedTerms"/>
      </w:pPr>
      <w:r>
        <w:t>paintball gun</w:t>
      </w:r>
      <w:r>
        <w:tab/>
        <w:t>4</w:t>
      </w:r>
    </w:p>
    <w:p>
      <w:pPr>
        <w:pStyle w:val="DefinedTerms"/>
      </w:pPr>
      <w:r>
        <w:t>paintball pellets</w:t>
      </w:r>
      <w:r>
        <w:tab/>
        <w:t>4</w:t>
      </w:r>
    </w:p>
    <w:p>
      <w:pPr>
        <w:pStyle w:val="DefinedTerms"/>
      </w:pPr>
      <w:r>
        <w:t>possession</w:t>
      </w:r>
      <w:r>
        <w:tab/>
        <w:t>4</w:t>
      </w:r>
    </w:p>
    <w:p>
      <w:pPr>
        <w:pStyle w:val="DefinedTerms"/>
      </w:pPr>
      <w:r>
        <w:t>provider</w:t>
      </w:r>
      <w:r>
        <w:tab/>
        <w:t>30(5)</w:t>
      </w:r>
    </w:p>
    <w:p>
      <w:pPr>
        <w:pStyle w:val="DefinedTerms"/>
      </w:pPr>
      <w:r>
        <w:t>receiver</w:t>
      </w:r>
      <w:r>
        <w:tab/>
        <w:t>30(5)</w:t>
      </w:r>
    </w:p>
    <w:p>
      <w:pPr>
        <w:pStyle w:val="DefinedTerms"/>
      </w:pPr>
      <w:r>
        <w:t>registered nurse</w:t>
      </w:r>
      <w:r>
        <w:tab/>
        <w:t>23B(3)</w:t>
      </w:r>
    </w:p>
    <w:p>
      <w:pPr>
        <w:pStyle w:val="DefinedTerms"/>
      </w:pPr>
      <w:r>
        <w:t>section</w:t>
      </w:r>
      <w:r>
        <w:tab/>
        <w:t>4</w:t>
      </w:r>
    </w:p>
    <w:p>
      <w:pPr>
        <w:pStyle w:val="DefinedTerms"/>
      </w:pPr>
      <w:r>
        <w:t>silencer</w:t>
      </w:r>
      <w:r>
        <w:tab/>
        <w:t>17B(8)</w:t>
      </w:r>
    </w:p>
    <w:p>
      <w:pPr>
        <w:pStyle w:val="DefinedTerms"/>
      </w:pPr>
      <w:r>
        <w:t>student of arms</w:t>
      </w:r>
      <w:r>
        <w:tab/>
        <w:t>15(4)</w:t>
      </w:r>
    </w:p>
    <w:p>
      <w:pPr>
        <w:pStyle w:val="DefinedTerms"/>
      </w:pPr>
      <w:r>
        <w:t>violence restraining order</w:t>
      </w:r>
      <w:r>
        <w:tab/>
        <w:t>11(4), 27A(2)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8" w:name="Compilation"/>
    <w:bookmarkEnd w:id="1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1" w:name="DefinedTerms"/>
    <w:bookmarkEnd w:id="1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2" w:name="Coversheet"/>
    <w:bookmarkEnd w:id="1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Act 1973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Act 1973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EA15E4"/>
    <w:lvl w:ilvl="0">
      <w:start w:val="1"/>
      <w:numFmt w:val="decimal"/>
      <w:lvlText w:val="%1."/>
      <w:lvlJc w:val="left"/>
      <w:pPr>
        <w:tabs>
          <w:tab w:val="num" w:pos="1492"/>
        </w:tabs>
        <w:ind w:left="1492" w:hanging="360"/>
      </w:pPr>
    </w:lvl>
  </w:abstractNum>
  <w:abstractNum w:abstractNumId="1">
    <w:nsid w:val="FFFFFF7D"/>
    <w:multiLevelType w:val="singleLevel"/>
    <w:tmpl w:val="321E1C98"/>
    <w:lvl w:ilvl="0">
      <w:start w:val="1"/>
      <w:numFmt w:val="decimal"/>
      <w:lvlText w:val="%1."/>
      <w:lvlJc w:val="left"/>
      <w:pPr>
        <w:tabs>
          <w:tab w:val="num" w:pos="1209"/>
        </w:tabs>
        <w:ind w:left="1209" w:hanging="360"/>
      </w:pPr>
    </w:lvl>
  </w:abstractNum>
  <w:abstractNum w:abstractNumId="2">
    <w:nsid w:val="FFFFFF7E"/>
    <w:multiLevelType w:val="singleLevel"/>
    <w:tmpl w:val="D85840B0"/>
    <w:lvl w:ilvl="0">
      <w:start w:val="1"/>
      <w:numFmt w:val="decimal"/>
      <w:lvlText w:val="%1."/>
      <w:lvlJc w:val="left"/>
      <w:pPr>
        <w:tabs>
          <w:tab w:val="num" w:pos="926"/>
        </w:tabs>
        <w:ind w:left="926" w:hanging="360"/>
      </w:pPr>
    </w:lvl>
  </w:abstractNum>
  <w:abstractNum w:abstractNumId="3">
    <w:nsid w:val="FFFFFF7F"/>
    <w:multiLevelType w:val="singleLevel"/>
    <w:tmpl w:val="2856E752"/>
    <w:lvl w:ilvl="0">
      <w:start w:val="1"/>
      <w:numFmt w:val="decimal"/>
      <w:lvlText w:val="%1."/>
      <w:lvlJc w:val="left"/>
      <w:pPr>
        <w:tabs>
          <w:tab w:val="num" w:pos="643"/>
        </w:tabs>
        <w:ind w:left="643" w:hanging="360"/>
      </w:pPr>
    </w:lvl>
  </w:abstractNum>
  <w:abstractNum w:abstractNumId="4">
    <w:nsid w:val="FFFFFF80"/>
    <w:multiLevelType w:val="singleLevel"/>
    <w:tmpl w:val="B8286F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C5E3B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EA569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C4451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3E126C"/>
    <w:lvl w:ilvl="0">
      <w:start w:val="1"/>
      <w:numFmt w:val="decimal"/>
      <w:lvlText w:val="%1."/>
      <w:lvlJc w:val="left"/>
      <w:pPr>
        <w:tabs>
          <w:tab w:val="num" w:pos="360"/>
        </w:tabs>
        <w:ind w:left="360" w:hanging="360"/>
      </w:pPr>
    </w:lvl>
  </w:abstractNum>
  <w:abstractNum w:abstractNumId="9">
    <w:nsid w:val="FFFFFF89"/>
    <w:multiLevelType w:val="singleLevel"/>
    <w:tmpl w:val="924006E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623E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F384314"/>
    <w:multiLevelType w:val="hybridMultilevel"/>
    <w:tmpl w:val="3FD65B8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940"/>
    <w:docVar w:name="WAFER_20140123141650" w:val="RemoveTocBookmarks,RemoveUnusedBookmarks,RemoveLanguageTags,UsedStyles,ResetPageSize,UpdateArrangement"/>
    <w:docVar w:name="WAFER_20140123141650_GUID" w:val="918f9c30-94cb-4c78-b2b8-4522fcd827c6"/>
    <w:docVar w:name="WAFER_20140123143307" w:val="RemoveTocBookmarks,RunningHeaders"/>
    <w:docVar w:name="WAFER_20140123143307_GUID" w:val="afec285e-d12b-4c9e-80f2-35b8667f7823"/>
    <w:docVar w:name="WAFER_20150224113207" w:val="ResetPageSize,UpdateArrangement,UpdateNTable"/>
    <w:docVar w:name="WAFER_20150224113207_GUID" w:val="7ba6211a-b487-4b2b-bec9-f46bdebcc85e"/>
    <w:docVar w:name="WAFER_20151105095159" w:val="UpdateStyles,UsedStyles"/>
    <w:docVar w:name="WAFER_20151105095159_GUID" w:val="941de65b-6bde-4eaa-8008-3aa0cd378e30"/>
    <w:docVar w:name="WAFER_20151210140940" w:val="RemoveTrackChanges"/>
    <w:docVar w:name="WAFER_20151210140940_GUID" w:val="c4eb52be-4aff-4e82-92c6-37357f7b74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46307-C323-4436-96E0-EBF90254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21539</Words>
  <Characters>100374</Characters>
  <Application>Microsoft Office Word</Application>
  <DocSecurity>0</DocSecurity>
  <Lines>2712</Lines>
  <Paragraphs>1339</Paragraphs>
  <ScaleCrop>false</ScaleCrop>
  <HeadingPairs>
    <vt:vector size="2" baseType="variant">
      <vt:variant>
        <vt:lpstr>Title</vt:lpstr>
      </vt:variant>
      <vt:variant>
        <vt:i4>1</vt:i4>
      </vt:variant>
    </vt:vector>
  </HeadingPairs>
  <TitlesOfParts>
    <vt:vector size="1" baseType="lpstr">
      <vt:lpstr>Firearms Act 1973</vt:lpstr>
    </vt:vector>
  </TitlesOfParts>
  <Manager/>
  <Company/>
  <LinksUpToDate>false</LinksUpToDate>
  <CharactersWithSpaces>120574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1973 - 06-a0-04</dc:title>
  <dc:subject/>
  <dc:creator/>
  <cp:keywords/>
  <dc:description/>
  <cp:lastModifiedBy>svcMRProcess</cp:lastModifiedBy>
  <cp:revision>4</cp:revision>
  <cp:lastPrinted>2015-02-24T07:12:00Z</cp:lastPrinted>
  <dcterms:created xsi:type="dcterms:W3CDTF">2015-12-17T02:27:00Z</dcterms:created>
  <dcterms:modified xsi:type="dcterms:W3CDTF">2015-12-17T02:27:00Z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DocumentType">
    <vt:lpwstr>Act</vt:lpwstr>
  </property>
  <property fmtid="{D5CDD505-2E9C-101B-9397-08002B2CF9AE}" pid="4" name="OwlsUID">
    <vt:i4>278</vt:i4>
  </property>
  <property fmtid="{D5CDD505-2E9C-101B-9397-08002B2CF9AE}" pid="5" name="ReprintedAsAt">
    <vt:filetime>2015-02-12T16:00:00Z</vt:filetime>
  </property>
  <property fmtid="{D5CDD505-2E9C-101B-9397-08002B2CF9AE}" pid="6" name="ReprintNo">
    <vt:lpwstr>6</vt:lpwstr>
  </property>
  <property fmtid="{D5CDD505-2E9C-101B-9397-08002B2CF9AE}" pid="7" name="AsAtDate">
    <vt:lpwstr>13 Feb 2015</vt:lpwstr>
  </property>
  <property fmtid="{D5CDD505-2E9C-101B-9397-08002B2CF9AE}" pid="8" name="Suffix">
    <vt:lpwstr>06-a0-04</vt:lpwstr>
  </property>
  <property fmtid="{D5CDD505-2E9C-101B-9397-08002B2CF9AE}" pid="9" name="CommencementDate">
    <vt:lpwstr>20150213</vt:lpwstr>
  </property>
</Properties>
</file>