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Teacher Registration (General)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_Toc413924210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_Toc413924211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_Toc413924212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Prescribed bodies or agencies (s. 3)</w:t>
      </w:r>
      <w:r>
        <w:tab/>
      </w:r>
      <w:r>
        <w:fldChar w:fldCharType="begin"/>
      </w:r>
      <w:r>
        <w:instrText xml:space="preserve"> PAGEREF _Toc413924214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centre</w:t>
      </w:r>
      <w:r>
        <w:noBreakHyphen/>
        <w:t>based services operate are educational venues (s. 3)</w:t>
      </w:r>
      <w:r>
        <w:tab/>
      </w:r>
      <w:r>
        <w:fldChar w:fldCharType="begin"/>
      </w:r>
      <w:r>
        <w:instrText xml:space="preserve"> PAGEREF _Toc413924215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curriculum (s. 3)</w:t>
      </w:r>
      <w:r>
        <w:tab/>
      </w:r>
      <w:r>
        <w:fldChar w:fldCharType="begin"/>
      </w:r>
      <w:r>
        <w:instrText xml:space="preserve"> PAGEREF _Toc413924216 \h </w:instrText>
      </w:r>
      <w:r>
        <w:fldChar w:fldCharType="separate"/>
      </w:r>
      <w:r>
        <w:t>3</w:t>
      </w:r>
      <w:r>
        <w:fldChar w:fldCharType="end"/>
      </w:r>
    </w:p>
    <w:p>
      <w:pPr>
        <w:pStyle w:val="TOC8"/>
        <w:rPr>
          <w:rFonts w:asciiTheme="minorHAnsi" w:eastAsiaTheme="minorEastAsia" w:hAnsiTheme="minorHAnsi" w:cstheme="minorBidi"/>
          <w:szCs w:val="22"/>
        </w:rPr>
      </w:pPr>
      <w:r>
        <w:t>7.</w:t>
      </w:r>
      <w:r>
        <w:tab/>
        <w:t>When unpaid volunteers are teaching (s. 3)</w:t>
      </w:r>
      <w:r>
        <w:tab/>
      </w:r>
      <w:r>
        <w:fldChar w:fldCharType="begin"/>
      </w:r>
      <w:r>
        <w:instrText xml:space="preserve"> PAGEREF _Toc413924217 \h </w:instrText>
      </w:r>
      <w:r>
        <w:fldChar w:fldCharType="separate"/>
      </w:r>
      <w:r>
        <w:t>4</w:t>
      </w:r>
      <w:r>
        <w:fldChar w:fldCharType="end"/>
      </w:r>
    </w:p>
    <w:p>
      <w:pPr>
        <w:pStyle w:val="TOC8"/>
        <w:rPr>
          <w:rFonts w:asciiTheme="minorHAnsi" w:eastAsiaTheme="minorEastAsia" w:hAnsiTheme="minorHAnsi" w:cstheme="minorBidi"/>
          <w:szCs w:val="22"/>
        </w:rPr>
      </w:pPr>
      <w:r>
        <w:t>8.</w:t>
      </w:r>
      <w:r>
        <w:tab/>
        <w:t>Other persons who are not teaching (s. 3)</w:t>
      </w:r>
      <w:r>
        <w:tab/>
      </w:r>
      <w:r>
        <w:fldChar w:fldCharType="begin"/>
      </w:r>
      <w:r>
        <w:instrText xml:space="preserve"> PAGEREF _Toc413924218 \h </w:instrText>
      </w:r>
      <w:r>
        <w:fldChar w:fldCharType="separate"/>
      </w:r>
      <w:r>
        <w:t>5</w:t>
      </w:r>
      <w:r>
        <w:fldChar w:fldCharType="end"/>
      </w:r>
    </w:p>
    <w:p>
      <w:pPr>
        <w:pStyle w:val="TOC8"/>
        <w:rPr>
          <w:rFonts w:asciiTheme="minorHAnsi" w:eastAsiaTheme="minorEastAsia" w:hAnsiTheme="minorHAnsi" w:cstheme="minorBidi"/>
          <w:szCs w:val="22"/>
        </w:rPr>
      </w:pPr>
      <w:r>
        <w:t>9.</w:t>
      </w:r>
      <w:r>
        <w:tab/>
        <w:t>Professional learning activities</w:t>
      </w:r>
      <w:r>
        <w:tab/>
      </w:r>
      <w:r>
        <w:fldChar w:fldCharType="begin"/>
      </w:r>
      <w:r>
        <w:instrText xml:space="preserve"> PAGEREF _Toc413924219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w:t>
      </w:r>
    </w:p>
    <w:p>
      <w:pPr>
        <w:pStyle w:val="TOC4"/>
        <w:tabs>
          <w:tab w:val="right" w:leader="dot" w:pos="7077"/>
        </w:tabs>
        <w:rPr>
          <w:rFonts w:asciiTheme="minorHAnsi" w:eastAsiaTheme="minorEastAsia" w:hAnsiTheme="minorHAnsi" w:cstheme="minorBidi"/>
          <w:b w:val="0"/>
          <w:szCs w:val="22"/>
        </w:rPr>
      </w:pPr>
      <w:r>
        <w:t>Division 1 — Registration of teachers</w:t>
      </w:r>
    </w:p>
    <w:p>
      <w:pPr>
        <w:pStyle w:val="TOC8"/>
        <w:rPr>
          <w:rFonts w:asciiTheme="minorHAnsi" w:eastAsiaTheme="minorEastAsia" w:hAnsiTheme="minorHAnsi" w:cstheme="minorBidi"/>
          <w:szCs w:val="22"/>
        </w:rPr>
      </w:pPr>
      <w:r>
        <w:t>10.</w:t>
      </w:r>
      <w:r>
        <w:tab/>
        <w:t>English language skills for full and provisional registration (ss. 15(d) and 16(d))</w:t>
      </w:r>
      <w:r>
        <w:tab/>
      </w:r>
      <w:r>
        <w:fldChar w:fldCharType="begin"/>
      </w:r>
      <w:r>
        <w:instrText xml:space="preserve"> PAGEREF _Toc413924222 \h </w:instrText>
      </w:r>
      <w:r>
        <w:fldChar w:fldCharType="separate"/>
      </w:r>
      <w:r>
        <w:t>7</w:t>
      </w:r>
      <w:r>
        <w:fldChar w:fldCharType="end"/>
      </w:r>
    </w:p>
    <w:p>
      <w:pPr>
        <w:pStyle w:val="TOC8"/>
        <w:rPr>
          <w:rFonts w:asciiTheme="minorHAnsi" w:eastAsiaTheme="minorEastAsia" w:hAnsiTheme="minorHAnsi" w:cstheme="minorBidi"/>
          <w:szCs w:val="22"/>
        </w:rPr>
      </w:pPr>
      <w:r>
        <w:t>11.</w:t>
      </w:r>
      <w:r>
        <w:tab/>
        <w:t>English language skills for limited registration (s. 17(c))</w:t>
      </w:r>
      <w:r>
        <w:tab/>
      </w:r>
      <w:r>
        <w:fldChar w:fldCharType="begin"/>
      </w:r>
      <w:r>
        <w:instrText xml:space="preserve"> PAGEREF _Toc413924223 \h </w:instrText>
      </w:r>
      <w:r>
        <w:fldChar w:fldCharType="separate"/>
      </w:r>
      <w:r>
        <w:t>8</w:t>
      </w:r>
      <w:r>
        <w:fldChar w:fldCharType="end"/>
      </w:r>
    </w:p>
    <w:p>
      <w:pPr>
        <w:pStyle w:val="TOC8"/>
        <w:rPr>
          <w:rFonts w:asciiTheme="minorHAnsi" w:eastAsiaTheme="minorEastAsia" w:hAnsiTheme="minorHAnsi" w:cstheme="minorBidi"/>
          <w:szCs w:val="22"/>
        </w:rPr>
      </w:pPr>
      <w:r>
        <w:t>12.</w:t>
      </w:r>
      <w:r>
        <w:tab/>
        <w:t>Other requirements for limited registration (s. 17(d))</w:t>
      </w:r>
      <w:r>
        <w:tab/>
      </w:r>
      <w:r>
        <w:fldChar w:fldCharType="begin"/>
      </w:r>
      <w:r>
        <w:instrText xml:space="preserve"> PAGEREF _Toc413924224 \h </w:instrText>
      </w:r>
      <w:r>
        <w:fldChar w:fldCharType="separate"/>
      </w:r>
      <w:r>
        <w:t>10</w:t>
      </w:r>
      <w:r>
        <w:fldChar w:fldCharType="end"/>
      </w:r>
    </w:p>
    <w:p>
      <w:pPr>
        <w:pStyle w:val="TOC8"/>
        <w:rPr>
          <w:rFonts w:asciiTheme="minorHAnsi" w:eastAsiaTheme="minorEastAsia" w:hAnsiTheme="minorHAnsi" w:cstheme="minorBidi"/>
          <w:szCs w:val="22"/>
        </w:rPr>
      </w:pPr>
      <w:r>
        <w:t>13.</w:t>
      </w:r>
      <w:r>
        <w:tab/>
        <w:t>Renewal of registration — requirements for professional engagement and professional learning activities (s. 22(2)(c))</w:t>
      </w:r>
      <w:r>
        <w:tab/>
      </w:r>
      <w:r>
        <w:fldChar w:fldCharType="begin"/>
      </w:r>
      <w:r>
        <w:instrText xml:space="preserve"> PAGEREF _Toc413924225 \h </w:instrText>
      </w:r>
      <w:r>
        <w:fldChar w:fldCharType="separate"/>
      </w:r>
      <w:r>
        <w:t>11</w:t>
      </w:r>
      <w:r>
        <w:fldChar w:fldCharType="end"/>
      </w:r>
    </w:p>
    <w:p>
      <w:pPr>
        <w:pStyle w:val="TOC8"/>
        <w:rPr>
          <w:rFonts w:asciiTheme="minorHAnsi" w:eastAsiaTheme="minorEastAsia" w:hAnsiTheme="minorHAnsi" w:cstheme="minorBidi"/>
          <w:szCs w:val="22"/>
        </w:rPr>
      </w:pPr>
      <w:r>
        <w:t>14.</w:t>
      </w:r>
      <w:r>
        <w:tab/>
        <w:t>Intention to apply for limited registration (s. 23(3)(a))</w:t>
      </w:r>
      <w:r>
        <w:tab/>
      </w:r>
      <w:r>
        <w:fldChar w:fldCharType="begin"/>
      </w:r>
      <w:r>
        <w:instrText xml:space="preserve"> PAGEREF _Toc413924226 \h </w:instrText>
      </w:r>
      <w:r>
        <w:fldChar w:fldCharType="separate"/>
      </w:r>
      <w:r>
        <w:t>12</w:t>
      </w:r>
      <w:r>
        <w:fldChar w:fldCharType="end"/>
      </w:r>
    </w:p>
    <w:p>
      <w:pPr>
        <w:pStyle w:val="TOC8"/>
        <w:rPr>
          <w:rFonts w:asciiTheme="minorHAnsi" w:eastAsiaTheme="minorEastAsia" w:hAnsiTheme="minorHAnsi" w:cstheme="minorBidi"/>
          <w:szCs w:val="22"/>
        </w:rPr>
      </w:pPr>
      <w:r>
        <w:t>15.</w:t>
      </w:r>
      <w:r>
        <w:tab/>
        <w:t>Duration of non</w:t>
      </w:r>
      <w:r>
        <w:noBreakHyphen/>
        <w:t>practising registration</w:t>
      </w:r>
      <w:r>
        <w:tab/>
      </w:r>
      <w:r>
        <w:fldChar w:fldCharType="begin"/>
      </w:r>
      <w:r>
        <w:instrText xml:space="preserve"> PAGEREF _Toc413924227 \h </w:instrText>
      </w:r>
      <w:r>
        <w:fldChar w:fldCharType="separate"/>
      </w:r>
      <w:r>
        <w:t>12</w:t>
      </w:r>
      <w:r>
        <w:fldChar w:fldCharType="end"/>
      </w:r>
    </w:p>
    <w:p>
      <w:pPr>
        <w:pStyle w:val="TOC8"/>
        <w:rPr>
          <w:rFonts w:asciiTheme="minorHAnsi" w:eastAsiaTheme="minorEastAsia" w:hAnsiTheme="minorHAnsi" w:cstheme="minorBidi"/>
          <w:szCs w:val="22"/>
        </w:rPr>
      </w:pPr>
      <w:r>
        <w:t>16.</w:t>
      </w:r>
      <w:r>
        <w:tab/>
        <w:t>Condition on non</w:t>
      </w:r>
      <w:r>
        <w:noBreakHyphen/>
        <w:t>practising registration (s. 25(2))</w:t>
      </w:r>
      <w:r>
        <w:tab/>
      </w:r>
      <w:r>
        <w:fldChar w:fldCharType="begin"/>
      </w:r>
      <w:r>
        <w:instrText xml:space="preserve"> PAGEREF _Toc413924228 \h </w:instrText>
      </w:r>
      <w:r>
        <w:fldChar w:fldCharType="separate"/>
      </w:r>
      <w:r>
        <w:t>13</w:t>
      </w:r>
      <w:r>
        <w:fldChar w:fldCharType="end"/>
      </w:r>
    </w:p>
    <w:p>
      <w:pPr>
        <w:pStyle w:val="TOC8"/>
        <w:rPr>
          <w:rFonts w:asciiTheme="minorHAnsi" w:eastAsiaTheme="minorEastAsia" w:hAnsiTheme="minorHAnsi" w:cstheme="minorBidi"/>
          <w:szCs w:val="22"/>
        </w:rPr>
      </w:pPr>
      <w:r>
        <w:t>17.</w:t>
      </w:r>
      <w:r>
        <w:tab/>
        <w:t>Condition on limited registration (s. 25(2))</w:t>
      </w:r>
      <w:r>
        <w:tab/>
      </w:r>
      <w:r>
        <w:fldChar w:fldCharType="begin"/>
      </w:r>
      <w:r>
        <w:instrText xml:space="preserve"> PAGEREF _Toc413924229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Applicant may change category of registration applied for</w:t>
      </w:r>
      <w:r>
        <w:tab/>
      </w:r>
      <w:r>
        <w:fldChar w:fldCharType="begin"/>
      </w:r>
      <w:r>
        <w:instrText xml:space="preserve"> PAGEREF _Toc413924230 \h </w:instrText>
      </w:r>
      <w:r>
        <w:fldChar w:fldCharType="separate"/>
      </w:r>
      <w:r>
        <w:t>13</w:t>
      </w:r>
      <w:r>
        <w:fldChar w:fldCharType="end"/>
      </w:r>
    </w:p>
    <w:p>
      <w:pPr>
        <w:pStyle w:val="TOC8"/>
        <w:rPr>
          <w:rFonts w:asciiTheme="minorHAnsi" w:eastAsiaTheme="minorEastAsia" w:hAnsiTheme="minorHAnsi" w:cstheme="minorBidi"/>
          <w:szCs w:val="22"/>
        </w:rPr>
      </w:pPr>
      <w:r>
        <w:t>19.</w:t>
      </w:r>
      <w:r>
        <w:tab/>
        <w:t>Provision of information about eligibility for registration</w:t>
      </w:r>
      <w:r>
        <w:tab/>
      </w:r>
      <w:r>
        <w:fldChar w:fldCharType="begin"/>
      </w:r>
      <w:r>
        <w:instrText xml:space="preserve"> PAGEREF _Toc413924231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cards</w:t>
      </w:r>
      <w:r>
        <w:tab/>
      </w:r>
      <w:r>
        <w:fldChar w:fldCharType="begin"/>
      </w:r>
      <w:r>
        <w:instrText xml:space="preserve"> PAGEREF _Toc413924232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21A.</w:t>
      </w:r>
      <w:r>
        <w:tab/>
        <w:t>Additional information to be recorded in register (s. 36(1)(e))</w:t>
      </w:r>
      <w:r>
        <w:tab/>
      </w:r>
      <w:r>
        <w:fldChar w:fldCharType="begin"/>
      </w:r>
      <w:r>
        <w:instrText xml:space="preserve"> PAGEREF _Toc413924234 \h </w:instrText>
      </w:r>
      <w:r>
        <w:fldChar w:fldCharType="separate"/>
      </w:r>
      <w:r>
        <w:t>16</w:t>
      </w:r>
      <w:r>
        <w:fldChar w:fldCharType="end"/>
      </w:r>
    </w:p>
    <w:p>
      <w:pPr>
        <w:pStyle w:val="TOC8"/>
        <w:rPr>
          <w:rFonts w:asciiTheme="minorHAnsi" w:eastAsiaTheme="minorEastAsia" w:hAnsiTheme="minorHAnsi" w:cstheme="minorBidi"/>
          <w:szCs w:val="22"/>
        </w:rPr>
      </w:pPr>
      <w:r>
        <w:t>21B.</w:t>
      </w:r>
      <w:r>
        <w:tab/>
        <w:t>Additional persons who may inspect register information (professional) (s. 37(3)(b))</w:t>
      </w:r>
      <w:r>
        <w:tab/>
      </w:r>
      <w:r>
        <w:fldChar w:fldCharType="begin"/>
      </w:r>
      <w:r>
        <w:instrText xml:space="preserve"> PAGEREF _Toc413924235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and impairment matters</w:t>
      </w:r>
    </w:p>
    <w:p>
      <w:pPr>
        <w:pStyle w:val="TOC8"/>
        <w:rPr>
          <w:rFonts w:asciiTheme="minorHAnsi" w:eastAsiaTheme="minorEastAsia" w:hAnsiTheme="minorHAnsi" w:cstheme="minorBidi"/>
          <w:szCs w:val="22"/>
        </w:rPr>
      </w:pPr>
      <w:r>
        <w:t>21.</w:t>
      </w:r>
      <w:r>
        <w:tab/>
        <w:t>Complaints</w:t>
      </w:r>
      <w:r>
        <w:tab/>
      </w:r>
      <w:r>
        <w:fldChar w:fldCharType="begin"/>
      </w:r>
      <w:r>
        <w:instrText xml:space="preserve"> PAGEREF _Toc413924237 \h </w:instrText>
      </w:r>
      <w:r>
        <w:fldChar w:fldCharType="separate"/>
      </w:r>
      <w:r>
        <w:t>18</w:t>
      </w:r>
      <w:r>
        <w:fldChar w:fldCharType="end"/>
      </w:r>
    </w:p>
    <w:p>
      <w:pPr>
        <w:pStyle w:val="TOC8"/>
        <w:rPr>
          <w:rFonts w:asciiTheme="minorHAnsi" w:eastAsiaTheme="minorEastAsia" w:hAnsiTheme="minorHAnsi" w:cstheme="minorBidi"/>
          <w:szCs w:val="22"/>
        </w:rPr>
      </w:pPr>
      <w:r>
        <w:t>22.</w:t>
      </w:r>
      <w:r>
        <w:tab/>
        <w:t>Prescribed sexual offences (s. 46)</w:t>
      </w:r>
      <w:r>
        <w:tab/>
      </w:r>
      <w:r>
        <w:fldChar w:fldCharType="begin"/>
      </w:r>
      <w:r>
        <w:instrText xml:space="preserve"> PAGEREF _Toc413924238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Payment of relief teachers during Board or committee meetings</w:t>
      </w:r>
      <w:r>
        <w:tab/>
      </w:r>
      <w:r>
        <w:fldChar w:fldCharType="begin"/>
      </w:r>
      <w:r>
        <w:instrText xml:space="preserve"> PAGEREF _Toc413924240 \h </w:instrText>
      </w:r>
      <w:r>
        <w:fldChar w:fldCharType="separate"/>
      </w:r>
      <w:r>
        <w:t>19</w:t>
      </w:r>
      <w:r>
        <w:fldChar w:fldCharType="end"/>
      </w:r>
    </w:p>
    <w:p>
      <w:pPr>
        <w:pStyle w:val="TOC8"/>
        <w:rPr>
          <w:rFonts w:asciiTheme="minorHAnsi" w:eastAsiaTheme="minorEastAsia" w:hAnsiTheme="minorHAnsi" w:cstheme="minorBidi"/>
          <w:szCs w:val="22"/>
        </w:rPr>
      </w:pPr>
      <w:r>
        <w:t>24.</w:t>
      </w:r>
      <w:r>
        <w:tab/>
        <w:t>Retention of criminal record checks</w:t>
      </w:r>
      <w:r>
        <w:tab/>
      </w:r>
      <w:r>
        <w:fldChar w:fldCharType="begin"/>
      </w:r>
      <w:r>
        <w:instrText xml:space="preserve"> PAGEREF _Toc413924241 \h </w:instrText>
      </w:r>
      <w:r>
        <w:fldChar w:fldCharType="separate"/>
      </w:r>
      <w:r>
        <w:t>19</w:t>
      </w:r>
      <w:r>
        <w:fldChar w:fldCharType="end"/>
      </w:r>
    </w:p>
    <w:p>
      <w:pPr>
        <w:pStyle w:val="TOC8"/>
        <w:rPr>
          <w:rFonts w:asciiTheme="minorHAnsi" w:eastAsiaTheme="minorEastAsia" w:hAnsiTheme="minorHAnsi" w:cstheme="minorBidi"/>
          <w:szCs w:val="22"/>
        </w:rPr>
      </w:pPr>
      <w:r>
        <w:t>25.</w:t>
      </w:r>
      <w:r>
        <w:tab/>
        <w:t>Employer to supply information about teachers</w:t>
      </w:r>
      <w:r>
        <w:tab/>
      </w:r>
      <w:r>
        <w:fldChar w:fldCharType="begin"/>
      </w:r>
      <w:r>
        <w:instrText xml:space="preserve"> PAGEREF _Toc413924242 \h </w:instrText>
      </w:r>
      <w:r>
        <w:fldChar w:fldCharType="separate"/>
      </w:r>
      <w:r>
        <w:t>19</w:t>
      </w:r>
      <w:r>
        <w:fldChar w:fldCharType="end"/>
      </w:r>
    </w:p>
    <w:p>
      <w:pPr>
        <w:pStyle w:val="TOC8"/>
        <w:rPr>
          <w:rFonts w:asciiTheme="minorHAnsi" w:eastAsiaTheme="minorEastAsia" w:hAnsiTheme="minorHAnsi" w:cstheme="minorBidi"/>
          <w:szCs w:val="22"/>
        </w:rPr>
      </w:pPr>
      <w:r>
        <w:t>26.</w:t>
      </w:r>
      <w:r>
        <w:tab/>
        <w:t>Notice to be given by employer about suspension, dismissal or resignation of registered teacher — investigations and serious incompetence (s. 42)</w:t>
      </w:r>
      <w:r>
        <w:tab/>
      </w:r>
      <w:r>
        <w:fldChar w:fldCharType="begin"/>
      </w:r>
      <w:r>
        <w:instrText xml:space="preserve"> PAGEREF _Toc413924243 \h </w:instrText>
      </w:r>
      <w:r>
        <w:fldChar w:fldCharType="separate"/>
      </w:r>
      <w:r>
        <w:t>20</w:t>
      </w:r>
      <w:r>
        <w:fldChar w:fldCharType="end"/>
      </w:r>
    </w:p>
    <w:p>
      <w:pPr>
        <w:pStyle w:val="TOC8"/>
        <w:rPr>
          <w:rFonts w:asciiTheme="minorHAnsi" w:eastAsiaTheme="minorEastAsia" w:hAnsiTheme="minorHAnsi" w:cstheme="minorBidi"/>
          <w:szCs w:val="22"/>
        </w:rPr>
      </w:pPr>
      <w:r>
        <w:t>27A.</w:t>
      </w:r>
      <w:r>
        <w:tab/>
        <w:t>Notice to be given of change of name, postal or email address</w:t>
      </w:r>
      <w:r>
        <w:tab/>
      </w:r>
      <w:r>
        <w:fldChar w:fldCharType="begin"/>
      </w:r>
      <w:r>
        <w:instrText xml:space="preserve"> PAGEREF _Toc413924244 \h </w:instrText>
      </w:r>
      <w:r>
        <w:fldChar w:fldCharType="separate"/>
      </w:r>
      <w:r>
        <w:t>22</w:t>
      </w:r>
      <w:r>
        <w:fldChar w:fldCharType="end"/>
      </w:r>
    </w:p>
    <w:p>
      <w:pPr>
        <w:pStyle w:val="TOC8"/>
        <w:rPr>
          <w:rFonts w:asciiTheme="minorHAnsi" w:eastAsiaTheme="minorEastAsia" w:hAnsiTheme="minorHAnsi" w:cstheme="minorBidi"/>
          <w:szCs w:val="22"/>
        </w:rPr>
      </w:pPr>
      <w:r>
        <w:t>27.</w:t>
      </w:r>
      <w:r>
        <w:tab/>
        <w:t>Board may require information to be verified by a statutory declaration</w:t>
      </w:r>
      <w:r>
        <w:tab/>
      </w:r>
      <w:r>
        <w:fldChar w:fldCharType="begin"/>
      </w:r>
      <w:r>
        <w:instrText xml:space="preserve"> PAGEREF _Toc413924245 \h </w:instrText>
      </w:r>
      <w:r>
        <w:fldChar w:fldCharType="separate"/>
      </w:r>
      <w:r>
        <w:t>22</w:t>
      </w:r>
      <w:r>
        <w:fldChar w:fldCharType="end"/>
      </w:r>
    </w:p>
    <w:p>
      <w:pPr>
        <w:pStyle w:val="TOC8"/>
        <w:rPr>
          <w:rFonts w:asciiTheme="minorHAnsi" w:eastAsiaTheme="minorEastAsia" w:hAnsiTheme="minorHAnsi" w:cstheme="minorBidi"/>
          <w:szCs w:val="22"/>
        </w:rPr>
      </w:pPr>
      <w:r>
        <w:t>28.</w:t>
      </w:r>
      <w:r>
        <w:tab/>
        <w:t>Fees</w:t>
      </w:r>
      <w:r>
        <w:tab/>
      </w:r>
      <w:r>
        <w:fldChar w:fldCharType="begin"/>
      </w:r>
      <w:r>
        <w:instrText xml:space="preserve"> PAGEREF _Toc413924246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_Toc413924248 \h </w:instrText>
      </w:r>
      <w:r>
        <w:fldChar w:fldCharType="separate"/>
      </w:r>
      <w:r>
        <w:t>24</w:t>
      </w:r>
      <w:r>
        <w:fldChar w:fldCharType="end"/>
      </w:r>
    </w:p>
    <w:p>
      <w:pPr>
        <w:pStyle w:val="TOC8"/>
        <w:rPr>
          <w:rFonts w:asciiTheme="minorHAnsi" w:eastAsiaTheme="minorEastAsia" w:hAnsiTheme="minorHAnsi" w:cstheme="minorBidi"/>
          <w:szCs w:val="22"/>
        </w:rPr>
      </w:pPr>
      <w:r>
        <w:t>30.</w:t>
      </w:r>
      <w:r>
        <w:tab/>
        <w:t>Renewal of registration — requirements for professional engagement and professional learning activities for the first 5 years after commencement</w:t>
      </w:r>
      <w:r>
        <w:tab/>
      </w:r>
      <w:r>
        <w:fldChar w:fldCharType="begin"/>
      </w:r>
      <w:r>
        <w:instrText xml:space="preserve"> PAGEREF _Toc413924249 \h </w:instrText>
      </w:r>
      <w:r>
        <w:fldChar w:fldCharType="separate"/>
      </w:r>
      <w:r>
        <w:t>24</w:t>
      </w:r>
      <w:r>
        <w:fldChar w:fldCharType="end"/>
      </w:r>
    </w:p>
    <w:p>
      <w:pPr>
        <w:pStyle w:val="TOC8"/>
        <w:rPr>
          <w:rFonts w:asciiTheme="minorHAnsi" w:eastAsiaTheme="minorEastAsia" w:hAnsiTheme="minorHAnsi" w:cstheme="minorBidi"/>
          <w:szCs w:val="22"/>
        </w:rPr>
      </w:pPr>
      <w:r>
        <w:t>31.</w:t>
      </w:r>
      <w:r>
        <w:tab/>
        <w:t>Requirement for limited registration — applications made within 18 months (ss. 17(d) and 149)</w:t>
      </w:r>
      <w:r>
        <w:tab/>
      </w:r>
      <w:r>
        <w:fldChar w:fldCharType="begin"/>
      </w:r>
      <w:r>
        <w:instrText xml:space="preserve"> PAGEREF _Toc413924250 \h </w:instrText>
      </w:r>
      <w:r>
        <w:fldChar w:fldCharType="separate"/>
      </w:r>
      <w:r>
        <w:t>25</w:t>
      </w:r>
      <w:r>
        <w:fldChar w:fldCharType="end"/>
      </w:r>
    </w:p>
    <w:p>
      <w:pPr>
        <w:pStyle w:val="TOC8"/>
        <w:rPr>
          <w:rFonts w:asciiTheme="minorHAnsi" w:eastAsiaTheme="minorEastAsia" w:hAnsiTheme="minorHAnsi" w:cstheme="minorBidi"/>
          <w:szCs w:val="22"/>
        </w:rPr>
      </w:pPr>
      <w:r>
        <w:t>32.</w:t>
      </w:r>
      <w:r>
        <w:tab/>
        <w:t>Teachers taken to be registered on commencement day do not need to meet requirements for teaching qualifications when renewing that registration</w:t>
      </w:r>
      <w:r>
        <w:tab/>
      </w:r>
      <w:r>
        <w:fldChar w:fldCharType="begin"/>
      </w:r>
      <w:r>
        <w:instrText xml:space="preserve"> PAGEREF _Toc413924251 \h </w:instrText>
      </w:r>
      <w:r>
        <w:fldChar w:fldCharType="separate"/>
      </w:r>
      <w:r>
        <w:t>25</w:t>
      </w:r>
      <w:r>
        <w:fldChar w:fldCharType="end"/>
      </w:r>
    </w:p>
    <w:p>
      <w:pPr>
        <w:pStyle w:val="TOC8"/>
        <w:rPr>
          <w:rFonts w:asciiTheme="minorHAnsi" w:eastAsiaTheme="minorEastAsia" w:hAnsiTheme="minorHAnsi" w:cstheme="minorBidi"/>
          <w:szCs w:val="22"/>
        </w:rPr>
      </w:pPr>
      <w:r>
        <w:t>33.</w:t>
      </w:r>
      <w:r>
        <w:tab/>
        <w:t>Provisionally registered teachers — renewal</w:t>
      </w:r>
      <w:r>
        <w:tab/>
      </w:r>
      <w:r>
        <w:fldChar w:fldCharType="begin"/>
      </w:r>
      <w:r>
        <w:instrText xml:space="preserve"> PAGEREF _Toc413924252 \h </w:instrText>
      </w:r>
      <w:r>
        <w:fldChar w:fldCharType="separate"/>
      </w:r>
      <w:r>
        <w:t>26</w:t>
      </w:r>
      <w:r>
        <w:fldChar w:fldCharType="end"/>
      </w:r>
    </w:p>
    <w:p>
      <w:pPr>
        <w:pStyle w:val="TOC8"/>
        <w:rPr>
          <w:rFonts w:asciiTheme="minorHAnsi" w:eastAsiaTheme="minorEastAsia" w:hAnsiTheme="minorHAnsi" w:cstheme="minorBidi"/>
          <w:szCs w:val="22"/>
        </w:rPr>
      </w:pPr>
      <w:r>
        <w:t>34.</w:t>
      </w:r>
      <w:r>
        <w:tab/>
        <w:t>Provisional and limited registration — period of registration</w:t>
      </w:r>
      <w:r>
        <w:tab/>
      </w:r>
      <w:r>
        <w:fldChar w:fldCharType="begin"/>
      </w:r>
      <w:r>
        <w:instrText xml:space="preserve"> PAGEREF _Toc413924253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Form for notice of intention to apply for limited registration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_Toc413924257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3" w:name="_Toc391991511"/>
      <w:bookmarkStart w:id="4" w:name="_Toc393700319"/>
      <w:bookmarkStart w:id="5" w:name="_Toc413923295"/>
      <w:bookmarkStart w:id="6" w:name="_Toc413923551"/>
      <w:bookmarkStart w:id="7" w:name="_Toc41392420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93700320"/>
      <w:bookmarkStart w:id="9" w:name="_Toc413924210"/>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Teacher Registration (General) Regulations 2012</w:t>
      </w:r>
      <w:r>
        <w:rPr>
          <w:vertAlign w:val="superscript"/>
        </w:rPr>
        <w:t> 1</w:t>
      </w:r>
      <w:r>
        <w:t>.</w:t>
      </w:r>
    </w:p>
    <w:p>
      <w:pPr>
        <w:pStyle w:val="Heading5"/>
        <w:rPr>
          <w:spacing w:val="-2"/>
        </w:rPr>
      </w:pPr>
      <w:bookmarkStart w:id="11" w:name="_Toc393700321"/>
      <w:bookmarkStart w:id="12" w:name="_Toc413924211"/>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3" w:name="_Toc393700322"/>
      <w:bookmarkStart w:id="14" w:name="_Toc413924212"/>
      <w:r>
        <w:rPr>
          <w:rStyle w:val="CharSectno"/>
        </w:rPr>
        <w:t>3</w:t>
      </w:r>
      <w:r>
        <w:t>.</w:t>
      </w:r>
      <w:r>
        <w:tab/>
        <w:t>Terms used</w:t>
      </w:r>
      <w:bookmarkEnd w:id="13"/>
      <w:bookmarkEnd w:id="14"/>
    </w:p>
    <w:p>
      <w:pPr>
        <w:pStyle w:val="Subsection"/>
      </w:pPr>
      <w:r>
        <w:tab/>
      </w:r>
      <w:r>
        <w:tab/>
        <w:t xml:space="preserve">In these regulations — </w:t>
      </w:r>
    </w:p>
    <w:p>
      <w:pPr>
        <w:pStyle w:val="Defstart"/>
      </w:pPr>
      <w:r>
        <w:rPr>
          <w:rStyle w:val="DraftersNotes"/>
          <w:b w:val="0"/>
          <w:i w:val="0"/>
        </w:rP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pPr>
      <w:r>
        <w:tab/>
        <w:t>[Regulation 3 amended in Gazette 13 Aug 2013 p. 3733.]</w:t>
      </w:r>
    </w:p>
    <w:p>
      <w:pPr>
        <w:pStyle w:val="Heading2"/>
      </w:pPr>
      <w:bookmarkStart w:id="15" w:name="_Toc391991515"/>
      <w:bookmarkStart w:id="16" w:name="_Toc393700323"/>
      <w:bookmarkStart w:id="17" w:name="_Toc413923299"/>
      <w:bookmarkStart w:id="18" w:name="_Toc413923555"/>
      <w:bookmarkStart w:id="19" w:name="_Toc413924213"/>
      <w:r>
        <w:rPr>
          <w:rStyle w:val="CharPartNo"/>
        </w:rPr>
        <w:t>Part 2</w:t>
      </w:r>
      <w:r>
        <w:rPr>
          <w:rStyle w:val="CharDivNo"/>
        </w:rPr>
        <w:t> </w:t>
      </w:r>
      <w:r>
        <w:t>—</w:t>
      </w:r>
      <w:r>
        <w:rPr>
          <w:rStyle w:val="CharDivText"/>
        </w:rPr>
        <w:t> </w:t>
      </w:r>
      <w:r>
        <w:rPr>
          <w:rStyle w:val="CharPartText"/>
        </w:rPr>
        <w:t>General provisions</w:t>
      </w:r>
      <w:bookmarkEnd w:id="15"/>
      <w:bookmarkEnd w:id="16"/>
      <w:bookmarkEnd w:id="17"/>
      <w:bookmarkEnd w:id="18"/>
      <w:bookmarkEnd w:id="19"/>
    </w:p>
    <w:p>
      <w:pPr>
        <w:pStyle w:val="Heading5"/>
      </w:pPr>
      <w:bookmarkStart w:id="20" w:name="_Toc393700324"/>
      <w:bookmarkStart w:id="21" w:name="_Toc413924214"/>
      <w:r>
        <w:rPr>
          <w:rStyle w:val="CharSectno"/>
        </w:rPr>
        <w:t>4</w:t>
      </w:r>
      <w:r>
        <w:t>.</w:t>
      </w:r>
      <w:r>
        <w:tab/>
        <w:t>Prescribed bodies or agencies (s. 3)</w:t>
      </w:r>
      <w:bookmarkEnd w:id="20"/>
      <w:bookmarkEnd w:id="21"/>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22" w:name="_Toc393700325"/>
      <w:bookmarkStart w:id="23" w:name="_Toc413924215"/>
      <w:r>
        <w:rPr>
          <w:rStyle w:val="CharSectno"/>
        </w:rPr>
        <w:t>5</w:t>
      </w:r>
      <w:r>
        <w:t>.</w:t>
      </w:r>
      <w:r>
        <w:tab/>
        <w:t>Places where centre</w:t>
      </w:r>
      <w:r>
        <w:noBreakHyphen/>
        <w:t>based services operate are educational venues (s. 3)</w:t>
      </w:r>
      <w:bookmarkEnd w:id="22"/>
      <w:bookmarkEnd w:id="23"/>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rPr>
          <w:b w:val="0"/>
        </w:rPr>
      </w:pPr>
      <w:bookmarkStart w:id="24" w:name="_Toc393700326"/>
      <w:bookmarkStart w:id="25" w:name="_Toc413924216"/>
      <w:r>
        <w:rPr>
          <w:rStyle w:val="CharSectno"/>
        </w:rPr>
        <w:t>6</w:t>
      </w:r>
      <w:r>
        <w:t>.</w:t>
      </w:r>
      <w:r>
        <w:tab/>
        <w:t>Prescribed curriculum (s. 3)</w:t>
      </w:r>
      <w:bookmarkEnd w:id="24"/>
      <w:bookmarkEnd w:id="25"/>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26" w:name="_Toc393700327"/>
      <w:bookmarkStart w:id="27" w:name="_Toc413924217"/>
      <w:r>
        <w:rPr>
          <w:rStyle w:val="CharSectno"/>
        </w:rPr>
        <w:t>7</w:t>
      </w:r>
      <w:r>
        <w:t>.</w:t>
      </w:r>
      <w:r>
        <w:tab/>
        <w:t>When unpaid volunteers are teaching (s. 3)</w:t>
      </w:r>
      <w:bookmarkEnd w:id="26"/>
      <w:bookmarkEnd w:id="27"/>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28" w:name="_Toc393700328"/>
      <w:bookmarkStart w:id="29" w:name="_Toc413924218"/>
      <w:r>
        <w:rPr>
          <w:rStyle w:val="CharSectno"/>
        </w:rPr>
        <w:t>8</w:t>
      </w:r>
      <w:r>
        <w:t>.</w:t>
      </w:r>
      <w:r>
        <w:tab/>
        <w:t>Other persons who are not teaching (s. 3)</w:t>
      </w:r>
      <w:bookmarkEnd w:id="28"/>
      <w:bookmarkEnd w:id="29"/>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30" w:name="_Toc393700329"/>
      <w:bookmarkStart w:id="31" w:name="_Toc413924219"/>
      <w:r>
        <w:rPr>
          <w:rStyle w:val="CharSectno"/>
        </w:rPr>
        <w:t>9</w:t>
      </w:r>
      <w:r>
        <w:t>.</w:t>
      </w:r>
      <w:r>
        <w:tab/>
        <w:t>Professional learning activities</w:t>
      </w:r>
      <w:bookmarkEnd w:id="30"/>
      <w:bookmarkEnd w:id="31"/>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32" w:name="_Toc391991522"/>
      <w:bookmarkStart w:id="33" w:name="_Toc393700330"/>
      <w:bookmarkStart w:id="34" w:name="_Toc413923306"/>
      <w:bookmarkStart w:id="35" w:name="_Toc413923562"/>
      <w:bookmarkStart w:id="36" w:name="_Toc413924220"/>
      <w:r>
        <w:rPr>
          <w:rStyle w:val="CharPartNo"/>
        </w:rPr>
        <w:t>Part 3</w:t>
      </w:r>
      <w:r>
        <w:t> — </w:t>
      </w:r>
      <w:r>
        <w:rPr>
          <w:rStyle w:val="CharPartText"/>
        </w:rPr>
        <w:t>Registration</w:t>
      </w:r>
      <w:bookmarkEnd w:id="32"/>
      <w:bookmarkEnd w:id="33"/>
      <w:bookmarkEnd w:id="34"/>
      <w:bookmarkEnd w:id="35"/>
      <w:bookmarkEnd w:id="36"/>
    </w:p>
    <w:p>
      <w:pPr>
        <w:pStyle w:val="Heading3"/>
      </w:pPr>
      <w:bookmarkStart w:id="37" w:name="_Toc391991523"/>
      <w:bookmarkStart w:id="38" w:name="_Toc393700331"/>
      <w:bookmarkStart w:id="39" w:name="_Toc413923307"/>
      <w:bookmarkStart w:id="40" w:name="_Toc413923563"/>
      <w:bookmarkStart w:id="41" w:name="_Toc413924221"/>
      <w:r>
        <w:rPr>
          <w:rStyle w:val="CharDivNo"/>
        </w:rPr>
        <w:t>Division 1</w:t>
      </w:r>
      <w:r>
        <w:t> — </w:t>
      </w:r>
      <w:r>
        <w:rPr>
          <w:rStyle w:val="CharDivText"/>
        </w:rPr>
        <w:t>Registration of teachers</w:t>
      </w:r>
      <w:bookmarkEnd w:id="37"/>
      <w:bookmarkEnd w:id="38"/>
      <w:bookmarkEnd w:id="39"/>
      <w:bookmarkEnd w:id="40"/>
      <w:bookmarkEnd w:id="41"/>
    </w:p>
    <w:p>
      <w:pPr>
        <w:pStyle w:val="Footnoteheading"/>
      </w:pPr>
      <w:r>
        <w:tab/>
        <w:t>[Heading inserted in Gazette 28 Jan 2014 p. 177.]</w:t>
      </w:r>
    </w:p>
    <w:p>
      <w:pPr>
        <w:pStyle w:val="Heading5"/>
      </w:pPr>
      <w:bookmarkStart w:id="42" w:name="_Toc393700332"/>
      <w:bookmarkStart w:id="43" w:name="_Toc413924222"/>
      <w:r>
        <w:rPr>
          <w:rStyle w:val="CharSectno"/>
        </w:rPr>
        <w:t>10</w:t>
      </w:r>
      <w:r>
        <w:t>.</w:t>
      </w:r>
      <w:r>
        <w:tab/>
        <w:t>English language skills for full and provisional registration (ss. 15(d) and 16(d))</w:t>
      </w:r>
      <w:bookmarkEnd w:id="42"/>
      <w:bookmarkEnd w:id="43"/>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44" w:name="_Toc393700333"/>
      <w:bookmarkStart w:id="45" w:name="_Toc413924223"/>
      <w:r>
        <w:rPr>
          <w:rStyle w:val="CharSectno"/>
        </w:rPr>
        <w:t>11</w:t>
      </w:r>
      <w:r>
        <w:t>.</w:t>
      </w:r>
      <w:r>
        <w:tab/>
        <w:t>English language skills for limited registration (s. 17(c))</w:t>
      </w:r>
      <w:bookmarkEnd w:id="44"/>
      <w:bookmarkEnd w:id="45"/>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46" w:name="_Toc393700334"/>
      <w:bookmarkStart w:id="47" w:name="_Toc413924224"/>
      <w:r>
        <w:rPr>
          <w:rStyle w:val="CharSectno"/>
        </w:rPr>
        <w:t>12</w:t>
      </w:r>
      <w:r>
        <w:t>.</w:t>
      </w:r>
      <w:r>
        <w:tab/>
        <w:t>Other requirements for limited registration (s. 17(d))</w:t>
      </w:r>
      <w:bookmarkEnd w:id="46"/>
      <w:bookmarkEnd w:id="47"/>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48" w:name="_Toc393700335"/>
      <w:bookmarkStart w:id="49" w:name="_Toc413924225"/>
      <w:r>
        <w:rPr>
          <w:rStyle w:val="CharSectno"/>
        </w:rPr>
        <w:t>13</w:t>
      </w:r>
      <w:r>
        <w:t>.</w:t>
      </w:r>
      <w:r>
        <w:tab/>
        <w:t>Renewal of registration — requirements for professional engagement and professional learning activities (s. 22(2)(c))</w:t>
      </w:r>
      <w:bookmarkEnd w:id="48"/>
      <w:bookmarkEnd w:id="49"/>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50" w:name="_Toc393700336"/>
      <w:bookmarkStart w:id="51" w:name="_Toc413924226"/>
      <w:r>
        <w:rPr>
          <w:rStyle w:val="CharSectno"/>
        </w:rPr>
        <w:t>14</w:t>
      </w:r>
      <w:r>
        <w:t>.</w:t>
      </w:r>
      <w:r>
        <w:tab/>
        <w:t>Intention to apply for limited registration (s. 23(3)(a))</w:t>
      </w:r>
      <w:bookmarkEnd w:id="50"/>
      <w:bookmarkEnd w:id="51"/>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52" w:name="_Toc393700337"/>
      <w:bookmarkStart w:id="53" w:name="_Toc413924227"/>
      <w:r>
        <w:rPr>
          <w:rStyle w:val="CharSectno"/>
        </w:rPr>
        <w:t>15</w:t>
      </w:r>
      <w:r>
        <w:t>.</w:t>
      </w:r>
      <w:r>
        <w:tab/>
        <w:t>Duration of non</w:t>
      </w:r>
      <w:r>
        <w:noBreakHyphen/>
        <w:t>practising registration</w:t>
      </w:r>
      <w:bookmarkEnd w:id="52"/>
      <w:bookmarkEnd w:id="53"/>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in Gazette 13 Aug 2013 p. 3733</w:t>
      </w:r>
      <w:r>
        <w:noBreakHyphen/>
        <w:t>4; amended in Gazette 13 Mar 2015 p. 849.]</w:t>
      </w:r>
    </w:p>
    <w:p>
      <w:pPr>
        <w:pStyle w:val="Heading5"/>
      </w:pPr>
      <w:bookmarkStart w:id="54" w:name="_Toc393700338"/>
      <w:bookmarkStart w:id="55" w:name="_Toc413924228"/>
      <w:r>
        <w:rPr>
          <w:rStyle w:val="CharSectno"/>
        </w:rPr>
        <w:t>16</w:t>
      </w:r>
      <w:r>
        <w:t>.</w:t>
      </w:r>
      <w:r>
        <w:tab/>
        <w:t>Condition on non</w:t>
      </w:r>
      <w:r>
        <w:noBreakHyphen/>
        <w:t>practising registration (s. 25(2))</w:t>
      </w:r>
      <w:bookmarkEnd w:id="54"/>
      <w:bookmarkEnd w:id="55"/>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in Gazette 13 Aug 2013 p. 3734.]</w:t>
      </w:r>
    </w:p>
    <w:p>
      <w:pPr>
        <w:pStyle w:val="Heading5"/>
      </w:pPr>
      <w:bookmarkStart w:id="56" w:name="_Toc393700339"/>
      <w:bookmarkStart w:id="57" w:name="_Toc413924229"/>
      <w:r>
        <w:rPr>
          <w:rStyle w:val="CharSectno"/>
        </w:rPr>
        <w:t>17</w:t>
      </w:r>
      <w:r>
        <w:t>.</w:t>
      </w:r>
      <w:r>
        <w:tab/>
        <w:t>Condition on limited registration (s. 25(2))</w:t>
      </w:r>
      <w:bookmarkEnd w:id="56"/>
      <w:bookmarkEnd w:id="57"/>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58" w:name="_Toc393700340"/>
      <w:bookmarkStart w:id="59" w:name="_Toc413924230"/>
      <w:r>
        <w:rPr>
          <w:rStyle w:val="CharSectno"/>
        </w:rPr>
        <w:t>18</w:t>
      </w:r>
      <w:r>
        <w:t>.</w:t>
      </w:r>
      <w:r>
        <w:tab/>
        <w:t>Applicant may change category of registration applied for</w:t>
      </w:r>
      <w:bookmarkEnd w:id="58"/>
      <w:bookmarkEnd w:id="59"/>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60" w:name="_Toc393700341"/>
      <w:bookmarkStart w:id="61" w:name="_Toc413924231"/>
      <w:r>
        <w:rPr>
          <w:rStyle w:val="CharSectno"/>
        </w:rPr>
        <w:t>19</w:t>
      </w:r>
      <w:r>
        <w:t>.</w:t>
      </w:r>
      <w:r>
        <w:tab/>
        <w:t>Provision of information about eligibility for registration</w:t>
      </w:r>
      <w:bookmarkEnd w:id="60"/>
      <w:bookmarkEnd w:id="61"/>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62" w:name="_Toc393700342"/>
      <w:bookmarkStart w:id="63" w:name="_Toc413924232"/>
      <w:r>
        <w:rPr>
          <w:rStyle w:val="CharSectno"/>
        </w:rPr>
        <w:t>20</w:t>
      </w:r>
      <w:r>
        <w:t>.</w:t>
      </w:r>
      <w:r>
        <w:tab/>
        <w:t>Registration cards</w:t>
      </w:r>
      <w:bookmarkEnd w:id="62"/>
      <w:bookmarkEnd w:id="63"/>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64" w:name="_Toc391991535"/>
      <w:bookmarkStart w:id="65" w:name="_Toc393700343"/>
      <w:bookmarkStart w:id="66" w:name="_Toc413923319"/>
      <w:bookmarkStart w:id="67" w:name="_Toc413923575"/>
      <w:bookmarkStart w:id="68" w:name="_Toc413924233"/>
      <w:r>
        <w:rPr>
          <w:rStyle w:val="CharDivNo"/>
        </w:rPr>
        <w:t>Division 2</w:t>
      </w:r>
      <w:r>
        <w:t> — </w:t>
      </w:r>
      <w:r>
        <w:rPr>
          <w:rStyle w:val="CharDivText"/>
        </w:rPr>
        <w:t>The register</w:t>
      </w:r>
      <w:bookmarkEnd w:id="64"/>
      <w:bookmarkEnd w:id="65"/>
      <w:bookmarkEnd w:id="66"/>
      <w:bookmarkEnd w:id="67"/>
      <w:bookmarkEnd w:id="68"/>
    </w:p>
    <w:p>
      <w:pPr>
        <w:pStyle w:val="Footnoteheading"/>
        <w:keepNext/>
      </w:pPr>
      <w:r>
        <w:tab/>
        <w:t>[Heading inserted in Gazette 28 Jan 2014 p. 177.]</w:t>
      </w:r>
    </w:p>
    <w:p>
      <w:pPr>
        <w:pStyle w:val="Heading5"/>
      </w:pPr>
      <w:bookmarkStart w:id="69" w:name="_Toc393700344"/>
      <w:bookmarkStart w:id="70" w:name="_Toc413924234"/>
      <w:r>
        <w:rPr>
          <w:rStyle w:val="CharSectno"/>
        </w:rPr>
        <w:t>21A</w:t>
      </w:r>
      <w:r>
        <w:t>.</w:t>
      </w:r>
      <w:r>
        <w:tab/>
        <w:t>Additional information to be recorded in register (s. 36(1)(e))</w:t>
      </w:r>
      <w:bookmarkEnd w:id="69"/>
      <w:bookmarkEnd w:id="70"/>
    </w:p>
    <w:p>
      <w:pPr>
        <w:pStyle w:val="Subsection"/>
      </w:pPr>
      <w:r>
        <w:tab/>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Footnotesection"/>
      </w:pPr>
      <w:r>
        <w:tab/>
        <w:t>[Regulation 21A inserted in Gazette 28 Jan 2014 p. 177-8.]</w:t>
      </w:r>
    </w:p>
    <w:p>
      <w:pPr>
        <w:pStyle w:val="Heading5"/>
      </w:pPr>
      <w:bookmarkStart w:id="71" w:name="_Toc393700345"/>
      <w:bookmarkStart w:id="72" w:name="_Toc413924235"/>
      <w:r>
        <w:rPr>
          <w:rStyle w:val="CharSectno"/>
        </w:rPr>
        <w:t>21B</w:t>
      </w:r>
      <w:r>
        <w:t>.</w:t>
      </w:r>
      <w:r>
        <w:tab/>
        <w:t>Additional persons who may inspect register information (professional) (s. 37(3)(b))</w:t>
      </w:r>
      <w:bookmarkEnd w:id="71"/>
      <w:bookmarkEnd w:id="72"/>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 xml:space="preserve">nominated supervisor </w:t>
      </w:r>
      <w:r>
        <w:t xml:space="preserve">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 xml:space="preserve">supervising officer </w:t>
      </w:r>
      <w:r>
        <w:t xml:space="preserve">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in Gazette 28 Jan 2014 p. 178-9.]</w:t>
      </w:r>
    </w:p>
    <w:p>
      <w:pPr>
        <w:pStyle w:val="Heading2"/>
      </w:pPr>
      <w:bookmarkStart w:id="73" w:name="_Toc391991538"/>
      <w:bookmarkStart w:id="74" w:name="_Toc393700346"/>
      <w:bookmarkStart w:id="75" w:name="_Toc413923322"/>
      <w:bookmarkStart w:id="76" w:name="_Toc413923578"/>
      <w:bookmarkStart w:id="77" w:name="_Toc413924236"/>
      <w:r>
        <w:rPr>
          <w:rStyle w:val="CharPartNo"/>
        </w:rPr>
        <w:t>Part 4</w:t>
      </w:r>
      <w:r>
        <w:rPr>
          <w:rStyle w:val="CharDivNo"/>
        </w:rPr>
        <w:t> </w:t>
      </w:r>
      <w:r>
        <w:t>—</w:t>
      </w:r>
      <w:r>
        <w:rPr>
          <w:rStyle w:val="CharDivText"/>
        </w:rPr>
        <w:t> </w:t>
      </w:r>
      <w:r>
        <w:rPr>
          <w:rStyle w:val="CharPartText"/>
        </w:rPr>
        <w:t>Disciplinary and impairment matters</w:t>
      </w:r>
      <w:bookmarkEnd w:id="73"/>
      <w:bookmarkEnd w:id="74"/>
      <w:bookmarkEnd w:id="75"/>
      <w:bookmarkEnd w:id="76"/>
      <w:bookmarkEnd w:id="77"/>
    </w:p>
    <w:p>
      <w:pPr>
        <w:pStyle w:val="Heading5"/>
      </w:pPr>
      <w:bookmarkStart w:id="78" w:name="_Toc393700347"/>
      <w:bookmarkStart w:id="79" w:name="_Toc413924237"/>
      <w:r>
        <w:rPr>
          <w:rStyle w:val="CharSectno"/>
        </w:rPr>
        <w:t>21</w:t>
      </w:r>
      <w:r>
        <w:t>.</w:t>
      </w:r>
      <w:r>
        <w:tab/>
        <w:t>Complaints</w:t>
      </w:r>
      <w:bookmarkEnd w:id="78"/>
      <w:bookmarkEnd w:id="79"/>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80" w:name="_Toc393700348"/>
      <w:bookmarkStart w:id="81" w:name="_Toc413924238"/>
      <w:r>
        <w:rPr>
          <w:rStyle w:val="CharSectno"/>
        </w:rPr>
        <w:t>22</w:t>
      </w:r>
      <w:r>
        <w:t>.</w:t>
      </w:r>
      <w:r>
        <w:tab/>
        <w:t>Prescribed sexual offences (s. 46)</w:t>
      </w:r>
      <w:bookmarkEnd w:id="80"/>
      <w:bookmarkEnd w:id="81"/>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82" w:name="_Toc391991541"/>
      <w:bookmarkStart w:id="83" w:name="_Toc393700349"/>
      <w:bookmarkStart w:id="84" w:name="_Toc413923325"/>
      <w:bookmarkStart w:id="85" w:name="_Toc413923581"/>
      <w:bookmarkStart w:id="86" w:name="_Toc413924239"/>
      <w:r>
        <w:rPr>
          <w:rStyle w:val="CharPartNo"/>
        </w:rPr>
        <w:t>Part 5</w:t>
      </w:r>
      <w:r>
        <w:rPr>
          <w:rStyle w:val="CharDivNo"/>
        </w:rPr>
        <w:t> </w:t>
      </w:r>
      <w:r>
        <w:t>—</w:t>
      </w:r>
      <w:r>
        <w:rPr>
          <w:rStyle w:val="CharDivText"/>
        </w:rPr>
        <w:t> </w:t>
      </w:r>
      <w:r>
        <w:rPr>
          <w:rStyle w:val="CharPartText"/>
        </w:rPr>
        <w:t>Miscellaneous</w:t>
      </w:r>
      <w:bookmarkEnd w:id="82"/>
      <w:bookmarkEnd w:id="83"/>
      <w:bookmarkEnd w:id="84"/>
      <w:bookmarkEnd w:id="85"/>
      <w:bookmarkEnd w:id="86"/>
    </w:p>
    <w:p>
      <w:pPr>
        <w:pStyle w:val="Heading5"/>
      </w:pPr>
      <w:bookmarkStart w:id="87" w:name="_Toc393700350"/>
      <w:bookmarkStart w:id="88" w:name="_Toc413924240"/>
      <w:r>
        <w:rPr>
          <w:rStyle w:val="CharSectno"/>
        </w:rPr>
        <w:t>23</w:t>
      </w:r>
      <w:r>
        <w:t>.</w:t>
      </w:r>
      <w:r>
        <w:tab/>
        <w:t>Payment of relief teachers during Board or committee meetings</w:t>
      </w:r>
      <w:bookmarkEnd w:id="87"/>
      <w:bookmarkEnd w:id="88"/>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89" w:name="_Toc393700351"/>
      <w:bookmarkStart w:id="90" w:name="_Toc413924241"/>
      <w:r>
        <w:rPr>
          <w:rStyle w:val="CharSectno"/>
        </w:rPr>
        <w:t>24</w:t>
      </w:r>
      <w:r>
        <w:t>.</w:t>
      </w:r>
      <w:r>
        <w:tab/>
        <w:t>Retention of criminal record checks</w:t>
      </w:r>
      <w:bookmarkEnd w:id="89"/>
      <w:bookmarkEnd w:id="90"/>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91" w:name="_Toc393700352"/>
      <w:bookmarkStart w:id="92" w:name="_Toc413924242"/>
      <w:r>
        <w:rPr>
          <w:rStyle w:val="CharSectno"/>
        </w:rPr>
        <w:t>25</w:t>
      </w:r>
      <w:r>
        <w:t>.</w:t>
      </w:r>
      <w:r>
        <w:tab/>
        <w:t>Employer to supply information about teachers</w:t>
      </w:r>
      <w:bookmarkEnd w:id="91"/>
      <w:bookmarkEnd w:id="92"/>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93" w:name="_Toc393700353"/>
      <w:bookmarkStart w:id="94" w:name="_Toc413924243"/>
      <w:r>
        <w:rPr>
          <w:rStyle w:val="CharSectno"/>
        </w:rPr>
        <w:t>26</w:t>
      </w:r>
      <w:r>
        <w:t>.</w:t>
      </w:r>
      <w:r>
        <w:tab/>
        <w:t>Notice to be given by employer about suspension, dismissal or resignation of registered teacher — investigations and serious incompetence (s. 42)</w:t>
      </w:r>
      <w:bookmarkEnd w:id="93"/>
      <w:bookmarkEnd w:id="94"/>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95" w:name="_Toc393700354"/>
      <w:bookmarkStart w:id="96" w:name="_Toc413924244"/>
      <w:r>
        <w:rPr>
          <w:rStyle w:val="CharSectno"/>
        </w:rPr>
        <w:t>27A</w:t>
      </w:r>
      <w:r>
        <w:t>.</w:t>
      </w:r>
      <w:r>
        <w:tab/>
        <w:t>Notice to be given of change of name, postal or email address</w:t>
      </w:r>
      <w:bookmarkEnd w:id="95"/>
      <w:bookmarkEnd w:id="96"/>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in Gazette 13 Aug 2013 p. 3734</w:t>
      </w:r>
      <w:r>
        <w:noBreakHyphen/>
        <w:t>5.]</w:t>
      </w:r>
    </w:p>
    <w:p>
      <w:pPr>
        <w:pStyle w:val="Heading5"/>
      </w:pPr>
      <w:bookmarkStart w:id="97" w:name="_Toc393700355"/>
      <w:bookmarkStart w:id="98" w:name="_Toc413924245"/>
      <w:r>
        <w:rPr>
          <w:rStyle w:val="CharSectno"/>
        </w:rPr>
        <w:t>27</w:t>
      </w:r>
      <w:r>
        <w:t>.</w:t>
      </w:r>
      <w:r>
        <w:tab/>
        <w:t>Board may require information to be verified by a statutory declaration</w:t>
      </w:r>
      <w:bookmarkEnd w:id="97"/>
      <w:bookmarkEnd w:id="98"/>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99" w:name="_Toc393700356"/>
      <w:bookmarkStart w:id="100" w:name="_Toc413924246"/>
      <w:r>
        <w:rPr>
          <w:rStyle w:val="CharSectno"/>
        </w:rPr>
        <w:t>28</w:t>
      </w:r>
      <w:r>
        <w:t>.</w:t>
      </w:r>
      <w:r>
        <w:tab/>
        <w:t>Fees</w:t>
      </w:r>
      <w:bookmarkEnd w:id="99"/>
      <w:bookmarkEnd w:id="100"/>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101" w:name="_Toc391991549"/>
      <w:bookmarkStart w:id="102" w:name="_Toc393700357"/>
      <w:bookmarkStart w:id="103" w:name="_Toc413923333"/>
      <w:bookmarkStart w:id="104" w:name="_Toc413923589"/>
      <w:bookmarkStart w:id="105" w:name="_Toc413924247"/>
      <w:r>
        <w:rPr>
          <w:rStyle w:val="CharPartNo"/>
        </w:rPr>
        <w:t>Part 6</w:t>
      </w:r>
      <w:r>
        <w:rPr>
          <w:rStyle w:val="CharDivNo"/>
        </w:rPr>
        <w:t> </w:t>
      </w:r>
      <w:r>
        <w:t>—</w:t>
      </w:r>
      <w:r>
        <w:rPr>
          <w:rStyle w:val="CharDivText"/>
        </w:rPr>
        <w:t> </w:t>
      </w:r>
      <w:r>
        <w:rPr>
          <w:rStyle w:val="CharPartText"/>
        </w:rPr>
        <w:t>Transitional matters</w:t>
      </w:r>
      <w:bookmarkEnd w:id="101"/>
      <w:bookmarkEnd w:id="102"/>
      <w:bookmarkEnd w:id="103"/>
      <w:bookmarkEnd w:id="104"/>
      <w:bookmarkEnd w:id="105"/>
    </w:p>
    <w:p>
      <w:pPr>
        <w:pStyle w:val="Heading5"/>
      </w:pPr>
      <w:bookmarkStart w:id="106" w:name="_Toc393700358"/>
      <w:bookmarkStart w:id="107" w:name="_Toc413924248"/>
      <w:r>
        <w:rPr>
          <w:rStyle w:val="CharSectno"/>
        </w:rPr>
        <w:t>29</w:t>
      </w:r>
      <w:r>
        <w:t>.</w:t>
      </w:r>
      <w:r>
        <w:tab/>
        <w:t>Terms used</w:t>
      </w:r>
      <w:bookmarkEnd w:id="106"/>
      <w:bookmarkEnd w:id="107"/>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108" w:name="_Toc393700359"/>
      <w:bookmarkStart w:id="109" w:name="_Toc413924249"/>
      <w:r>
        <w:rPr>
          <w:rStyle w:val="CharSectno"/>
        </w:rPr>
        <w:t>30</w:t>
      </w:r>
      <w:r>
        <w:t>.</w:t>
      </w:r>
      <w:r>
        <w:tab/>
        <w:t>Renewal of registration — requirements for professional engagement and professional learning activities for the first 5 years after commencement</w:t>
      </w:r>
      <w:bookmarkEnd w:id="108"/>
      <w:bookmarkEnd w:id="109"/>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110" w:name="_Toc393700360"/>
      <w:bookmarkStart w:id="111" w:name="_Toc413924250"/>
      <w:r>
        <w:rPr>
          <w:rStyle w:val="CharSectno"/>
        </w:rPr>
        <w:t>31</w:t>
      </w:r>
      <w:r>
        <w:t>.</w:t>
      </w:r>
      <w:r>
        <w:tab/>
        <w:t>Requirement for limited registration — applications made within 18 months (ss. 17(d) and 149)</w:t>
      </w:r>
      <w:bookmarkEnd w:id="110"/>
      <w:bookmarkEnd w:id="111"/>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112" w:name="_Toc393700361"/>
      <w:bookmarkStart w:id="113" w:name="_Toc413924251"/>
      <w:r>
        <w:rPr>
          <w:rStyle w:val="CharSectno"/>
        </w:rPr>
        <w:t>32</w:t>
      </w:r>
      <w:r>
        <w:t>.</w:t>
      </w:r>
      <w:r>
        <w:tab/>
        <w:t>Teachers taken to be registered on commencement day do not need to meet requirements for teaching qualifications when renewing that registration</w:t>
      </w:r>
      <w:bookmarkEnd w:id="112"/>
      <w:bookmarkEnd w:id="113"/>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114" w:name="_Toc393700362"/>
      <w:bookmarkStart w:id="115" w:name="_Toc413924252"/>
      <w:r>
        <w:rPr>
          <w:rStyle w:val="CharSectno"/>
        </w:rPr>
        <w:t>33</w:t>
      </w:r>
      <w:r>
        <w:t>.</w:t>
      </w:r>
      <w:r>
        <w:tab/>
        <w:t>Provisionally registered teachers — renewal</w:t>
      </w:r>
      <w:bookmarkEnd w:id="114"/>
      <w:bookmarkEnd w:id="115"/>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116" w:name="_Toc393700363"/>
      <w:bookmarkStart w:id="117" w:name="_Toc413924253"/>
      <w:r>
        <w:rPr>
          <w:rStyle w:val="CharSectno"/>
        </w:rPr>
        <w:t>34</w:t>
      </w:r>
      <w:r>
        <w:t>.</w:t>
      </w:r>
      <w:r>
        <w:tab/>
        <w:t>Provisional and limited registration — period of registration</w:t>
      </w:r>
      <w:bookmarkEnd w:id="116"/>
      <w:bookmarkEnd w:id="117"/>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outlineLvl w:val="0"/>
      </w:pPr>
      <w:bookmarkStart w:id="118" w:name="_Toc391991556"/>
      <w:bookmarkStart w:id="119" w:name="_Toc393700364"/>
      <w:bookmarkStart w:id="120" w:name="_Toc413923340"/>
      <w:bookmarkStart w:id="121" w:name="_Toc413923596"/>
      <w:bookmarkStart w:id="122" w:name="_Toc413924254"/>
      <w:r>
        <w:rPr>
          <w:rStyle w:val="CharSchNo"/>
        </w:rPr>
        <w:t>Schedule 1</w:t>
      </w:r>
      <w:r>
        <w:rPr>
          <w:rStyle w:val="CharSDivNo"/>
        </w:rPr>
        <w:t> </w:t>
      </w:r>
      <w:r>
        <w:t>—</w:t>
      </w:r>
      <w:r>
        <w:rPr>
          <w:rStyle w:val="CharSDivText"/>
        </w:rPr>
        <w:t> </w:t>
      </w:r>
      <w:r>
        <w:rPr>
          <w:rStyle w:val="CharSchText"/>
        </w:rPr>
        <w:t>Fees</w:t>
      </w:r>
      <w:bookmarkEnd w:id="118"/>
      <w:bookmarkEnd w:id="119"/>
      <w:bookmarkEnd w:id="120"/>
      <w:bookmarkEnd w:id="121"/>
      <w:bookmarkEnd w:id="122"/>
    </w:p>
    <w:p>
      <w:pPr>
        <w:pStyle w:val="yShoulderClause"/>
        <w:spacing w:after="60"/>
      </w:pPr>
      <w:r>
        <w:t>[r. 28]</w:t>
      </w:r>
    </w:p>
    <w:tbl>
      <w:tblPr>
        <w:tblW w:w="0" w:type="auto"/>
        <w:tblInd w:w="675" w:type="dxa"/>
        <w:tblLayout w:type="fixed"/>
        <w:tblLook w:val="0000" w:firstRow="0" w:lastRow="0" w:firstColumn="0" w:lastColumn="0" w:noHBand="0" w:noVBand="0"/>
      </w:tblPr>
      <w:tblGrid>
        <w:gridCol w:w="567"/>
        <w:gridCol w:w="3119"/>
        <w:gridCol w:w="1701"/>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701"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134"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119"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br/>
            </w:r>
            <w:r>
              <w:br/>
            </w:r>
          </w:p>
          <w:p>
            <w:pPr>
              <w:pStyle w:val="yTableNAm"/>
            </w:pPr>
            <w:r>
              <w:rPr>
                <w:szCs w:val="22"/>
              </w:rPr>
              <w:t>$125</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pPr>
            <w:r>
              <w:rPr>
                <w:szCs w:val="22"/>
              </w:rPr>
              <w:t>$125</w:t>
            </w:r>
          </w:p>
        </w:tc>
      </w:tr>
      <w:tr>
        <w:trPr>
          <w:cantSplit/>
        </w:trPr>
        <w:tc>
          <w:tcPr>
            <w:tcW w:w="567" w:type="dxa"/>
          </w:tcPr>
          <w:p>
            <w:pPr>
              <w:pStyle w:val="yTableNAm"/>
            </w:pPr>
          </w:p>
        </w:tc>
        <w:tc>
          <w:tcPr>
            <w:tcW w:w="3119"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tabs>
                <w:tab w:val="clear" w:pos="567"/>
                <w:tab w:val="left" w:pos="453"/>
              </w:tabs>
              <w:ind w:left="459" w:hanging="459"/>
              <w:rPr>
                <w:szCs w:val="22"/>
              </w:rPr>
            </w:pPr>
            <w:r>
              <w:rPr>
                <w:szCs w:val="22"/>
              </w:rPr>
              <w:t>$419</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pPr>
            <w:r>
              <w:rPr>
                <w:szCs w:val="22"/>
              </w:rPr>
              <w:t>$125</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2.</w:t>
            </w:r>
          </w:p>
        </w:tc>
        <w:tc>
          <w:tcPr>
            <w:tcW w:w="3119"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rPr>
                <w:szCs w:val="22"/>
              </w:rPr>
              <w:br/>
            </w:r>
          </w:p>
          <w:p>
            <w:pPr>
              <w:pStyle w:val="yTableNAm"/>
              <w:rPr>
                <w:szCs w:val="22"/>
              </w:rPr>
            </w:pPr>
            <w:r>
              <w:rPr>
                <w:szCs w:val="22"/>
              </w:rPr>
              <w:t>$157</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$157</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$450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rPr>
                <w:szCs w:val="22"/>
              </w:rPr>
            </w:pPr>
            <w:r>
              <w:rPr>
                <w:szCs w:val="22"/>
              </w:rPr>
              <w:t>$125</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3.</w:t>
            </w:r>
          </w:p>
        </w:tc>
        <w:tc>
          <w:tcPr>
            <w:tcW w:w="3119"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rPr>
                <w:szCs w:val="22"/>
              </w:rPr>
            </w:pPr>
            <w:r>
              <w:rPr>
                <w:szCs w:val="22"/>
              </w:rPr>
              <w:t>$503</w:t>
            </w:r>
          </w:p>
        </w:tc>
      </w:tr>
      <w:tr>
        <w:trPr>
          <w:cantSplit/>
        </w:trPr>
        <w:tc>
          <w:tcPr>
            <w:tcW w:w="567" w:type="dxa"/>
          </w:tcPr>
          <w:p>
            <w:pPr>
              <w:pStyle w:val="yTableNAm"/>
            </w:pPr>
          </w:p>
        </w:tc>
        <w:tc>
          <w:tcPr>
            <w:tcW w:w="3119"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701" w:type="dxa"/>
          </w:tcPr>
          <w:p>
            <w:pPr>
              <w:pStyle w:val="yTableNAm"/>
            </w:pPr>
          </w:p>
        </w:tc>
        <w:tc>
          <w:tcPr>
            <w:tcW w:w="1134" w:type="dxa"/>
          </w:tcPr>
          <w:p>
            <w:pPr>
              <w:pStyle w:val="yTableNAm"/>
              <w:rPr>
                <w:szCs w:val="22"/>
              </w:rPr>
            </w:pPr>
            <w:r>
              <w:rPr>
                <w:szCs w:val="22"/>
              </w:rPr>
              <w:t>no fee</w:t>
            </w:r>
          </w:p>
          <w:p>
            <w:pPr>
              <w:pStyle w:val="yTableNAm"/>
              <w:rPr>
                <w:szCs w:val="22"/>
              </w:rPr>
            </w:pPr>
            <w:r>
              <w:br/>
            </w:r>
            <w:r>
              <w:br/>
            </w:r>
            <w:r>
              <w:br/>
            </w:r>
            <w:r>
              <w:br/>
            </w:r>
            <w:r>
              <w:br/>
            </w:r>
            <w:r>
              <w:rPr>
                <w:szCs w:val="22"/>
              </w:rPr>
              <w:t>$209</w:t>
            </w:r>
          </w:p>
        </w:tc>
      </w:tr>
      <w:tr>
        <w:trPr>
          <w:cantSplit/>
        </w:trPr>
        <w:tc>
          <w:tcPr>
            <w:tcW w:w="567" w:type="dxa"/>
          </w:tcPr>
          <w:p>
            <w:pPr>
              <w:pStyle w:val="yTableNAm"/>
            </w:pPr>
            <w:r>
              <w:t>4.</w:t>
            </w:r>
          </w:p>
        </w:tc>
        <w:tc>
          <w:tcPr>
            <w:tcW w:w="3119"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pPr>
            <w:r>
              <w:t>no fee</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701" w:type="dxa"/>
          </w:tcPr>
          <w:p>
            <w:pPr>
              <w:pStyle w:val="yTableNAm"/>
            </w:pPr>
          </w:p>
        </w:tc>
        <w:tc>
          <w:tcPr>
            <w:tcW w:w="1134" w:type="dxa"/>
          </w:tcPr>
          <w:p>
            <w:pPr>
              <w:pStyle w:val="yTableNAm"/>
              <w:rPr>
                <w:szCs w:val="22"/>
              </w:rPr>
            </w:pPr>
            <w:r>
              <w:rPr>
                <w:szCs w:val="22"/>
              </w:rPr>
              <w:t>$157</w:t>
            </w:r>
          </w:p>
        </w:tc>
      </w:tr>
      <w:tr>
        <w:trPr>
          <w:cantSplit/>
        </w:trPr>
        <w:tc>
          <w:tcPr>
            <w:tcW w:w="567" w:type="dxa"/>
          </w:tcPr>
          <w:p>
            <w:pPr>
              <w:pStyle w:val="yTableNAm"/>
            </w:pPr>
          </w:p>
        </w:tc>
        <w:tc>
          <w:tcPr>
            <w:tcW w:w="3119"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$157</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$450</w:t>
            </w:r>
          </w:p>
        </w:tc>
      </w:tr>
      <w:tr>
        <w:trPr>
          <w:cantSplit/>
        </w:trPr>
        <w:tc>
          <w:tcPr>
            <w:tcW w:w="567" w:type="dxa"/>
          </w:tcPr>
          <w:p>
            <w:pPr>
              <w:pStyle w:val="yTableNAm"/>
            </w:pPr>
            <w:r>
              <w:t>5.</w:t>
            </w:r>
          </w:p>
        </w:tc>
        <w:tc>
          <w:tcPr>
            <w:tcW w:w="3119" w:type="dxa"/>
          </w:tcPr>
          <w:p>
            <w:pPr>
              <w:pStyle w:val="yTableNAm"/>
              <w:tabs>
                <w:tab w:val="clear" w:pos="567"/>
              </w:tabs>
              <w:rPr>
                <w:szCs w:val="22"/>
              </w:rPr>
            </w:pPr>
            <w:r>
              <w:rPr>
                <w:szCs w:val="22"/>
              </w:rPr>
              <w:t>Fee payable by a person who applies for the renewal of registration</w:t>
            </w:r>
          </w:p>
        </w:tc>
        <w:tc>
          <w:tcPr>
            <w:tcW w:w="1701" w:type="dxa"/>
          </w:tcPr>
          <w:p>
            <w:pPr>
              <w:pStyle w:val="yTableNAm"/>
            </w:pPr>
            <w:r>
              <w:t>s. 11(2)(d)</w:t>
            </w:r>
          </w:p>
        </w:tc>
        <w:tc>
          <w:tcPr>
            <w:tcW w:w="1134" w:type="dxa"/>
          </w:tcPr>
          <w:p>
            <w:pPr>
              <w:pStyle w:val="yTableNAm"/>
              <w:rPr>
                <w:szCs w:val="22"/>
              </w:rPr>
            </w:pPr>
            <w:r>
              <w:rPr>
                <w:szCs w:val="22"/>
              </w:rPr>
              <w:t>$32</w:t>
            </w:r>
          </w:p>
        </w:tc>
      </w:tr>
      <w:tr>
        <w:trPr>
          <w:cantSplit/>
        </w:trPr>
        <w:tc>
          <w:tcPr>
            <w:tcW w:w="567" w:type="dxa"/>
          </w:tcPr>
          <w:p>
            <w:pPr>
              <w:pStyle w:val="yTableNAm"/>
            </w:pPr>
            <w:r>
              <w:t>6.</w:t>
            </w:r>
          </w:p>
        </w:tc>
        <w:tc>
          <w:tcPr>
            <w:tcW w:w="3119"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701" w:type="dxa"/>
          </w:tcPr>
          <w:p>
            <w:pPr>
              <w:pStyle w:val="yTableNAm"/>
            </w:pPr>
            <w:r>
              <w:t>s. 35</w:t>
            </w:r>
          </w:p>
        </w:tc>
        <w:tc>
          <w:tcPr>
            <w:tcW w:w="1134" w:type="dxa"/>
          </w:tcPr>
          <w:p>
            <w:pPr>
              <w:pStyle w:val="yTableNAm"/>
              <w:rPr>
                <w:szCs w:val="22"/>
              </w:rPr>
            </w:pPr>
          </w:p>
          <w:p>
            <w:pPr>
              <w:pStyle w:val="yTableNAm"/>
              <w:rPr>
                <w:szCs w:val="22"/>
              </w:rPr>
            </w:pPr>
            <w:r>
              <w:rPr>
                <w:szCs w:val="22"/>
              </w:rPr>
              <w:t>$42</w:t>
            </w:r>
            <w:r>
              <w:rPr>
                <w:szCs w:val="22"/>
              </w:rPr>
              <w:br/>
            </w:r>
            <w:r>
              <w:rPr>
                <w:szCs w:val="22"/>
              </w:rPr>
              <w:br/>
            </w:r>
            <w:r>
              <w:rPr>
                <w:szCs w:val="22"/>
              </w:rPr>
              <w:br/>
            </w:r>
            <w:r>
              <w:rPr>
                <w:szCs w:val="22"/>
              </w:rPr>
              <w:br/>
            </w:r>
          </w:p>
          <w:p>
            <w:pPr>
              <w:pStyle w:val="yTableNAm"/>
              <w:rPr>
                <w:szCs w:val="22"/>
              </w:rPr>
            </w:pPr>
            <w:r>
              <w:rPr>
                <w:szCs w:val="22"/>
              </w:rPr>
              <w:t>$84</w:t>
            </w:r>
          </w:p>
        </w:tc>
      </w:tr>
      <w:tr>
        <w:trPr>
          <w:cantSplit/>
        </w:trPr>
        <w:tc>
          <w:tcPr>
            <w:tcW w:w="567" w:type="dxa"/>
          </w:tcPr>
          <w:p>
            <w:pPr>
              <w:pStyle w:val="yTableNAm"/>
            </w:pPr>
            <w:r>
              <w:t>7.</w:t>
            </w:r>
          </w:p>
        </w:tc>
        <w:tc>
          <w:tcPr>
            <w:tcW w:w="3119" w:type="dxa"/>
          </w:tcPr>
          <w:p>
            <w:pPr>
              <w:pStyle w:val="yTableNAm"/>
              <w:tabs>
                <w:tab w:val="clear" w:pos="567"/>
              </w:tabs>
            </w:pPr>
            <w:r>
              <w:t>Fee payable by a person for a criminal record check, obtained by Board with consent of the person under section 44</w:t>
            </w:r>
          </w:p>
        </w:tc>
        <w:tc>
          <w:tcPr>
            <w:tcW w:w="1701" w:type="dxa"/>
          </w:tcPr>
          <w:p>
            <w:pPr>
              <w:pStyle w:val="yTableNAm"/>
            </w:pPr>
            <w:r>
              <w:t>s. 128(2)(i)</w:t>
            </w:r>
          </w:p>
        </w:tc>
        <w:tc>
          <w:tcPr>
            <w:tcW w:w="1134" w:type="dxa"/>
          </w:tcPr>
          <w:p>
            <w:pPr>
              <w:pStyle w:val="yTableNAm"/>
              <w:rPr>
                <w:szCs w:val="22"/>
              </w:rPr>
            </w:pPr>
            <w:r>
              <w:rPr>
                <w:szCs w:val="22"/>
              </w:rPr>
              <w:t>$52</w:t>
            </w:r>
          </w:p>
        </w:tc>
      </w:tr>
      <w:tr>
        <w:trPr>
          <w:cantSplit/>
        </w:trPr>
        <w:tc>
          <w:tcPr>
            <w:tcW w:w="567" w:type="dxa"/>
          </w:tcPr>
          <w:p>
            <w:pPr>
              <w:pStyle w:val="yTableNAm"/>
            </w:pPr>
            <w:r>
              <w:t>8.</w:t>
            </w:r>
          </w:p>
        </w:tc>
        <w:tc>
          <w:tcPr>
            <w:tcW w:w="3119" w:type="dxa"/>
          </w:tcPr>
          <w:p>
            <w:pPr>
              <w:pStyle w:val="yTableNAm"/>
              <w:tabs>
                <w:tab w:val="clear" w:pos="567"/>
              </w:tabs>
            </w:pPr>
            <w:r>
              <w:t>Fee payable by a person who applies for a certified copy of the register or an entry in the register for the copy</w:t>
            </w:r>
          </w:p>
        </w:tc>
        <w:tc>
          <w:tcPr>
            <w:tcW w:w="1701" w:type="dxa"/>
          </w:tcPr>
          <w:p>
            <w:pPr>
              <w:pStyle w:val="yTableNAm"/>
            </w:pPr>
            <w:r>
              <w:t>s. 37(5)</w:t>
            </w:r>
          </w:p>
        </w:tc>
        <w:tc>
          <w:tcPr>
            <w:tcW w:w="1134" w:type="dxa"/>
          </w:tcPr>
          <w:p>
            <w:pPr>
              <w:pStyle w:val="yTableNAm"/>
              <w:rPr>
                <w:szCs w:val="22"/>
              </w:rPr>
            </w:pPr>
            <w:r>
              <w:rPr>
                <w:szCs w:val="22"/>
              </w:rPr>
              <w:t>$52 per entry up to a maximum fee of $150</w:t>
            </w:r>
          </w:p>
        </w:tc>
      </w:tr>
      <w:tr>
        <w:trPr>
          <w:cantSplit/>
        </w:trPr>
        <w:tc>
          <w:tcPr>
            <w:tcW w:w="567" w:type="dxa"/>
          </w:tcPr>
          <w:p>
            <w:pPr>
              <w:pStyle w:val="yTableNAm"/>
            </w:pPr>
            <w:r>
              <w:t>9.</w:t>
            </w:r>
          </w:p>
        </w:tc>
        <w:tc>
          <w:tcPr>
            <w:tcW w:w="3119" w:type="dxa"/>
          </w:tcPr>
          <w:p>
            <w:pPr>
              <w:pStyle w:val="yTableNAm"/>
              <w:tabs>
                <w:tab w:val="clear" w:pos="567"/>
              </w:tabs>
            </w:pPr>
            <w:r>
              <w:t>Late payment processing fee</w:t>
            </w:r>
          </w:p>
        </w:tc>
        <w:tc>
          <w:tcPr>
            <w:tcW w:w="1701" w:type="dxa"/>
          </w:tcPr>
          <w:p>
            <w:pPr>
              <w:pStyle w:val="yTableNAm"/>
            </w:pPr>
            <w:r>
              <w:t>r. 28(5)</w:t>
            </w:r>
          </w:p>
        </w:tc>
        <w:tc>
          <w:tcPr>
            <w:tcW w:w="1134" w:type="dxa"/>
          </w:tcPr>
          <w:p>
            <w:pPr>
              <w:pStyle w:val="yTableNAm"/>
              <w:rPr>
                <w:szCs w:val="22"/>
              </w:rPr>
            </w:pPr>
            <w:r>
              <w:rPr>
                <w:szCs w:val="22"/>
              </w:rPr>
              <w:t>$52</w:t>
            </w:r>
          </w:p>
        </w:tc>
      </w:tr>
      <w:tr>
        <w:trPr>
          <w:cantSplit/>
        </w:trPr>
        <w:tc>
          <w:tcPr>
            <w:tcW w:w="567" w:type="dxa"/>
          </w:tcPr>
          <w:p>
            <w:pPr>
              <w:pStyle w:val="yTableNAm"/>
            </w:pPr>
            <w:r>
              <w:t>10.</w:t>
            </w:r>
          </w:p>
        </w:tc>
        <w:tc>
          <w:tcPr>
            <w:tcW w:w="3119" w:type="dxa"/>
          </w:tcPr>
          <w:p>
            <w:pPr>
              <w:pStyle w:val="yTableNAm"/>
              <w:tabs>
                <w:tab w:val="clear" w:pos="567"/>
              </w:tabs>
            </w:pPr>
            <w:r>
              <w:t>Fee payable for a replacement registration card</w:t>
            </w:r>
          </w:p>
        </w:tc>
        <w:tc>
          <w:tcPr>
            <w:tcW w:w="1701" w:type="dxa"/>
          </w:tcPr>
          <w:p>
            <w:pPr>
              <w:pStyle w:val="yTableNAm"/>
            </w:pPr>
            <w:r>
              <w:t>r. 20(4)</w:t>
            </w:r>
          </w:p>
        </w:tc>
        <w:tc>
          <w:tcPr>
            <w:tcW w:w="1134" w:type="dxa"/>
          </w:tcPr>
          <w:p>
            <w:pPr>
              <w:pStyle w:val="yTableNAm"/>
              <w:rPr>
                <w:szCs w:val="22"/>
              </w:rPr>
            </w:pPr>
            <w:r>
              <w:rPr>
                <w:szCs w:val="22"/>
              </w:rPr>
              <w:t>$52</w:t>
            </w:r>
          </w:p>
        </w:tc>
      </w:tr>
      <w:tr>
        <w:trPr>
          <w:cantSplit/>
        </w:trPr>
        <w:tc>
          <w:tcPr>
            <w:tcW w:w="567" w:type="dxa"/>
          </w:tcPr>
          <w:p>
            <w:pPr>
              <w:pStyle w:val="yTableNAm"/>
            </w:pPr>
            <w:r>
              <w:t>11.</w:t>
            </w:r>
          </w:p>
        </w:tc>
        <w:tc>
          <w:tcPr>
            <w:tcW w:w="3119" w:type="dxa"/>
          </w:tcPr>
          <w:p>
            <w:pPr>
              <w:pStyle w:val="yTableNAm"/>
              <w:tabs>
                <w:tab w:val="clear" w:pos="567"/>
              </w:tabs>
            </w:pPr>
            <w:r>
              <w:t>Fee payable by a person seeking advice about additional qualifications required for registration</w:t>
            </w:r>
          </w:p>
        </w:tc>
        <w:tc>
          <w:tcPr>
            <w:tcW w:w="1701" w:type="dxa"/>
          </w:tcPr>
          <w:p>
            <w:pPr>
              <w:pStyle w:val="yTableNAm"/>
            </w:pPr>
            <w:r>
              <w:t>r. 19(2)(a)(i) or (ii)</w:t>
            </w:r>
          </w:p>
        </w:tc>
        <w:tc>
          <w:tcPr>
            <w:tcW w:w="1134" w:type="dxa"/>
          </w:tcPr>
          <w:p>
            <w:pPr>
              <w:pStyle w:val="yTableNAm"/>
              <w:rPr>
                <w:szCs w:val="22"/>
              </w:rPr>
            </w:pPr>
            <w:r>
              <w:rPr>
                <w:szCs w:val="22"/>
              </w:rPr>
              <w:t>$293</w:t>
            </w:r>
          </w:p>
        </w:tc>
      </w:tr>
      <w:tr>
        <w:trPr>
          <w:cantSplit/>
        </w:trPr>
        <w:tc>
          <w:tcPr>
            <w:tcW w:w="567" w:type="dxa"/>
          </w:tcPr>
          <w:p>
            <w:pPr>
              <w:pStyle w:val="yTableNAm"/>
            </w:pPr>
            <w:r>
              <w:t>12.</w:t>
            </w:r>
          </w:p>
        </w:tc>
        <w:tc>
          <w:tcPr>
            <w:tcW w:w="3119" w:type="dxa"/>
          </w:tcPr>
          <w:p>
            <w:pPr>
              <w:pStyle w:val="yTableNAm"/>
              <w:tabs>
                <w:tab w:val="clear" w:pos="567"/>
              </w:tabs>
            </w:pPr>
            <w:r>
              <w:t>Fee payable by a person seeking advice about being a fit and proper person to be registered</w:t>
            </w:r>
          </w:p>
        </w:tc>
        <w:tc>
          <w:tcPr>
            <w:tcW w:w="1701" w:type="dxa"/>
          </w:tcPr>
          <w:p>
            <w:pPr>
              <w:pStyle w:val="yTableNAm"/>
            </w:pPr>
            <w:r>
              <w:t>r. 19(2)(b)</w:t>
            </w:r>
          </w:p>
        </w:tc>
        <w:tc>
          <w:tcPr>
            <w:tcW w:w="1134" w:type="dxa"/>
          </w:tcPr>
          <w:p>
            <w:pPr>
              <w:pStyle w:val="yTableNAm"/>
              <w:rPr>
                <w:szCs w:val="22"/>
              </w:rPr>
            </w:pPr>
            <w:r>
              <w:rPr>
                <w:szCs w:val="22"/>
              </w:rPr>
              <w:t>$52</w:t>
            </w:r>
          </w:p>
        </w:tc>
      </w:tr>
    </w:tbl>
    <w:p>
      <w:pPr>
        <w:pStyle w:val="yFootnotesection"/>
      </w:pPr>
      <w:r>
        <w:tab/>
        <w:t>[Schedule 1 amended in Gazette 13 Aug 2013 p. 3735-6; 1 Jul 2014 p. 2339-40.]</w:t>
      </w:r>
    </w:p>
    <w:p>
      <w:pPr>
        <w:sectPr>
          <w:headerReference w:type="even" r:id="rId27"/>
          <w:headerReference w:type="default" r:id="rId28"/>
          <w:pgSz w:w="11907" w:h="16840" w:code="9"/>
          <w:pgMar w:top="2381" w:right="2410" w:bottom="3544" w:left="2410" w:header="720" w:footer="3380" w:gutter="0"/>
          <w:cols w:space="720"/>
          <w:docGrid w:linePitch="78"/>
        </w:sectPr>
      </w:pPr>
    </w:p>
    <w:p>
      <w:pPr>
        <w:pStyle w:val="yScheduleHeading"/>
        <w:pageBreakBefore w:val="0"/>
        <w:outlineLvl w:val="0"/>
      </w:pPr>
      <w:bookmarkStart w:id="123" w:name="_Toc391991557"/>
      <w:bookmarkStart w:id="124" w:name="_Toc393700365"/>
      <w:bookmarkStart w:id="125" w:name="_Toc413923341"/>
      <w:bookmarkStart w:id="126" w:name="_Toc413923597"/>
      <w:bookmarkStart w:id="127" w:name="_Toc413924255"/>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123"/>
      <w:bookmarkEnd w:id="124"/>
      <w:bookmarkEnd w:id="125"/>
      <w:bookmarkEnd w:id="126"/>
      <w:bookmarkEnd w:id="127"/>
    </w:p>
    <w:p>
      <w:pPr>
        <w:pStyle w:val="yShoulderClause"/>
        <w:spacing w:after="60"/>
      </w:pPr>
      <w:r>
        <w:t>[r. 14]</w:t>
      </w:r>
    </w:p>
    <w:p>
      <w:pPr>
        <w:pStyle w:val="yMiscellaneousHeading"/>
        <w:spacing w:after="120"/>
        <w:ind w:left="142"/>
        <w:rPr>
          <w:b/>
        </w:rPr>
      </w:pPr>
      <w:r>
        <w:rPr>
          <w:b/>
        </w:rPr>
        <w:t>Form 1 — Notice of intention to apply for limited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b/>
                <w:szCs w:val="22"/>
              </w:rPr>
            </w:pPr>
            <w:r>
              <w:rPr>
                <w:b/>
                <w:szCs w:val="22"/>
              </w:rPr>
              <w:t>Nominee’s Details</w:t>
            </w:r>
          </w:p>
        </w:tc>
      </w:tr>
      <w:t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c>
          <w:tcPr>
            <w:tcW w:w="2235" w:type="dxa"/>
          </w:tcPr>
          <w:p>
            <w:pPr>
              <w:pStyle w:val="yTableNAm"/>
              <w:rPr>
                <w:szCs w:val="22"/>
              </w:rPr>
            </w:pPr>
            <w:r>
              <w:rPr>
                <w:szCs w:val="22"/>
              </w:rPr>
              <w:t>Family name</w:t>
            </w:r>
          </w:p>
        </w:tc>
        <w:tc>
          <w:tcPr>
            <w:tcW w:w="4961" w:type="dxa"/>
            <w:gridSpan w:val="4"/>
          </w:tcPr>
          <w:p>
            <w:pPr>
              <w:pStyle w:val="yTableNAm"/>
              <w:rPr>
                <w:szCs w:val="22"/>
              </w:rPr>
            </w:pPr>
          </w:p>
        </w:tc>
      </w:tr>
      <w:t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c>
          <w:tcPr>
            <w:tcW w:w="2235" w:type="dxa"/>
          </w:tcPr>
          <w:p>
            <w:pPr>
              <w:pStyle w:val="yTableNAm"/>
              <w:rPr>
                <w:szCs w:val="22"/>
              </w:rPr>
            </w:pPr>
            <w:r>
              <w:rPr>
                <w:szCs w:val="22"/>
              </w:rPr>
              <w:t>Date of birth</w:t>
            </w:r>
          </w:p>
        </w:tc>
        <w:tc>
          <w:tcPr>
            <w:tcW w:w="4961" w:type="dxa"/>
            <w:gridSpan w:val="4"/>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Borders>
              <w:bottom w:val="single" w:sz="4" w:space="0" w:color="auto"/>
            </w:tcBorders>
          </w:tcPr>
          <w:p>
            <w:pPr>
              <w:pStyle w:val="yTableNAm"/>
              <w:rPr>
                <w:b/>
                <w:szCs w:val="22"/>
              </w:rPr>
            </w:pPr>
            <w:r>
              <w:rPr>
                <w:b/>
                <w:szCs w:val="22"/>
              </w:rPr>
              <w:t>PRIMARY APPLICANT</w:t>
            </w:r>
          </w:p>
        </w:tc>
      </w:tr>
      <w:tr>
        <w:tc>
          <w:tcPr>
            <w:tcW w:w="7196" w:type="dxa"/>
            <w:gridSpan w:val="5"/>
            <w:tcBorders>
              <w:bottom w:val="single" w:sz="4" w:space="0" w:color="auto"/>
            </w:tcBorders>
          </w:tcPr>
          <w:p>
            <w:pPr>
              <w:pStyle w:val="yTableNAm"/>
            </w:pPr>
            <w:r>
              <w:rPr>
                <w:b/>
                <w:szCs w:val="22"/>
              </w:rPr>
              <w:t>Employer Details</w:t>
            </w:r>
          </w:p>
        </w:tc>
      </w:tr>
      <w:t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trPr>
        <w:tc>
          <w:tcPr>
            <w:tcW w:w="2235" w:type="dxa"/>
            <w:vMerge w:val="restart"/>
          </w:tcPr>
          <w:p>
            <w:pPr>
              <w:pStyle w:val="yTableNAm"/>
            </w:pPr>
            <w:r>
              <w:t>Employer’s postal address</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pPr>
            <w:r>
              <w:rPr>
                <w:b/>
                <w:szCs w:val="22"/>
              </w:rPr>
              <w:t>Educational Venue</w:t>
            </w:r>
            <w:r>
              <w:t xml:space="preserve"> </w:t>
            </w:r>
          </w:p>
        </w:tc>
      </w:tr>
      <w:tr>
        <w:tc>
          <w:tcPr>
            <w:tcW w:w="7196" w:type="dxa"/>
            <w:gridSpan w:val="5"/>
          </w:tcPr>
          <w:p>
            <w:pPr>
              <w:pStyle w:val="yTableNAm"/>
              <w:rPr>
                <w:szCs w:val="22"/>
              </w:rPr>
            </w:pPr>
            <w:r>
              <w:rPr>
                <w:szCs w:val="22"/>
              </w:rPr>
              <w:t>Please provide details of the school or centre where the nominee is to be employed</w:t>
            </w:r>
          </w:p>
        </w:tc>
      </w:tr>
      <w:t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trPr>
        <w:tc>
          <w:tcPr>
            <w:tcW w:w="7196" w:type="dxa"/>
            <w:gridSpan w:val="5"/>
            <w:tcBorders>
              <w:left w:val="nil"/>
              <w:bottom w:val="single" w:sz="4" w:space="0" w:color="auto"/>
              <w:right w:val="nil"/>
            </w:tcBorders>
          </w:tcPr>
          <w:p>
            <w:pPr>
              <w:pStyle w:val="yTableNAm"/>
              <w:rPr>
                <w:szCs w:val="22"/>
              </w:rPr>
            </w:pPr>
          </w:p>
        </w:tc>
      </w:tr>
      <w:tr>
        <w:trPr>
          <w:trHeight w:val="255"/>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2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keepNext/>
              <w:rPr>
                <w:szCs w:val="22"/>
              </w:rPr>
            </w:pPr>
            <w:r>
              <w:rPr>
                <w:b/>
                <w:szCs w:val="22"/>
              </w:rPr>
              <w:t>Educational Venue</w:t>
            </w:r>
            <w:r>
              <w:rPr>
                <w:szCs w:val="22"/>
              </w:rPr>
              <w:t xml:space="preserve"> </w:t>
            </w:r>
            <w:r>
              <w:rPr>
                <w:b/>
                <w:szCs w:val="22"/>
              </w:rPr>
              <w:t>2</w:t>
            </w:r>
            <w:r>
              <w:rPr>
                <w:szCs w:val="22"/>
              </w:rPr>
              <w:t xml:space="preserve"> </w:t>
            </w:r>
          </w:p>
        </w:tc>
      </w:tr>
      <w:tr>
        <w:tc>
          <w:tcPr>
            <w:tcW w:w="7196" w:type="dxa"/>
            <w:gridSpan w:val="5"/>
          </w:tcPr>
          <w:p>
            <w:pPr>
              <w:pStyle w:val="yTableNAm"/>
              <w:rPr>
                <w:szCs w:val="22"/>
              </w:rPr>
            </w:pPr>
            <w:r>
              <w:rPr>
                <w:szCs w:val="22"/>
              </w:rPr>
              <w:t>Please provide details of the second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2</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szCs w:val="22"/>
              </w:rPr>
            </w:pPr>
            <w:r>
              <w:rPr>
                <w:b/>
                <w:szCs w:val="22"/>
              </w:rPr>
              <w:t>Employer 3 Details</w:t>
            </w:r>
            <w:r>
              <w:rPr>
                <w:szCs w:val="22"/>
              </w:rPr>
              <w:t xml:space="preserve">  </w:t>
            </w:r>
            <w:r>
              <w:rPr>
                <w:sz w:val="20"/>
              </w:rPr>
              <w:t>(only required if a third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3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rPr>
                <w:szCs w:val="22"/>
              </w:rPr>
            </w:pPr>
            <w:r>
              <w:rPr>
                <w:b/>
                <w:szCs w:val="22"/>
              </w:rPr>
              <w:t>Educational Venue</w:t>
            </w:r>
            <w:r>
              <w:rPr>
                <w:szCs w:val="22"/>
              </w:rPr>
              <w:t xml:space="preserve"> </w:t>
            </w:r>
            <w:r>
              <w:rPr>
                <w:b/>
                <w:szCs w:val="22"/>
              </w:rPr>
              <w:t>3</w:t>
            </w:r>
            <w:r>
              <w:rPr>
                <w:b/>
                <w:sz w:val="20"/>
              </w:rPr>
              <w:t xml:space="preserve"> </w:t>
            </w:r>
          </w:p>
        </w:tc>
      </w:tr>
      <w:tr>
        <w:tc>
          <w:tcPr>
            <w:tcW w:w="7196" w:type="dxa"/>
            <w:gridSpan w:val="5"/>
          </w:tcPr>
          <w:p>
            <w:pPr>
              <w:pStyle w:val="yTableNAm"/>
              <w:rPr>
                <w:szCs w:val="22"/>
              </w:rPr>
            </w:pPr>
            <w:r>
              <w:rPr>
                <w:szCs w:val="22"/>
              </w:rPr>
              <w:t>Please provide details of the third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3</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Pr>
          <w:p>
            <w:pPr>
              <w:pStyle w:val="yTableNAm"/>
              <w:keepNext/>
              <w:rPr>
                <w:szCs w:val="22"/>
              </w:rPr>
            </w:pPr>
            <w:r>
              <w:rPr>
                <w:szCs w:val="22"/>
              </w:rPr>
              <w:t>Date of commencement of employment</w:t>
            </w:r>
          </w:p>
        </w:tc>
        <w:tc>
          <w:tcPr>
            <w:tcW w:w="4961" w:type="dxa"/>
            <w:gridSpan w:val="4"/>
          </w:tcPr>
          <w:p>
            <w:pPr>
              <w:pStyle w:val="yTableNAm"/>
              <w:keepNext/>
              <w:tabs>
                <w:tab w:val="clear" w:pos="567"/>
              </w:tabs>
              <w:rPr>
                <w:szCs w:val="22"/>
              </w:rPr>
            </w:pPr>
          </w:p>
        </w:tc>
      </w:tr>
    </w:tbl>
    <w:p>
      <w:pPr>
        <w:sectPr>
          <w:headerReference w:type="even" r:id="rId29"/>
          <w:headerReference w:type="default" r:id="rId30"/>
          <w:headerReference w:type="first" r:id="rId31"/>
          <w:endnotePr>
            <w:numFmt w:val="decimal"/>
          </w:endnotePr>
          <w:pgSz w:w="11907" w:h="16840" w:code="9"/>
          <w:pgMar w:top="2381" w:right="2410" w:bottom="3544" w:left="2410" w:header="720" w:footer="3379" w:gutter="0"/>
          <w:cols w:space="720"/>
          <w:noEndnote/>
          <w:docGrid w:linePitch="78"/>
        </w:sectPr>
      </w:pPr>
    </w:p>
    <w:p>
      <w:pPr>
        <w:pStyle w:val="nHeading2"/>
      </w:pPr>
      <w:bookmarkStart w:id="128" w:name="_Toc391991558"/>
      <w:bookmarkStart w:id="129" w:name="_Toc393700366"/>
      <w:bookmarkStart w:id="130" w:name="_Toc413923342"/>
      <w:bookmarkStart w:id="131" w:name="_Toc413923598"/>
      <w:bookmarkStart w:id="132" w:name="_Toc413924256"/>
      <w:r>
        <w:t>Notes</w:t>
      </w:r>
      <w:bookmarkEnd w:id="128"/>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rPr>
        <w:t>Teacher Registration (General) Regulations 2012</w:t>
      </w:r>
      <w:r>
        <w:rPr>
          <w:snapToGrid w:val="0"/>
        </w:rPr>
        <w:t xml:space="preserve"> and includes the amendments made by the other written laws referred to in the following table.  </w:t>
      </w:r>
    </w:p>
    <w:p>
      <w:pPr>
        <w:pStyle w:val="nHeading3"/>
      </w:pPr>
      <w:bookmarkStart w:id="133" w:name="_Toc393700367"/>
      <w:bookmarkStart w:id="134" w:name="_Toc413924257"/>
      <w:r>
        <w:t>Compilation table</w:t>
      </w:r>
      <w:bookmarkEnd w:id="133"/>
      <w:bookmarkEnd w:id="1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Teacher Registration (General) Regulations 2012</w:t>
            </w:r>
          </w:p>
        </w:tc>
        <w:tc>
          <w:tcPr>
            <w:tcW w:w="1276" w:type="dxa"/>
            <w:tcBorders>
              <w:bottom w:val="nil"/>
            </w:tcBorders>
          </w:tcPr>
          <w:p>
            <w:pPr>
              <w:pStyle w:val="nTable"/>
              <w:spacing w:after="40"/>
            </w:pPr>
            <w:r>
              <w:t>16 Nov 2012 p. 5571-609</w:t>
            </w:r>
          </w:p>
        </w:tc>
        <w:tc>
          <w:tcPr>
            <w:tcW w:w="2693" w:type="dxa"/>
            <w:tcBorders>
              <w:bottom w:val="nil"/>
            </w:tcBorders>
          </w:tcPr>
          <w:p>
            <w:pPr>
              <w:pStyle w:val="nTable"/>
              <w:spacing w:after="40"/>
              <w:rPr>
                <w:i/>
              </w:rPr>
            </w:pPr>
            <w:r>
              <w:rPr>
                <w:snapToGrid w:val="0"/>
                <w:spacing w:val="-2"/>
              </w:rPr>
              <w:t xml:space="preserve">r. 1 and 2: </w:t>
            </w:r>
            <w:r>
              <w:t xml:space="preserve">16 Nov 2012 </w:t>
            </w:r>
            <w:r>
              <w:rPr>
                <w:snapToGrid w:val="0"/>
                <w:spacing w:val="-2"/>
              </w:rPr>
              <w:t>(see r. 2(a));</w:t>
            </w:r>
            <w:r>
              <w:rPr>
                <w:snapToGrid w:val="0"/>
                <w:spacing w:val="-2"/>
              </w:rPr>
              <w:br/>
              <w:t xml:space="preserve">Regulations other than r. 1 and 2: </w:t>
            </w:r>
            <w:r>
              <w:t xml:space="preserve">7 Dec 2012 </w:t>
            </w:r>
            <w:r>
              <w:rPr>
                <w:snapToGrid w:val="0"/>
                <w:spacing w:val="-2"/>
              </w:rPr>
              <w:t xml:space="preserve">(see r. 2(b) and </w:t>
            </w:r>
            <w:r>
              <w:rPr>
                <w:i/>
                <w:snapToGrid w:val="0"/>
                <w:spacing w:val="-2"/>
              </w:rPr>
              <w:t xml:space="preserve">Gazette </w:t>
            </w:r>
            <w:r>
              <w:rPr>
                <w:snapToGrid w:val="0"/>
                <w:spacing w:val="-2"/>
              </w:rPr>
              <w:t>16 Nov 2012 p. 5637)</w:t>
            </w:r>
          </w:p>
        </w:tc>
      </w:tr>
      <w:tr>
        <w:tc>
          <w:tcPr>
            <w:tcW w:w="3118"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3" w:type="dxa"/>
            <w:tcBorders>
              <w:top w:val="nil"/>
              <w:bottom w:val="nil"/>
            </w:tcBorders>
          </w:tcPr>
          <w:p>
            <w:pPr>
              <w:pStyle w:val="nTable"/>
              <w:spacing w:after="40"/>
              <w:rPr>
                <w:snapToGrid w:val="0"/>
                <w:spacing w:val="-2"/>
              </w:rPr>
            </w:pPr>
            <w:r>
              <w:t xml:space="preserve">7 May 2013 </w:t>
            </w:r>
            <w:r>
              <w:rPr>
                <w:snapToGrid w:val="0"/>
                <w:spacing w:val="-2"/>
              </w:rPr>
              <w:t>(see note under r. 1)</w:t>
            </w:r>
          </w:p>
        </w:tc>
      </w:tr>
      <w:tr>
        <w:tc>
          <w:tcPr>
            <w:tcW w:w="3118"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3" w:type="dxa"/>
            <w:tcBorders>
              <w:top w:val="nil"/>
              <w:bottom w:val="nil"/>
            </w:tcBorders>
          </w:tcPr>
          <w:p>
            <w:pPr>
              <w:pStyle w:val="nTable"/>
              <w:spacing w:after="40"/>
            </w:pPr>
            <w:r>
              <w:t>r. 1 and 2: 13 Aug 2013 (see r. 2(a));</w:t>
            </w:r>
            <w:r>
              <w:br/>
              <w:t>Regulations other than r. 1 and 2: 14 Aug 2013 (see r. 2(b))</w:t>
            </w:r>
          </w:p>
        </w:tc>
      </w:tr>
      <w:tr>
        <w:tc>
          <w:tcPr>
            <w:tcW w:w="3118"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3" w:type="dxa"/>
            <w:tcBorders>
              <w:top w:val="nil"/>
              <w:bottom w:val="nil"/>
            </w:tcBorders>
          </w:tcPr>
          <w:p>
            <w:pPr>
              <w:pStyle w:val="nTable"/>
              <w:spacing w:after="40"/>
            </w:pPr>
            <w:r>
              <w:t>r. 1 and 2: 28 Jan 2014 (see r. 2(a));</w:t>
            </w:r>
            <w:r>
              <w:br/>
              <w:t>Regulations other than r. 1 and 2: 10 Feb 2014 (see r. 2(b))</w:t>
            </w:r>
          </w:p>
        </w:tc>
      </w:tr>
      <w:tr>
        <w:tc>
          <w:tcPr>
            <w:tcW w:w="3118" w:type="dxa"/>
            <w:tcBorders>
              <w:top w:val="nil"/>
              <w:bottom w:val="nil"/>
            </w:tcBorders>
          </w:tcPr>
          <w:p>
            <w:pPr>
              <w:pStyle w:val="nTable"/>
              <w:spacing w:after="40"/>
              <w:rPr>
                <w:i/>
              </w:rPr>
            </w:pPr>
            <w:r>
              <w:rPr>
                <w:i/>
                <w:snapToGrid w:val="0"/>
                <w:lang w:val="en-US"/>
              </w:rPr>
              <w:t>Teacher Registration (General) Amendment Regulations (No. 3) 2014</w:t>
            </w:r>
            <w:r>
              <w:rPr>
                <w:snapToGrid w:val="0"/>
                <w:vertAlign w:val="superscript"/>
                <w:lang w:val="en-US"/>
              </w:rPr>
              <w:t xml:space="preserve"> </w:t>
            </w:r>
          </w:p>
        </w:tc>
        <w:tc>
          <w:tcPr>
            <w:tcW w:w="1276" w:type="dxa"/>
            <w:tcBorders>
              <w:top w:val="nil"/>
              <w:bottom w:val="nil"/>
            </w:tcBorders>
          </w:tcPr>
          <w:p>
            <w:pPr>
              <w:pStyle w:val="nTable"/>
              <w:spacing w:after="40"/>
            </w:pPr>
            <w:r>
              <w:t>1 Jul 2014 p. 2339</w:t>
            </w:r>
            <w:r>
              <w:noBreakHyphen/>
              <w:t>40</w:t>
            </w:r>
          </w:p>
        </w:tc>
        <w:tc>
          <w:tcPr>
            <w:tcW w:w="2693" w:type="dxa"/>
            <w:tcBorders>
              <w:top w:val="nil"/>
              <w:bottom w:val="nil"/>
            </w:tcBorders>
          </w:tcPr>
          <w:p>
            <w:pPr>
              <w:pStyle w:val="nTable"/>
              <w:spacing w:after="40"/>
            </w:pPr>
            <w:r>
              <w:t>r. 1 and 2: 1 Jul 2014 (see r. 2(a));</w:t>
            </w:r>
            <w:r>
              <w:br/>
              <w:t>Regulations other than r. 1 and 2: 21 Jul 2014 (see r. 2(b))</w:t>
            </w:r>
          </w:p>
        </w:tc>
      </w:tr>
      <w:tr>
        <w:tc>
          <w:tcPr>
            <w:tcW w:w="3118" w:type="dxa"/>
            <w:tcBorders>
              <w:top w:val="nil"/>
              <w:bottom w:val="single" w:sz="4" w:space="0" w:color="auto"/>
            </w:tcBorders>
          </w:tcPr>
          <w:p>
            <w:pPr>
              <w:pStyle w:val="nTable"/>
              <w:spacing w:after="40"/>
              <w:rPr>
                <w:i/>
                <w:snapToGrid w:val="0"/>
                <w:lang w:val="en-US"/>
              </w:rPr>
            </w:pPr>
            <w:r>
              <w:rPr>
                <w:i/>
                <w:snapToGrid w:val="0"/>
                <w:lang w:val="en-US"/>
              </w:rPr>
              <w:t>Teacher Registration (General) Amendment Regulations 2015</w:t>
            </w:r>
          </w:p>
        </w:tc>
        <w:tc>
          <w:tcPr>
            <w:tcW w:w="1276" w:type="dxa"/>
            <w:tcBorders>
              <w:top w:val="nil"/>
              <w:bottom w:val="single" w:sz="4" w:space="0" w:color="auto"/>
            </w:tcBorders>
          </w:tcPr>
          <w:p>
            <w:pPr>
              <w:pStyle w:val="nTable"/>
              <w:spacing w:after="40"/>
            </w:pPr>
            <w:r>
              <w:t>13 Mar 2015 p. 849</w:t>
            </w:r>
          </w:p>
        </w:tc>
        <w:tc>
          <w:tcPr>
            <w:tcW w:w="2693" w:type="dxa"/>
            <w:tcBorders>
              <w:top w:val="nil"/>
              <w:bottom w:val="single" w:sz="4" w:space="0" w:color="auto"/>
            </w:tcBorders>
          </w:tcPr>
          <w:p>
            <w:pPr>
              <w:pStyle w:val="nTable"/>
              <w:spacing w:after="40"/>
            </w:pPr>
            <w:r>
              <w:rPr>
                <w:snapToGrid w:val="0"/>
              </w:rPr>
              <w:t>r. 1 and 2: 13 Mar 2015 (see r. 2(a));</w:t>
            </w:r>
            <w:r>
              <w:rPr>
                <w:snapToGrid w:val="0"/>
              </w:rPr>
              <w:br/>
              <w:t>Regulations other than r. 1 and 2: 14 Mar 2015 (see r. 2(b))</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137" w:name="_Toc413923600"/>
      <w:bookmarkStart w:id="138" w:name="_Toc413924258"/>
      <w:r>
        <w:rPr>
          <w:sz w:val="28"/>
        </w:rPr>
        <w:t>Defined terms</w:t>
      </w:r>
      <w:bookmarkEnd w:id="137"/>
      <w:bookmarkEnd w:id="1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nominated supervisor </w:t>
      </w:r>
      <w:r>
        <w:tab/>
        <w:t>21B(1)</w:t>
      </w:r>
    </w:p>
    <w:p>
      <w:pPr>
        <w:pStyle w:val="DefinedTerms"/>
      </w:pPr>
      <w:r>
        <w:t xml:space="preserve">supervising officer </w:t>
      </w:r>
      <w:r>
        <w:tab/>
        <w:t>21B(1)</w:t>
      </w:r>
    </w:p>
    <w:p>
      <w:pPr>
        <w:pStyle w:val="DefinedTerms"/>
      </w:pPr>
      <w:r>
        <w:t>Aboriginal person</w:t>
      </w:r>
      <w:r>
        <w:tab/>
        <w:t>11(7)</w:t>
      </w:r>
    </w:p>
    <w:p>
      <w:pPr>
        <w:pStyle w:val="DefinedTerms"/>
      </w:pPr>
      <w:r>
        <w:t>ACARA</w:t>
      </w:r>
      <w:r>
        <w:tab/>
        <w:t>3</w:t>
      </w:r>
    </w:p>
    <w:p>
      <w:pPr>
        <w:pStyle w:val="DefinedTerms"/>
      </w:pPr>
      <w:r>
        <w:t>account</w:t>
      </w:r>
      <w:r>
        <w:tab/>
        <w:t>23(1)</w:t>
      </w:r>
    </w:p>
    <w:p>
      <w:pPr>
        <w:pStyle w:val="DefinedTerms"/>
      </w:pPr>
      <w:r>
        <w:t>Australian university</w:t>
      </w:r>
      <w:r>
        <w:tab/>
        <w:t>12(1)</w:t>
      </w:r>
    </w:p>
    <w:p>
      <w:pPr>
        <w:pStyle w:val="DefinedTerms"/>
      </w:pPr>
      <w:r>
        <w:t>centre</w:t>
      </w:r>
      <w:r>
        <w:noBreakHyphen/>
        <w:t>based service</w:t>
      </w:r>
      <w:r>
        <w:tab/>
        <w:t>21B(1)</w:t>
      </w:r>
    </w:p>
    <w:p>
      <w:pPr>
        <w:pStyle w:val="DefinedTerms"/>
      </w:pPr>
      <w:r>
        <w:t>child care service</w:t>
      </w:r>
      <w:r>
        <w:tab/>
        <w:t>21B(1)</w:t>
      </w:r>
    </w:p>
    <w:p>
      <w:pPr>
        <w:pStyle w:val="DefinedTerms"/>
      </w:pPr>
      <w:r>
        <w:t>College</w:t>
      </w:r>
      <w:r>
        <w:tab/>
        <w:t>29</w:t>
      </w:r>
    </w:p>
    <w:p>
      <w:pPr>
        <w:pStyle w:val="DefinedTerms"/>
      </w:pPr>
      <w:r>
        <w:t>commencement day</w:t>
      </w:r>
      <w:r>
        <w:tab/>
        <w:t>29</w:t>
      </w:r>
    </w:p>
    <w:p>
      <w:pPr>
        <w:pStyle w:val="DefinedTerms"/>
      </w:pPr>
      <w:r>
        <w:t>criminal record check</w:t>
      </w:r>
      <w:r>
        <w:tab/>
        <w:t>24(1)</w:t>
      </w:r>
    </w:p>
    <w:p>
      <w:pPr>
        <w:pStyle w:val="DefinedTerms"/>
      </w:pPr>
      <w:r>
        <w:t>CrimTrac agency</w:t>
      </w:r>
      <w:r>
        <w:tab/>
        <w:t>3</w:t>
      </w:r>
    </w:p>
    <w:p>
      <w:pPr>
        <w:pStyle w:val="DefinedTerms"/>
      </w:pPr>
      <w:r>
        <w:t>expiry day</w:t>
      </w:r>
      <w:r>
        <w:tab/>
        <w:t>15(2)</w:t>
      </w:r>
    </w:p>
    <w:p>
      <w:pPr>
        <w:pStyle w:val="DefinedTerms"/>
      </w:pPr>
      <w:r>
        <w:t>first year</w:t>
      </w:r>
      <w:r>
        <w:tab/>
        <w:t>30(2)</w:t>
      </w:r>
    </w:p>
    <w:p>
      <w:pPr>
        <w:pStyle w:val="DefinedTerms"/>
      </w:pPr>
      <w:r>
        <w:t>meeting</w:t>
      </w:r>
      <w:r>
        <w:tab/>
        <w:t>23(1)</w:t>
      </w:r>
    </w:p>
    <w:p>
      <w:pPr>
        <w:pStyle w:val="DefinedTerms"/>
      </w:pPr>
      <w:r>
        <w:t>mutual recognition principle</w:t>
      </w:r>
      <w:r>
        <w:tab/>
        <w:t>3</w:t>
      </w:r>
    </w:p>
    <w:p>
      <w:pPr>
        <w:pStyle w:val="DefinedTerms"/>
      </w:pPr>
      <w:r>
        <w:t>overseas university</w:t>
      </w:r>
      <w:r>
        <w:tab/>
        <w:t>12(1)</w:t>
      </w:r>
    </w:p>
    <w:p>
      <w:pPr>
        <w:pStyle w:val="DefinedTerms"/>
      </w:pPr>
      <w:r>
        <w:t>prescribed person</w:t>
      </w:r>
      <w:r>
        <w:tab/>
        <w:t>21B(1)</w:t>
      </w:r>
    </w:p>
    <w:p>
      <w:pPr>
        <w:pStyle w:val="DefinedTerms"/>
      </w:pPr>
      <w:r>
        <w:t>professional learning activities</w:t>
      </w:r>
      <w:r>
        <w:tab/>
        <w:t>3</w:t>
      </w:r>
    </w:p>
    <w:p>
      <w:pPr>
        <w:pStyle w:val="DefinedTerms"/>
      </w:pPr>
      <w:r>
        <w:t>register information (professional)</w:t>
      </w:r>
      <w:r>
        <w:tab/>
        <w:t>21B(1)</w:t>
      </w:r>
    </w:p>
    <w:p>
      <w:pPr>
        <w:pStyle w:val="DefinedTerms"/>
      </w:pPr>
      <w:r>
        <w:t>registration card</w:t>
      </w:r>
      <w:r>
        <w:tab/>
        <w:t>3</w:t>
      </w:r>
    </w:p>
    <w:p>
      <w:pPr>
        <w:pStyle w:val="DefinedTerms"/>
      </w:pPr>
      <w:r>
        <w:t>relevant information</w:t>
      </w:r>
      <w:r>
        <w:tab/>
        <w:t>19(1)</w:t>
      </w:r>
    </w:p>
    <w:p>
      <w:pPr>
        <w:pStyle w:val="DefinedTerms"/>
      </w:pPr>
      <w:r>
        <w:t>relief teacher</w:t>
      </w:r>
      <w:r>
        <w:tab/>
        <w:t>23(1)</w:t>
      </w:r>
    </w:p>
    <w:p>
      <w:pPr>
        <w:pStyle w:val="DefinedTerms"/>
      </w:pPr>
      <w:r>
        <w:t>school</w:t>
      </w:r>
      <w:r>
        <w:tab/>
        <w:t>3</w:t>
      </w:r>
    </w:p>
    <w:p>
      <w:pPr>
        <w:pStyle w:val="DefinedTerms"/>
      </w:pPr>
      <w:r>
        <w:t>Torres Strait Islander</w:t>
      </w:r>
      <w:r>
        <w:tab/>
        <w:t>11(7)</w:t>
      </w:r>
    </w:p>
    <w:p>
      <w:pPr>
        <w:pStyle w:val="DefinedTerms"/>
      </w:pPr>
      <w:r>
        <w:t>Trans</w:t>
      </w:r>
      <w:r>
        <w:noBreakHyphen/>
        <w:t>Tasman mutual recognition principle</w:t>
      </w:r>
      <w:r>
        <w:tab/>
        <w:t>3</w:t>
      </w:r>
    </w:p>
    <w:p>
      <w:pPr>
        <w:pStyle w:val="DefinedTerms"/>
      </w:pPr>
      <w:r>
        <w:t>WACOT Act</w:t>
      </w:r>
      <w:r>
        <w:tab/>
        <w:t>29</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5" w:name="Compilation"/>
    <w:bookmarkStart w:id="136" w:name="Schedule"/>
    <w:bookmarkEnd w:id="135"/>
    <w:bookmarkEnd w:id="13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9" w:name="DefinedTerms"/>
    <w:bookmarkEnd w:id="1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 w:name="Coversheet"/>
    <w:bookmarkEnd w:id="1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2"/>
  </w:num>
  <w:num w:numId="2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2113204"/>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8D76E-FCD0-417B-BD66-74E140F7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7686</Words>
  <Characters>39583</Characters>
  <Application>Microsoft Office Word</Application>
  <DocSecurity>0</DocSecurity>
  <Lines>1364</Lines>
  <Paragraphs>738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2012 - 00-i0-00</dc:title>
  <dc:subject/>
  <dc:creator/>
  <cp:keywords/>
  <dc:description/>
  <cp:lastModifiedBy>svcMRProcess</cp:lastModifiedBy>
  <cp:revision>4</cp:revision>
  <cp:lastPrinted>2012-11-06T06:38:00Z</cp:lastPrinted>
  <dcterms:created xsi:type="dcterms:W3CDTF">2018-09-19T02:02:00Z</dcterms:created>
  <dcterms:modified xsi:type="dcterms:W3CDTF">2018-09-19T02:02:00Z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CommencementDate">
    <vt:lpwstr>20150314</vt:lpwstr>
  </property>
  <property fmtid="{D5CDD505-2E9C-101B-9397-08002B2CF9AE}" pid="4" name="AsAtDate">
    <vt:lpwstr>14 Mar 2015</vt:lpwstr>
  </property>
  <property fmtid="{D5CDD505-2E9C-101B-9397-08002B2CF9AE}" pid="5" name="Suffix">
    <vt:lpwstr>00-i0-00</vt:lpwstr>
  </property>
  <property fmtid="{D5CDD505-2E9C-101B-9397-08002B2CF9AE}" pid="6" name="DocumentType">
    <vt:lpwstr>Reg</vt:lpwstr>
  </property>
</Properties>
</file>