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_Toc414956373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_Toc414956374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ab/>
        <w:t>Code of practice prescribed</w:t>
      </w:r>
      <w:r>
        <w:tab/>
      </w:r>
      <w:r>
        <w:fldChar w:fldCharType="begin"/>
      </w:r>
      <w:r>
        <w:instrText xml:space="preserve"> PAGEREF _Toc414956375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and boxed and shaded paragraphs in the code of practice</w:t>
      </w:r>
      <w:r>
        <w:tab/>
      </w:r>
      <w:r>
        <w:fldChar w:fldCharType="begin"/>
      </w:r>
      <w:r>
        <w:instrText xml:space="preserve"> PAGEREF _Toc414956376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(No.</w:t>
      </w:r>
      <w:r>
        <w:t> </w:t>
      </w:r>
      <w:r>
        <w:rPr>
          <w:i/>
        </w:rPr>
        <w:t>2) 2014</w:t>
      </w:r>
      <w:r>
        <w:t> repealed</w:t>
      </w:r>
      <w:r>
        <w:tab/>
      </w:r>
      <w:r>
        <w:fldChar w:fldCharType="begin"/>
      </w:r>
      <w:r>
        <w:instrText xml:space="preserve"> PAGEREF _Toc414956377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Code of Fair Practice for Retirement Villages 2015</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_Toc414956380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_Toc414956381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_Toc414956382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_Toc414956383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_Toc414956384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_Toc414956386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_Toc414956387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_Toc414956388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_Toc414956389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_Toc414956390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_Toc414956392 \h </w:instrText>
      </w:r>
      <w:r>
        <w:fldChar w:fldCharType="separate"/>
      </w:r>
      <w:r>
        <w:t>13</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_Toc414956393 \h </w:instrText>
      </w:r>
      <w:r>
        <w:fldChar w:fldCharType="separate"/>
      </w:r>
      <w:r>
        <w:t>14</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_Toc414956394 \h </w:instrText>
      </w:r>
      <w:r>
        <w:fldChar w:fldCharType="separate"/>
      </w:r>
      <w:r>
        <w:t>16</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_Toc414956395 \h </w:instrText>
      </w:r>
      <w:r>
        <w:fldChar w:fldCharType="separate"/>
      </w:r>
      <w:r>
        <w:t>19</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_Toc414956396 \h </w:instrText>
      </w:r>
      <w:r>
        <w:fldChar w:fldCharType="separate"/>
      </w:r>
      <w:r>
        <w:t>22</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_Toc414956397 \h </w:instrText>
      </w:r>
      <w:r>
        <w:fldChar w:fldCharType="separate"/>
      </w:r>
      <w:r>
        <w:t>24</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_Toc414956398 \h </w:instrText>
      </w:r>
      <w:r>
        <w:fldChar w:fldCharType="separate"/>
      </w:r>
      <w:r>
        <w:t>25</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_Toc414956399 \h </w:instrText>
      </w:r>
      <w:r>
        <w:fldChar w:fldCharType="separate"/>
      </w:r>
      <w:r>
        <w:t>26</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_Toc414956400 \h </w:instrText>
      </w:r>
      <w:r>
        <w:fldChar w:fldCharType="separate"/>
      </w:r>
      <w:r>
        <w:t>26</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_Toc414956401 \h </w:instrText>
      </w:r>
      <w:r>
        <w:fldChar w:fldCharType="separate"/>
      </w:r>
      <w:r>
        <w:t>28</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_Toc414956402 \h </w:instrText>
      </w:r>
      <w:r>
        <w:fldChar w:fldCharType="separate"/>
      </w:r>
      <w:r>
        <w:t>28</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_Toc414956403 \h </w:instrText>
      </w:r>
      <w:r>
        <w:fldChar w:fldCharType="separate"/>
      </w:r>
      <w:r>
        <w:t>30</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_Toc414956404 \h </w:instrText>
      </w:r>
      <w:r>
        <w:fldChar w:fldCharType="separate"/>
      </w:r>
      <w:r>
        <w:t>32</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_Toc414956405 \h </w:instrText>
      </w:r>
      <w:r>
        <w:fldChar w:fldCharType="separate"/>
      </w:r>
      <w:r>
        <w:t>35</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_Toc414956406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_Toc414956408 \h </w:instrText>
      </w:r>
      <w:r>
        <w:fldChar w:fldCharType="separate"/>
      </w:r>
      <w:r>
        <w:t>38</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_Toc414956409 \h </w:instrText>
      </w:r>
      <w:r>
        <w:fldChar w:fldCharType="separate"/>
      </w:r>
      <w:r>
        <w:t>39</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_Toc414956410 \h </w:instrText>
      </w:r>
      <w:r>
        <w:fldChar w:fldCharType="separate"/>
      </w:r>
      <w:r>
        <w:t>40</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_Toc414956411 \h </w:instrText>
      </w:r>
      <w:r>
        <w:fldChar w:fldCharType="separate"/>
      </w:r>
      <w:r>
        <w:t>43</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_Toc414956412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_Toc414956414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_Toc414956416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9 — Transitional and saving</w:t>
      </w:r>
    </w:p>
    <w:p>
      <w:pPr>
        <w:pStyle w:val="TOC8"/>
        <w:rPr>
          <w:rFonts w:asciiTheme="minorHAnsi" w:eastAsiaTheme="minorEastAsia" w:hAnsiTheme="minorHAnsi" w:cstheme="minorBidi"/>
          <w:szCs w:val="22"/>
        </w:rPr>
      </w:pPr>
      <w:r>
        <w:t>36.</w:t>
      </w:r>
      <w:r>
        <w:tab/>
        <w:t>Residence and service contracts</w:t>
      </w:r>
      <w:r>
        <w:tab/>
      </w:r>
      <w:r>
        <w:fldChar w:fldCharType="begin"/>
      </w:r>
      <w:r>
        <w:instrText xml:space="preserve"> PAGEREF _Toc414956418 \h </w:instrText>
      </w:r>
      <w:r>
        <w:fldChar w:fldCharType="separate"/>
      </w:r>
      <w:r>
        <w:t>48</w:t>
      </w:r>
      <w:r>
        <w:fldChar w:fldCharType="end"/>
      </w:r>
    </w:p>
    <w:p>
      <w:pPr>
        <w:pStyle w:val="TOC8"/>
        <w:rPr>
          <w:rFonts w:asciiTheme="minorHAnsi" w:eastAsiaTheme="minorEastAsia" w:hAnsiTheme="minorHAnsi" w:cstheme="minorBidi"/>
          <w:szCs w:val="22"/>
        </w:rPr>
      </w:pPr>
      <w:r>
        <w:t>37.</w:t>
      </w:r>
      <w:r>
        <w:tab/>
        <w:t>When accounting and financial reporting provisions start to apply to existing retirement villages</w:t>
      </w:r>
      <w:r>
        <w:tab/>
      </w:r>
      <w:r>
        <w:fldChar w:fldCharType="begin"/>
      </w:r>
      <w:r>
        <w:instrText xml:space="preserve"> PAGEREF _Toc414956419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_Toc414956423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_Toc414956424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Code) Regulations 2015</w:t>
      </w:r>
    </w:p>
    <w:p>
      <w:pPr>
        <w:pStyle w:val="Heading5"/>
      </w:pPr>
      <w:bookmarkStart w:id="3" w:name="_Toc412809626"/>
      <w:bookmarkStart w:id="4" w:name="_Toc414956373"/>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6" w:name="_Toc412809627"/>
      <w:bookmarkStart w:id="7" w:name="_Toc41495637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8" w:name="_Toc412809628"/>
      <w:bookmarkStart w:id="9" w:name="_Toc414956375"/>
      <w:r>
        <w:rPr>
          <w:rStyle w:val="CharSectno"/>
        </w:rPr>
        <w:t>3</w:t>
      </w:r>
      <w:r>
        <w:t>.</w:t>
      </w:r>
      <w:r>
        <w:rPr>
          <w:snapToGrid w:val="0"/>
        </w:rPr>
        <w:tab/>
        <w:t>Code of practice prescribed</w:t>
      </w:r>
      <w:bookmarkEnd w:id="8"/>
      <w:bookmarkEnd w:id="9"/>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2017.</w:t>
      </w:r>
    </w:p>
    <w:p>
      <w:pPr>
        <w:pStyle w:val="Heading5"/>
      </w:pPr>
      <w:bookmarkStart w:id="10" w:name="_Toc412809629"/>
      <w:bookmarkStart w:id="11" w:name="_Toc414956376"/>
      <w:r>
        <w:rPr>
          <w:rStyle w:val="CharSectno"/>
        </w:rPr>
        <w:t>4</w:t>
      </w:r>
      <w:r>
        <w:t>.</w:t>
      </w:r>
      <w:r>
        <w:tab/>
        <w:t>Terms used and boxed and shaded paragraphs in the code of practice</w:t>
      </w:r>
      <w:bookmarkEnd w:id="10"/>
      <w:bookmarkEnd w:id="11"/>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12" w:name="_Toc412809630"/>
      <w:bookmarkStart w:id="13" w:name="_Toc414956377"/>
      <w:r>
        <w:rPr>
          <w:rStyle w:val="CharSectno"/>
        </w:rPr>
        <w:t>5</w:t>
      </w:r>
      <w:r>
        <w:t>.</w:t>
      </w:r>
      <w:r>
        <w:tab/>
      </w:r>
      <w:r>
        <w:rPr>
          <w:i/>
        </w:rPr>
        <w:t>Fair Trading (Retirement Villages Interim Code) Regulations (No.</w:t>
      </w:r>
      <w:r>
        <w:t> </w:t>
      </w:r>
      <w:r>
        <w:rPr>
          <w:i/>
        </w:rPr>
        <w:t>2) 2014</w:t>
      </w:r>
      <w:r>
        <w:t> repealed</w:t>
      </w:r>
      <w:bookmarkEnd w:id="12"/>
      <w:bookmarkEnd w:id="13"/>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4" w:name="_Toc412722451"/>
      <w:bookmarkStart w:id="15" w:name="_Toc412722505"/>
      <w:bookmarkStart w:id="16" w:name="_Toc412722559"/>
      <w:bookmarkStart w:id="17" w:name="_Toc412727631"/>
      <w:bookmarkStart w:id="18" w:name="_Toc412786254"/>
      <w:bookmarkStart w:id="19" w:name="_Toc412809631"/>
      <w:bookmarkStart w:id="20" w:name="_Toc414875597"/>
      <w:bookmarkStart w:id="21" w:name="_Toc414877000"/>
      <w:bookmarkStart w:id="22" w:name="_Toc414877146"/>
      <w:bookmarkStart w:id="23" w:name="_Toc414877436"/>
      <w:bookmarkStart w:id="24" w:name="_Toc414877489"/>
      <w:bookmarkStart w:id="25" w:name="_Toc414956378"/>
      <w:r>
        <w:rPr>
          <w:rStyle w:val="CharSchNo"/>
        </w:rPr>
        <w:t>Schedule 1</w:t>
      </w:r>
      <w:r>
        <w:rPr>
          <w:rStyle w:val="CharSDivNo"/>
        </w:rPr>
        <w:t> </w:t>
      </w:r>
      <w:r>
        <w:t>—</w:t>
      </w:r>
      <w:r>
        <w:rPr>
          <w:rStyle w:val="CharSDivText"/>
        </w:rPr>
        <w:t> </w:t>
      </w:r>
      <w:r>
        <w:rPr>
          <w:rStyle w:val="CharSchText"/>
          <w:i/>
        </w:rPr>
        <w:t>Code of Fair Practice for Retirement Villages 2015</w:t>
      </w:r>
      <w:bookmarkEnd w:id="14"/>
      <w:bookmarkEnd w:id="15"/>
      <w:bookmarkEnd w:id="16"/>
      <w:bookmarkEnd w:id="17"/>
      <w:bookmarkEnd w:id="18"/>
      <w:bookmarkEnd w:id="19"/>
      <w:bookmarkEnd w:id="20"/>
      <w:bookmarkEnd w:id="21"/>
      <w:bookmarkEnd w:id="22"/>
      <w:bookmarkEnd w:id="23"/>
      <w:bookmarkEnd w:id="24"/>
      <w:bookmarkEnd w:id="25"/>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6"/>
          <w:headerReference w:type="default" r:id="rId27"/>
          <w:pgSz w:w="11907" w:h="16840" w:code="9"/>
          <w:pgMar w:top="2381" w:right="2410" w:bottom="3544" w:left="2410" w:header="720" w:footer="3544" w:gutter="0"/>
          <w:cols w:space="720"/>
        </w:sectPr>
      </w:pPr>
    </w:p>
    <w:p>
      <w:pPr>
        <w:pStyle w:val="yHeading3"/>
      </w:pPr>
      <w:bookmarkStart w:id="27" w:name="_Toc412722452"/>
      <w:bookmarkStart w:id="28" w:name="_Toc412722506"/>
      <w:bookmarkStart w:id="29" w:name="_Toc412722560"/>
      <w:bookmarkStart w:id="30" w:name="_Toc412727632"/>
      <w:bookmarkStart w:id="31" w:name="_Toc412786255"/>
      <w:bookmarkStart w:id="32" w:name="_Toc412809632"/>
      <w:bookmarkStart w:id="33" w:name="_Toc414875598"/>
      <w:bookmarkStart w:id="34" w:name="_Toc414877001"/>
      <w:bookmarkStart w:id="35" w:name="_Toc414877147"/>
      <w:bookmarkStart w:id="36" w:name="_Toc414877437"/>
      <w:bookmarkStart w:id="37" w:name="_Toc414877490"/>
      <w:bookmarkStart w:id="38" w:name="_Toc414956379"/>
      <w:r>
        <w:rPr>
          <w:rStyle w:val="CharSDivNo"/>
        </w:rPr>
        <w:t>Division 1</w:t>
      </w:r>
      <w:r>
        <w:t> — </w:t>
      </w:r>
      <w:r>
        <w:rPr>
          <w:rStyle w:val="CharSDivText"/>
        </w:rPr>
        <w:t>Preliminary</w:t>
      </w:r>
      <w:bookmarkEnd w:id="27"/>
      <w:bookmarkEnd w:id="28"/>
      <w:bookmarkEnd w:id="29"/>
      <w:bookmarkEnd w:id="30"/>
      <w:bookmarkEnd w:id="31"/>
      <w:bookmarkEnd w:id="32"/>
      <w:bookmarkEnd w:id="33"/>
      <w:bookmarkEnd w:id="34"/>
      <w:bookmarkEnd w:id="35"/>
      <w:bookmarkEnd w:id="36"/>
      <w:bookmarkEnd w:id="37"/>
      <w:bookmarkEnd w:id="38"/>
    </w:p>
    <w:p>
      <w:pPr>
        <w:pStyle w:val="yHeading5"/>
      </w:pPr>
      <w:bookmarkStart w:id="39" w:name="_Toc412809633"/>
      <w:bookmarkStart w:id="40" w:name="_Toc414956380"/>
      <w:r>
        <w:rPr>
          <w:rStyle w:val="CharSClsNo"/>
        </w:rPr>
        <w:t>1</w:t>
      </w:r>
      <w:r>
        <w:t>.</w:t>
      </w:r>
      <w:r>
        <w:tab/>
        <w:t>Citation</w:t>
      </w:r>
      <w:bookmarkEnd w:id="39"/>
      <w:bookmarkEnd w:id="40"/>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41" w:name="endcomma"/>
      <w:bookmarkEnd w:id="41"/>
      <w:r>
        <w:rPr>
          <w:szCs w:val="22"/>
        </w:rPr>
        <w:t xml:space="preserve"> </w:t>
      </w:r>
      <w:bookmarkStart w:id="42" w:name="comma"/>
      <w:bookmarkEnd w:id="42"/>
      <w:r>
        <w:rPr>
          <w:szCs w:val="22"/>
        </w:rPr>
        <w:t>means a day other than a Saturday, a Sunday or a public holiday.</w:t>
      </w:r>
    </w:p>
    <w:p>
      <w:pPr>
        <w:pStyle w:val="yHeading5"/>
      </w:pPr>
      <w:bookmarkStart w:id="43" w:name="_Toc412809634"/>
      <w:bookmarkStart w:id="44" w:name="_Toc414956381"/>
      <w:r>
        <w:rPr>
          <w:rStyle w:val="CharSClsNo"/>
        </w:rPr>
        <w:t>2</w:t>
      </w:r>
      <w:r>
        <w:t>.</w:t>
      </w:r>
      <w:r>
        <w:tab/>
        <w:t>Application</w:t>
      </w:r>
      <w:bookmarkEnd w:id="43"/>
      <w:bookmarkEnd w:id="44"/>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45" w:name="_Toc412809635"/>
      <w:bookmarkStart w:id="46" w:name="_Toc414956382"/>
      <w:r>
        <w:rPr>
          <w:rStyle w:val="CharSClsNo"/>
        </w:rPr>
        <w:t>3</w:t>
      </w:r>
      <w:r>
        <w:t>.</w:t>
      </w:r>
      <w:r>
        <w:tab/>
        <w:t>General principles</w:t>
      </w:r>
      <w:bookmarkEnd w:id="45"/>
      <w:bookmarkEnd w:id="46"/>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47" w:name="_Toc412809636"/>
      <w:bookmarkStart w:id="48" w:name="_Toc414956383"/>
      <w:r>
        <w:rPr>
          <w:rStyle w:val="CharSClsNo"/>
        </w:rPr>
        <w:t>4</w:t>
      </w:r>
      <w:r>
        <w:t>.</w:t>
      </w:r>
      <w:r>
        <w:tab/>
        <w:t>Objectives of Code</w:t>
      </w:r>
      <w:bookmarkEnd w:id="47"/>
      <w:bookmarkEnd w:id="48"/>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49" w:name="_Toc412809637"/>
      <w:bookmarkStart w:id="50" w:name="_Toc414956384"/>
      <w:r>
        <w:rPr>
          <w:rStyle w:val="CharSClsNo"/>
        </w:rPr>
        <w:t>5</w:t>
      </w:r>
      <w:r>
        <w:t>.</w:t>
      </w:r>
      <w:r>
        <w:tab/>
        <w:t>Resident’s rights</w:t>
      </w:r>
      <w:bookmarkEnd w:id="49"/>
      <w:bookmarkEnd w:id="50"/>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51" w:name="_Toc412722458"/>
      <w:bookmarkStart w:id="52" w:name="_Toc412722512"/>
      <w:bookmarkStart w:id="53" w:name="_Toc412722566"/>
      <w:bookmarkStart w:id="54" w:name="_Toc412727638"/>
      <w:bookmarkStart w:id="55" w:name="_Toc412786261"/>
      <w:bookmarkStart w:id="56" w:name="_Toc412809638"/>
      <w:bookmarkStart w:id="57" w:name="_Toc414875604"/>
      <w:bookmarkStart w:id="58" w:name="_Toc414877007"/>
      <w:bookmarkStart w:id="59" w:name="_Toc414877153"/>
      <w:bookmarkStart w:id="60" w:name="_Toc414877443"/>
      <w:bookmarkStart w:id="61" w:name="_Toc414877496"/>
      <w:bookmarkStart w:id="62" w:name="_Toc414956385"/>
      <w:r>
        <w:rPr>
          <w:rStyle w:val="CharSDivNo"/>
        </w:rPr>
        <w:t>Division 2</w:t>
      </w:r>
      <w:r>
        <w:t> — </w:t>
      </w:r>
      <w:r>
        <w:rPr>
          <w:rStyle w:val="CharSDivText"/>
        </w:rPr>
        <w:t>Advertising and promotion of retirement villages</w:t>
      </w:r>
      <w:bookmarkEnd w:id="51"/>
      <w:bookmarkEnd w:id="52"/>
      <w:bookmarkEnd w:id="53"/>
      <w:bookmarkEnd w:id="54"/>
      <w:bookmarkEnd w:id="55"/>
      <w:bookmarkEnd w:id="56"/>
      <w:bookmarkEnd w:id="57"/>
      <w:bookmarkEnd w:id="58"/>
      <w:bookmarkEnd w:id="59"/>
      <w:bookmarkEnd w:id="60"/>
      <w:bookmarkEnd w:id="61"/>
      <w:bookmarkEnd w:id="62"/>
    </w:p>
    <w:p>
      <w:pPr>
        <w:pStyle w:val="yHeading5"/>
      </w:pPr>
      <w:bookmarkStart w:id="63" w:name="_Toc412809639"/>
      <w:bookmarkStart w:id="64" w:name="_Toc414956386"/>
      <w:r>
        <w:rPr>
          <w:rStyle w:val="CharSClsNo"/>
        </w:rPr>
        <w:t>6</w:t>
      </w:r>
      <w:r>
        <w:t>.</w:t>
      </w:r>
      <w:r>
        <w:tab/>
        <w:t>General</w:t>
      </w:r>
      <w:bookmarkEnd w:id="63"/>
      <w:bookmarkEnd w:id="64"/>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65" w:name="_Toc412809640"/>
      <w:bookmarkStart w:id="66" w:name="_Toc414956387"/>
      <w:r>
        <w:rPr>
          <w:rStyle w:val="CharSClsNo"/>
        </w:rPr>
        <w:t>7</w:t>
      </w:r>
      <w:r>
        <w:t>.</w:t>
      </w:r>
      <w:r>
        <w:tab/>
        <w:t>Retirement village developments</w:t>
      </w:r>
      <w:bookmarkEnd w:id="65"/>
      <w:bookmarkEnd w:id="66"/>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67" w:name="_Toc412809641"/>
      <w:bookmarkStart w:id="68" w:name="_Toc414956388"/>
      <w:r>
        <w:rPr>
          <w:rStyle w:val="CharSClsNo"/>
        </w:rPr>
        <w:t>8</w:t>
      </w:r>
      <w:r>
        <w:t>.</w:t>
      </w:r>
      <w:r>
        <w:tab/>
        <w:t>Proposed amenities and services</w:t>
      </w:r>
      <w:bookmarkEnd w:id="67"/>
      <w:bookmarkEnd w:id="68"/>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69" w:name="_Toc412809642"/>
      <w:bookmarkStart w:id="70" w:name="_Toc414956389"/>
      <w:r>
        <w:rPr>
          <w:rStyle w:val="CharSClsNo"/>
        </w:rPr>
        <w:t>9</w:t>
      </w:r>
      <w:r>
        <w:t>.</w:t>
      </w:r>
      <w:r>
        <w:tab/>
        <w:t>Approvals for facilities that provide residential aged care services</w:t>
      </w:r>
      <w:bookmarkEnd w:id="69"/>
      <w:bookmarkEnd w:id="70"/>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71" w:name="_Toc412809643"/>
      <w:bookmarkStart w:id="72" w:name="_Toc414956390"/>
      <w:r>
        <w:rPr>
          <w:rStyle w:val="CharSClsNo"/>
        </w:rPr>
        <w:t>10</w:t>
      </w:r>
      <w:r>
        <w:t>.</w:t>
      </w:r>
      <w:r>
        <w:tab/>
        <w:t>Access to residential aged care services</w:t>
      </w:r>
      <w:bookmarkEnd w:id="71"/>
      <w:bookmarkEnd w:id="72"/>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Ednotedivision"/>
      </w:pPr>
      <w:r>
        <w:t>[Divisions 3 and 4 (cl. 11</w:t>
      </w:r>
      <w:r>
        <w:noBreakHyphen/>
        <w:t>13) have not come into operation </w:t>
      </w:r>
      <w:r>
        <w:rPr>
          <w:i w:val="0"/>
          <w:vertAlign w:val="superscript"/>
        </w:rPr>
        <w:t>2</w:t>
      </w:r>
      <w:r>
        <w:t>]</w:t>
      </w:r>
    </w:p>
    <w:p>
      <w:pPr>
        <w:pStyle w:val="yHeading3"/>
      </w:pPr>
      <w:bookmarkStart w:id="73" w:name="_Toc412722469"/>
      <w:bookmarkStart w:id="74" w:name="_Toc412722523"/>
      <w:bookmarkStart w:id="75" w:name="_Toc412722577"/>
      <w:bookmarkStart w:id="76" w:name="_Toc412727649"/>
      <w:bookmarkStart w:id="77" w:name="_Toc412786272"/>
      <w:bookmarkStart w:id="78" w:name="_Toc412809649"/>
      <w:bookmarkStart w:id="79" w:name="_Toc414875615"/>
      <w:bookmarkStart w:id="80" w:name="_Toc414877013"/>
      <w:bookmarkStart w:id="81" w:name="_Toc414877159"/>
      <w:bookmarkStart w:id="82" w:name="_Toc414877449"/>
      <w:bookmarkStart w:id="83" w:name="_Toc414877502"/>
      <w:bookmarkStart w:id="84" w:name="_Toc414956391"/>
      <w:r>
        <w:rPr>
          <w:rStyle w:val="CharSDivNo"/>
        </w:rPr>
        <w:t>Division 5</w:t>
      </w:r>
      <w:r>
        <w:t> — </w:t>
      </w:r>
      <w:r>
        <w:rPr>
          <w:rStyle w:val="CharSDivText"/>
        </w:rPr>
        <w:t>Village management</w:t>
      </w:r>
      <w:bookmarkEnd w:id="73"/>
      <w:bookmarkEnd w:id="74"/>
      <w:bookmarkEnd w:id="75"/>
      <w:bookmarkEnd w:id="76"/>
      <w:bookmarkEnd w:id="77"/>
      <w:bookmarkEnd w:id="78"/>
      <w:bookmarkEnd w:id="79"/>
      <w:bookmarkEnd w:id="80"/>
      <w:bookmarkEnd w:id="81"/>
      <w:bookmarkEnd w:id="82"/>
      <w:bookmarkEnd w:id="83"/>
      <w:bookmarkEnd w:id="84"/>
    </w:p>
    <w:p>
      <w:pPr>
        <w:pStyle w:val="yHeading5"/>
      </w:pPr>
      <w:bookmarkStart w:id="85" w:name="_Toc412809650"/>
      <w:bookmarkStart w:id="86" w:name="_Toc414956392"/>
      <w:r>
        <w:rPr>
          <w:rStyle w:val="CharSClsNo"/>
        </w:rPr>
        <w:t>14</w:t>
      </w:r>
      <w:r>
        <w:t>.</w:t>
      </w:r>
      <w:r>
        <w:tab/>
        <w:t>Terms used</w:t>
      </w:r>
      <w:bookmarkEnd w:id="85"/>
      <w:bookmarkEnd w:id="86"/>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87" w:name="_Toc412809651"/>
      <w:bookmarkStart w:id="88" w:name="_Toc414956393"/>
      <w:r>
        <w:rPr>
          <w:rStyle w:val="CharSClsNo"/>
          <w:szCs w:val="22"/>
        </w:rPr>
        <w:t>15</w:t>
      </w:r>
      <w:r>
        <w:rPr>
          <w:szCs w:val="22"/>
        </w:rPr>
        <w:t>.</w:t>
      </w:r>
      <w:r>
        <w:rPr>
          <w:szCs w:val="22"/>
        </w:rPr>
        <w:tab/>
        <w:t>Special resolutions</w:t>
      </w:r>
      <w:bookmarkEnd w:id="87"/>
      <w:bookmarkEnd w:id="88"/>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89" w:name="_Toc412809652"/>
      <w:bookmarkStart w:id="90" w:name="_Toc414956394"/>
      <w:r>
        <w:rPr>
          <w:rStyle w:val="CharSClsNo"/>
          <w:szCs w:val="22"/>
        </w:rPr>
        <w:t>16</w:t>
      </w:r>
      <w:r>
        <w:rPr>
          <w:szCs w:val="22"/>
        </w:rPr>
        <w:t>.</w:t>
      </w:r>
      <w:r>
        <w:rPr>
          <w:szCs w:val="22"/>
        </w:rPr>
        <w:tab/>
        <w:t>Management procedures and resident consultation</w:t>
      </w:r>
      <w:bookmarkEnd w:id="89"/>
      <w:bookmarkEnd w:id="90"/>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91" w:name="_Toc412809653"/>
      <w:bookmarkStart w:id="92" w:name="_Toc414956395"/>
      <w:r>
        <w:rPr>
          <w:rStyle w:val="CharSClsNo"/>
          <w:szCs w:val="22"/>
        </w:rPr>
        <w:t>17</w:t>
      </w:r>
      <w:r>
        <w:rPr>
          <w:szCs w:val="22"/>
        </w:rPr>
        <w:t>.</w:t>
      </w:r>
      <w:r>
        <w:rPr>
          <w:szCs w:val="22"/>
        </w:rPr>
        <w:tab/>
        <w:t>Village budget</w:t>
      </w:r>
      <w:bookmarkEnd w:id="91"/>
      <w:bookmarkEnd w:id="92"/>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the net amount of GST 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Heading5"/>
        <w:rPr>
          <w:szCs w:val="22"/>
        </w:rPr>
      </w:pPr>
      <w:bookmarkStart w:id="93" w:name="_Toc412809654"/>
      <w:bookmarkStart w:id="94" w:name="_Toc414956396"/>
      <w:r>
        <w:rPr>
          <w:rStyle w:val="CharSClsNo"/>
          <w:szCs w:val="22"/>
        </w:rPr>
        <w:t>18</w:t>
      </w:r>
      <w:r>
        <w:rPr>
          <w:szCs w:val="22"/>
        </w:rPr>
        <w:t>.</w:t>
      </w:r>
      <w:r>
        <w:rPr>
          <w:szCs w:val="22"/>
        </w:rPr>
        <w:tab/>
        <w:t>Quarterly financial statements</w:t>
      </w:r>
      <w:bookmarkEnd w:id="93"/>
      <w:bookmarkEnd w:id="94"/>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(d);</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Heading5"/>
        <w:pageBreakBefore/>
        <w:spacing w:before="0"/>
        <w:rPr>
          <w:szCs w:val="22"/>
        </w:rPr>
      </w:pPr>
      <w:bookmarkStart w:id="95" w:name="_Toc412809655"/>
      <w:bookmarkStart w:id="96" w:name="_Toc414956397"/>
      <w:r>
        <w:rPr>
          <w:rStyle w:val="CharSClsNo"/>
          <w:szCs w:val="22"/>
        </w:rPr>
        <w:t>19</w:t>
      </w:r>
      <w:r>
        <w:rPr>
          <w:szCs w:val="22"/>
        </w:rPr>
        <w:t>.</w:t>
      </w:r>
      <w:r>
        <w:rPr>
          <w:szCs w:val="22"/>
        </w:rPr>
        <w:tab/>
        <w:t>Annual financial statements</w:t>
      </w:r>
      <w:bookmarkEnd w:id="95"/>
      <w:bookmarkEnd w:id="96"/>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(d);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Heading5"/>
        <w:rPr>
          <w:szCs w:val="22"/>
        </w:rPr>
      </w:pPr>
      <w:bookmarkStart w:id="97" w:name="_Toc412809656"/>
      <w:bookmarkStart w:id="98" w:name="_Toc414956398"/>
      <w:r>
        <w:rPr>
          <w:rStyle w:val="CharSClsNo"/>
          <w:szCs w:val="22"/>
        </w:rPr>
        <w:t>20</w:t>
      </w:r>
      <w:r>
        <w:rPr>
          <w:szCs w:val="22"/>
        </w:rPr>
        <w:t>.</w:t>
      </w:r>
      <w:r>
        <w:rPr>
          <w:szCs w:val="22"/>
        </w:rPr>
        <w:tab/>
        <w:t>Budget surplus</w:t>
      </w:r>
      <w:bookmarkEnd w:id="97"/>
      <w:bookmarkEnd w:id="98"/>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99" w:name="_Toc412809657"/>
      <w:bookmarkStart w:id="100" w:name="_Toc414956399"/>
      <w:r>
        <w:rPr>
          <w:rStyle w:val="CharSClsNo"/>
          <w:szCs w:val="22"/>
        </w:rPr>
        <w:t>21</w:t>
      </w:r>
      <w:r>
        <w:rPr>
          <w:szCs w:val="22"/>
        </w:rPr>
        <w:t>.</w:t>
      </w:r>
      <w:r>
        <w:rPr>
          <w:szCs w:val="22"/>
        </w:rPr>
        <w:tab/>
        <w:t>Marketing of residential premises</w:t>
      </w:r>
      <w:bookmarkEnd w:id="99"/>
      <w:bookmarkEnd w:id="100"/>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01" w:name="_Toc412809658"/>
      <w:bookmarkStart w:id="102" w:name="_Toc414956400"/>
      <w:r>
        <w:rPr>
          <w:rStyle w:val="CharSClsNo"/>
          <w:szCs w:val="22"/>
        </w:rPr>
        <w:t>22</w:t>
      </w:r>
      <w:r>
        <w:rPr>
          <w:szCs w:val="22"/>
        </w:rPr>
        <w:t>.</w:t>
      </w:r>
      <w:r>
        <w:rPr>
          <w:szCs w:val="22"/>
        </w:rPr>
        <w:tab/>
        <w:t>Refurbishment of residential premises</w:t>
      </w:r>
      <w:bookmarkEnd w:id="101"/>
      <w:bookmarkEnd w:id="102"/>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03" w:name="_Toc412809659"/>
      <w:bookmarkStart w:id="104" w:name="_Toc414956401"/>
      <w:r>
        <w:rPr>
          <w:rStyle w:val="CharSClsNo"/>
          <w:szCs w:val="22"/>
        </w:rPr>
        <w:t>23</w:t>
      </w:r>
      <w:r>
        <w:rPr>
          <w:szCs w:val="22"/>
        </w:rPr>
        <w:t>.</w:t>
      </w:r>
      <w:r>
        <w:rPr>
          <w:szCs w:val="22"/>
        </w:rPr>
        <w:tab/>
        <w:t>Residence rules</w:t>
      </w:r>
      <w:bookmarkEnd w:id="103"/>
      <w:bookmarkEnd w:id="104"/>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105" w:name="_Toc412809660"/>
      <w:bookmarkStart w:id="106" w:name="_Toc414956402"/>
      <w:r>
        <w:rPr>
          <w:rStyle w:val="CharSClsNo"/>
          <w:szCs w:val="22"/>
        </w:rPr>
        <w:t>24</w:t>
      </w:r>
      <w:r>
        <w:rPr>
          <w:szCs w:val="22"/>
        </w:rPr>
        <w:t>.</w:t>
      </w:r>
      <w:r>
        <w:rPr>
          <w:szCs w:val="22"/>
        </w:rPr>
        <w:tab/>
        <w:t>Residents’ committee of retirement village residents</w:t>
      </w:r>
      <w:bookmarkEnd w:id="105"/>
      <w:bookmarkEnd w:id="106"/>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szCs w:val="22"/>
        </w:rPr>
        <w:t>Associations Incorporation Act 1987</w:t>
      </w:r>
      <w:r>
        <w:rPr>
          <w:szCs w:val="22"/>
        </w:rP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Heading5"/>
        <w:rPr>
          <w:szCs w:val="22"/>
        </w:rPr>
      </w:pPr>
      <w:bookmarkStart w:id="107" w:name="_Toc412809661"/>
      <w:bookmarkStart w:id="108" w:name="_Toc414956403"/>
      <w:r>
        <w:rPr>
          <w:rStyle w:val="CharSClsNo"/>
          <w:szCs w:val="22"/>
        </w:rPr>
        <w:t>25</w:t>
      </w:r>
      <w:r>
        <w:rPr>
          <w:szCs w:val="22"/>
        </w:rPr>
        <w:t>.</w:t>
      </w:r>
      <w:r>
        <w:rPr>
          <w:szCs w:val="22"/>
        </w:rPr>
        <w:tab/>
        <w:t>Incorporated association formed to carry out function of residents’ committee</w:t>
      </w:r>
      <w:bookmarkEnd w:id="107"/>
      <w:bookmarkEnd w:id="108"/>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szCs w:val="22"/>
        </w:rPr>
        <w:t xml:space="preserve">Associations Incorporation Act 1987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rPr>
          <w:szCs w:val="22"/>
        </w:rPr>
      </w:pPr>
      <w:bookmarkStart w:id="109" w:name="_Toc412809662"/>
      <w:bookmarkStart w:id="110" w:name="_Toc414956404"/>
      <w:r>
        <w:rPr>
          <w:rStyle w:val="CharSClsNo"/>
          <w:szCs w:val="22"/>
        </w:rPr>
        <w:t>26</w:t>
      </w:r>
      <w:r>
        <w:rPr>
          <w:szCs w:val="22"/>
        </w:rPr>
        <w:t>.</w:t>
      </w:r>
      <w:r>
        <w:rPr>
          <w:szCs w:val="22"/>
        </w:rPr>
        <w:tab/>
        <w:t>Residents’ meetings</w:t>
      </w:r>
      <w:bookmarkEnd w:id="109"/>
      <w:bookmarkEnd w:id="110"/>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szCs w:val="22"/>
        </w:rPr>
        <w:t>Associations Incorporation Act 1987</w:t>
      </w:r>
      <w:r>
        <w:rPr>
          <w:szCs w:val="22"/>
        </w:rP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11" w:name="_Toc412809663"/>
      <w:bookmarkStart w:id="112" w:name="_Toc414956405"/>
      <w:r>
        <w:rPr>
          <w:rStyle w:val="CharSClsNo"/>
          <w:szCs w:val="22"/>
        </w:rPr>
        <w:t>27</w:t>
      </w:r>
      <w:r>
        <w:rPr>
          <w:szCs w:val="22"/>
        </w:rPr>
        <w:t>.</w:t>
      </w:r>
      <w:r>
        <w:rPr>
          <w:szCs w:val="22"/>
        </w:rPr>
        <w:tab/>
        <w:t>Proxy voting</w:t>
      </w:r>
      <w:bookmarkEnd w:id="111"/>
      <w:bookmarkEnd w:id="112"/>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1.</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Heading5"/>
        <w:rPr>
          <w:szCs w:val="22"/>
        </w:rPr>
      </w:pPr>
      <w:bookmarkStart w:id="113" w:name="_Toc412809664"/>
      <w:bookmarkStart w:id="114" w:name="_Toc414956406"/>
      <w:r>
        <w:rPr>
          <w:rStyle w:val="CharSClsNo"/>
          <w:szCs w:val="22"/>
        </w:rPr>
        <w:t>28</w:t>
      </w:r>
      <w:r>
        <w:rPr>
          <w:szCs w:val="22"/>
        </w:rPr>
        <w:t>.</w:t>
      </w:r>
      <w:r>
        <w:rPr>
          <w:szCs w:val="22"/>
        </w:rPr>
        <w:tab/>
        <w:t>Voting by secret ballot</w:t>
      </w:r>
      <w:bookmarkEnd w:id="113"/>
      <w:bookmarkEnd w:id="114"/>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115" w:name="_Toc412722485"/>
      <w:bookmarkStart w:id="116" w:name="_Toc412722539"/>
      <w:bookmarkStart w:id="117" w:name="_Toc412722593"/>
      <w:bookmarkStart w:id="118" w:name="_Toc412727665"/>
      <w:bookmarkStart w:id="119" w:name="_Toc412786288"/>
      <w:bookmarkStart w:id="120" w:name="_Toc412809665"/>
      <w:bookmarkStart w:id="121" w:name="_Toc414875631"/>
      <w:bookmarkStart w:id="122" w:name="_Toc414877029"/>
      <w:bookmarkStart w:id="123" w:name="_Toc414877175"/>
      <w:bookmarkStart w:id="124" w:name="_Toc414877465"/>
      <w:bookmarkStart w:id="125" w:name="_Toc414877518"/>
      <w:bookmarkStart w:id="126" w:name="_Toc414956407"/>
      <w:r>
        <w:rPr>
          <w:rStyle w:val="CharSDivNo"/>
        </w:rPr>
        <w:t>Division 6</w:t>
      </w:r>
      <w:r>
        <w:t> — </w:t>
      </w:r>
      <w:r>
        <w:rPr>
          <w:rStyle w:val="CharSDivText"/>
        </w:rPr>
        <w:t>Dispute resolution</w:t>
      </w:r>
      <w:bookmarkEnd w:id="115"/>
      <w:bookmarkEnd w:id="116"/>
      <w:bookmarkEnd w:id="117"/>
      <w:bookmarkEnd w:id="118"/>
      <w:bookmarkEnd w:id="119"/>
      <w:bookmarkEnd w:id="120"/>
      <w:bookmarkEnd w:id="121"/>
      <w:bookmarkEnd w:id="122"/>
      <w:bookmarkEnd w:id="123"/>
      <w:bookmarkEnd w:id="124"/>
      <w:bookmarkEnd w:id="125"/>
      <w:bookmarkEnd w:id="126"/>
    </w:p>
    <w:p>
      <w:pPr>
        <w:pStyle w:val="yHeading5"/>
        <w:rPr>
          <w:szCs w:val="22"/>
        </w:rPr>
      </w:pPr>
      <w:bookmarkStart w:id="127" w:name="_Toc412809666"/>
      <w:bookmarkStart w:id="128" w:name="_Toc414956408"/>
      <w:r>
        <w:rPr>
          <w:rStyle w:val="CharSClsNo"/>
          <w:szCs w:val="22"/>
        </w:rPr>
        <w:t>29</w:t>
      </w:r>
      <w:r>
        <w:rPr>
          <w:szCs w:val="22"/>
        </w:rPr>
        <w:t>.</w:t>
      </w:r>
      <w:r>
        <w:rPr>
          <w:szCs w:val="22"/>
        </w:rPr>
        <w:tab/>
        <w:t>Terms used</w:t>
      </w:r>
      <w:bookmarkEnd w:id="127"/>
      <w:bookmarkEnd w:id="128"/>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129" w:name="_Toc412809667"/>
      <w:bookmarkStart w:id="130" w:name="_Toc414956409"/>
      <w:r>
        <w:rPr>
          <w:rStyle w:val="CharSClsNo"/>
          <w:szCs w:val="22"/>
        </w:rPr>
        <w:t>30</w:t>
      </w:r>
      <w:r>
        <w:rPr>
          <w:szCs w:val="22"/>
        </w:rPr>
        <w:t>.</w:t>
      </w:r>
      <w:r>
        <w:rPr>
          <w:szCs w:val="22"/>
        </w:rPr>
        <w:tab/>
        <w:t>Village dispute resolution process</w:t>
      </w:r>
      <w:bookmarkEnd w:id="129"/>
      <w:bookmarkEnd w:id="130"/>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131" w:name="_Toc412809668"/>
      <w:bookmarkStart w:id="132" w:name="_Toc414956410"/>
      <w:r>
        <w:rPr>
          <w:rStyle w:val="CharSClsNo"/>
          <w:szCs w:val="22"/>
        </w:rPr>
        <w:t>31</w:t>
      </w:r>
      <w:r>
        <w:rPr>
          <w:szCs w:val="22"/>
        </w:rPr>
        <w:t>.</w:t>
      </w:r>
      <w:r>
        <w:rPr>
          <w:szCs w:val="22"/>
        </w:rPr>
        <w:tab/>
        <w:t>Mediation of dispute</w:t>
      </w:r>
      <w:bookmarkEnd w:id="131"/>
      <w:bookmarkEnd w:id="132"/>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133" w:name="_Toc412809669"/>
      <w:bookmarkStart w:id="134" w:name="_Toc414956411"/>
      <w:r>
        <w:rPr>
          <w:rStyle w:val="CharSClsNo"/>
          <w:szCs w:val="22"/>
        </w:rPr>
        <w:t>32</w:t>
      </w:r>
      <w:r>
        <w:rPr>
          <w:szCs w:val="22"/>
        </w:rPr>
        <w:t>.</w:t>
      </w:r>
      <w:r>
        <w:rPr>
          <w:szCs w:val="22"/>
        </w:rPr>
        <w:tab/>
        <w:t>Costs associated with dispute resolution process</w:t>
      </w:r>
      <w:bookmarkEnd w:id="133"/>
      <w:bookmarkEnd w:id="134"/>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t>The costs 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If the administering body of a retirement village incurs costs as a result of complying with the village dispute resolution process set out in clause 30(2), the administering body must not recover those costs from a resident or a former resident.</w:t>
      </w:r>
    </w:p>
    <w:p>
      <w:pPr>
        <w:pStyle w:val="yHeading5"/>
      </w:pPr>
      <w:bookmarkStart w:id="135" w:name="_Toc412809670"/>
      <w:bookmarkStart w:id="136" w:name="_Toc414956412"/>
      <w:r>
        <w:rPr>
          <w:rStyle w:val="CharSClsNo"/>
        </w:rPr>
        <w:t>33</w:t>
      </w:r>
      <w:r>
        <w:t>.</w:t>
      </w:r>
      <w:r>
        <w:tab/>
        <w:t>Costs associated with Commissioner</w:t>
      </w:r>
      <w:r>
        <w:noBreakHyphen/>
        <w:t>appointed mediation</w:t>
      </w:r>
      <w:bookmarkEnd w:id="135"/>
      <w:bookmarkEnd w:id="136"/>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37" w:name="_Toc412722491"/>
      <w:bookmarkStart w:id="138" w:name="_Toc412722545"/>
      <w:bookmarkStart w:id="139" w:name="_Toc412722599"/>
      <w:bookmarkStart w:id="140" w:name="_Toc412727671"/>
      <w:bookmarkStart w:id="141" w:name="_Toc412786294"/>
      <w:bookmarkStart w:id="142" w:name="_Toc412809671"/>
      <w:bookmarkStart w:id="143" w:name="_Toc414875637"/>
      <w:bookmarkStart w:id="144" w:name="_Toc414877035"/>
      <w:bookmarkStart w:id="145" w:name="_Toc414877181"/>
      <w:bookmarkStart w:id="146" w:name="_Toc414877471"/>
      <w:bookmarkStart w:id="147" w:name="_Toc414877524"/>
      <w:bookmarkStart w:id="148" w:name="_Toc414956413"/>
      <w:r>
        <w:rPr>
          <w:rStyle w:val="CharSDivNo"/>
        </w:rPr>
        <w:t>Division 7</w:t>
      </w:r>
      <w:r>
        <w:t> — </w:t>
      </w:r>
      <w:r>
        <w:rPr>
          <w:rStyle w:val="CharSDivText"/>
        </w:rPr>
        <w:t>Termination of residence contracts</w:t>
      </w:r>
      <w:bookmarkEnd w:id="137"/>
      <w:bookmarkEnd w:id="138"/>
      <w:bookmarkEnd w:id="139"/>
      <w:bookmarkEnd w:id="140"/>
      <w:bookmarkEnd w:id="141"/>
      <w:bookmarkEnd w:id="142"/>
      <w:bookmarkEnd w:id="143"/>
      <w:bookmarkEnd w:id="144"/>
      <w:bookmarkEnd w:id="145"/>
      <w:bookmarkEnd w:id="146"/>
      <w:bookmarkEnd w:id="147"/>
      <w:bookmarkEnd w:id="148"/>
    </w:p>
    <w:p>
      <w:pPr>
        <w:pStyle w:val="yHeading5"/>
        <w:rPr>
          <w:szCs w:val="22"/>
        </w:rPr>
      </w:pPr>
      <w:bookmarkStart w:id="149" w:name="_Toc412809672"/>
      <w:bookmarkStart w:id="150" w:name="_Toc414956414"/>
      <w:r>
        <w:rPr>
          <w:rStyle w:val="CharSClsNo"/>
          <w:szCs w:val="22"/>
        </w:rPr>
        <w:t>34</w:t>
      </w:r>
      <w:r>
        <w:rPr>
          <w:szCs w:val="22"/>
        </w:rPr>
        <w:t>.</w:t>
      </w:r>
      <w:r>
        <w:rPr>
          <w:szCs w:val="22"/>
        </w:rPr>
        <w:tab/>
        <w:t>Notice of intention to terminate</w:t>
      </w:r>
      <w:bookmarkEnd w:id="149"/>
      <w:bookmarkEnd w:id="150"/>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resident’s physical or mental health is such as to make the residential premises unsuitable for occupation by the resident (section 58 of the Act); or</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resident has breached the residence contract or the residence rules (section 59 of the Act); or</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numPr>
          <w:ilvl w:val="0"/>
          <w:numId w:val="24"/>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25"/>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restrains the administering body from transferring the resident to another kind of accommodation in the village; or</w:t>
      </w:r>
    </w:p>
    <w:p>
      <w:pPr>
        <w:pStyle w:val="yMiscellaneousBody"/>
        <w:numPr>
          <w:ilvl w:val="0"/>
          <w:numId w:val="25"/>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requires the resident to transfer, or the administering body to transfer the resident, to another kind of accommodation in the village; or</w:t>
      </w:r>
    </w:p>
    <w:p>
      <w:pPr>
        <w:pStyle w:val="yMiscellaneousBody"/>
        <w:numPr>
          <w:ilvl w:val="0"/>
          <w:numId w:val="25"/>
        </w:numPr>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51" w:name="_Toc412722493"/>
      <w:bookmarkStart w:id="152" w:name="_Toc412722547"/>
      <w:bookmarkStart w:id="153" w:name="_Toc412722601"/>
      <w:bookmarkStart w:id="154" w:name="_Toc412727673"/>
      <w:bookmarkStart w:id="155" w:name="_Toc412786296"/>
      <w:bookmarkStart w:id="156" w:name="_Toc412809673"/>
      <w:bookmarkStart w:id="157" w:name="_Toc414875639"/>
      <w:bookmarkStart w:id="158" w:name="_Toc414877037"/>
      <w:bookmarkStart w:id="159" w:name="_Toc414877183"/>
      <w:bookmarkStart w:id="160" w:name="_Toc414877473"/>
      <w:bookmarkStart w:id="161" w:name="_Toc414877526"/>
      <w:bookmarkStart w:id="162" w:name="_Toc414956415"/>
      <w:r>
        <w:rPr>
          <w:rStyle w:val="CharSDivNo"/>
        </w:rPr>
        <w:t>Division 8</w:t>
      </w:r>
      <w:r>
        <w:t> — </w:t>
      </w:r>
      <w:r>
        <w:rPr>
          <w:rStyle w:val="CharSDivText"/>
        </w:rPr>
        <w:t>Service of documents</w:t>
      </w:r>
      <w:bookmarkEnd w:id="151"/>
      <w:bookmarkEnd w:id="152"/>
      <w:bookmarkEnd w:id="153"/>
      <w:bookmarkEnd w:id="154"/>
      <w:bookmarkEnd w:id="155"/>
      <w:bookmarkEnd w:id="156"/>
      <w:bookmarkEnd w:id="157"/>
      <w:bookmarkEnd w:id="158"/>
      <w:bookmarkEnd w:id="159"/>
      <w:bookmarkEnd w:id="160"/>
      <w:bookmarkEnd w:id="161"/>
      <w:bookmarkEnd w:id="162"/>
    </w:p>
    <w:p>
      <w:pPr>
        <w:pStyle w:val="yHeading5"/>
        <w:rPr>
          <w:szCs w:val="22"/>
        </w:rPr>
      </w:pPr>
      <w:bookmarkStart w:id="163" w:name="_Toc412809674"/>
      <w:bookmarkStart w:id="164" w:name="_Toc414956416"/>
      <w:r>
        <w:rPr>
          <w:rStyle w:val="CharSClsNo"/>
          <w:szCs w:val="22"/>
        </w:rPr>
        <w:t>35</w:t>
      </w:r>
      <w:r>
        <w:rPr>
          <w:szCs w:val="22"/>
        </w:rPr>
        <w:t>.</w:t>
      </w:r>
      <w:r>
        <w:rPr>
          <w:szCs w:val="22"/>
        </w:rPr>
        <w:tab/>
        <w:t>Service of documents</w:t>
      </w:r>
      <w:bookmarkEnd w:id="163"/>
      <w:bookmarkEnd w:id="164"/>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Subject to any evidence to the contrary, any written notice, correspondence or other document referred to in this clause that is sent by post is taken to have been received at the end of the second working day after the day of posting.</w:t>
      </w:r>
    </w:p>
    <w:p>
      <w:pPr>
        <w:pStyle w:val="yHeading3"/>
      </w:pPr>
      <w:bookmarkStart w:id="165" w:name="_Toc412722495"/>
      <w:bookmarkStart w:id="166" w:name="_Toc412722549"/>
      <w:bookmarkStart w:id="167" w:name="_Toc412722603"/>
      <w:bookmarkStart w:id="168" w:name="_Toc412727675"/>
      <w:bookmarkStart w:id="169" w:name="_Toc412786298"/>
      <w:bookmarkStart w:id="170" w:name="_Toc412809675"/>
      <w:bookmarkStart w:id="171" w:name="_Toc414875641"/>
      <w:bookmarkStart w:id="172" w:name="_Toc414877039"/>
      <w:bookmarkStart w:id="173" w:name="_Toc414877185"/>
      <w:bookmarkStart w:id="174" w:name="_Toc414877475"/>
      <w:bookmarkStart w:id="175" w:name="_Toc414877528"/>
      <w:bookmarkStart w:id="176" w:name="_Toc414956417"/>
      <w:r>
        <w:rPr>
          <w:rStyle w:val="CharSDivNo"/>
        </w:rPr>
        <w:t>Division 9</w:t>
      </w:r>
      <w:r>
        <w:t> — </w:t>
      </w:r>
      <w:r>
        <w:rPr>
          <w:rStyle w:val="CharSDivText"/>
        </w:rPr>
        <w:t>Transitional and saving</w:t>
      </w:r>
      <w:bookmarkEnd w:id="165"/>
      <w:bookmarkEnd w:id="166"/>
      <w:bookmarkEnd w:id="167"/>
      <w:bookmarkEnd w:id="168"/>
      <w:bookmarkEnd w:id="169"/>
      <w:bookmarkEnd w:id="170"/>
      <w:bookmarkEnd w:id="171"/>
      <w:bookmarkEnd w:id="172"/>
      <w:bookmarkEnd w:id="173"/>
      <w:bookmarkEnd w:id="174"/>
      <w:bookmarkEnd w:id="175"/>
      <w:bookmarkEnd w:id="176"/>
    </w:p>
    <w:p>
      <w:pPr>
        <w:pStyle w:val="yHeading5"/>
      </w:pPr>
      <w:bookmarkStart w:id="177" w:name="_Toc412809676"/>
      <w:bookmarkStart w:id="178" w:name="_Toc414956418"/>
      <w:r>
        <w:rPr>
          <w:rStyle w:val="CharSClsNo"/>
        </w:rPr>
        <w:t>36</w:t>
      </w:r>
      <w:r>
        <w:t>.</w:t>
      </w:r>
      <w:r>
        <w:tab/>
        <w:t>Residence and service contracts</w:t>
      </w:r>
      <w:bookmarkEnd w:id="177"/>
      <w:bookmarkEnd w:id="178"/>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179" w:name="_Toc412809677"/>
      <w:bookmarkStart w:id="180" w:name="_Toc414956419"/>
      <w:r>
        <w:rPr>
          <w:rStyle w:val="CharSClsNo"/>
        </w:rPr>
        <w:t>37</w:t>
      </w:r>
      <w:r>
        <w:t>.</w:t>
      </w:r>
      <w:r>
        <w:tab/>
        <w:t>When accounting and financial reporting provisions start to apply to existing retirement villages</w:t>
      </w:r>
      <w:bookmarkEnd w:id="179"/>
      <w:bookmarkEnd w:id="180"/>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81" w:name="_Toc412722498"/>
      <w:bookmarkStart w:id="182" w:name="_Toc412722552"/>
      <w:bookmarkStart w:id="183" w:name="_Toc412722606"/>
      <w:bookmarkStart w:id="184" w:name="_Toc412727678"/>
      <w:bookmarkStart w:id="185" w:name="_Toc412786301"/>
      <w:bookmarkStart w:id="186" w:name="_Toc412809678"/>
      <w:bookmarkStart w:id="187" w:name="_Toc414875644"/>
      <w:bookmarkStart w:id="188" w:name="_Toc414877042"/>
      <w:bookmarkStart w:id="189" w:name="_Toc414877188"/>
      <w:bookmarkStart w:id="190" w:name="_Toc414877478"/>
      <w:bookmarkStart w:id="191" w:name="_Toc414877531"/>
      <w:bookmarkStart w:id="192" w:name="_Toc414956420"/>
      <w:r>
        <w:rPr>
          <w:rStyle w:val="CharSchNo"/>
        </w:rPr>
        <w:t>Appendix 1</w:t>
      </w:r>
      <w:r>
        <w:rPr>
          <w:rStyle w:val="CharSDivNo"/>
        </w:rPr>
        <w:t> </w:t>
      </w:r>
      <w:r>
        <w:t>—</w:t>
      </w:r>
      <w:r>
        <w:rPr>
          <w:rStyle w:val="CharSDivText"/>
        </w:rPr>
        <w:t> </w:t>
      </w:r>
      <w:r>
        <w:rPr>
          <w:rStyle w:val="CharSchText"/>
        </w:rPr>
        <w:t>Checklist for prospective resident</w:t>
      </w:r>
      <w:bookmarkEnd w:id="181"/>
      <w:bookmarkEnd w:id="182"/>
      <w:bookmarkEnd w:id="183"/>
      <w:bookmarkEnd w:id="184"/>
      <w:bookmarkEnd w:id="185"/>
      <w:bookmarkEnd w:id="186"/>
      <w:bookmarkEnd w:id="187"/>
      <w:bookmarkEnd w:id="188"/>
      <w:bookmarkEnd w:id="189"/>
      <w:bookmarkEnd w:id="190"/>
      <w:bookmarkEnd w:id="191"/>
      <w:bookmarkEnd w:id="192"/>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193" w:name="_Toc412722499"/>
      <w:bookmarkStart w:id="194" w:name="_Toc412722553"/>
      <w:bookmarkStart w:id="195" w:name="_Toc412722607"/>
      <w:bookmarkStart w:id="196" w:name="_Toc412727679"/>
      <w:bookmarkStart w:id="197" w:name="_Toc412786302"/>
      <w:bookmarkStart w:id="198" w:name="_Toc412809679"/>
      <w:bookmarkStart w:id="199" w:name="_Toc414875645"/>
      <w:bookmarkStart w:id="200" w:name="_Toc414877043"/>
      <w:bookmarkStart w:id="201" w:name="_Toc414877189"/>
      <w:bookmarkStart w:id="202" w:name="_Toc414877479"/>
      <w:bookmarkStart w:id="203" w:name="_Toc414877532"/>
      <w:bookmarkStart w:id="204" w:name="_Toc414956421"/>
      <w:r>
        <w:rPr>
          <w:rStyle w:val="CharSchNo"/>
        </w:rPr>
        <w:t>Appendix 2</w:t>
      </w:r>
      <w:r>
        <w:rPr>
          <w:rStyle w:val="CharSDivNo"/>
        </w:rPr>
        <w:t> </w:t>
      </w:r>
      <w:r>
        <w:t>—</w:t>
      </w:r>
      <w:r>
        <w:rPr>
          <w:rStyle w:val="CharSDivText"/>
        </w:rPr>
        <w:t> </w:t>
      </w:r>
      <w:r>
        <w:rPr>
          <w:rStyle w:val="CharSchText"/>
        </w:rPr>
        <w:t>Form of appointment of proxy</w:t>
      </w:r>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numPr>
          <w:ilvl w:val="0"/>
          <w:numId w:val="20"/>
        </w:numPr>
        <w:spacing w:before="120"/>
      </w:pPr>
      <w:r>
        <w:t>All matters raised at the meeting that require, or provide for, a vote of the residents, at my proxy’s discretion.</w:t>
      </w:r>
    </w:p>
    <w:p>
      <w:pPr>
        <w:pStyle w:val="yMiscellaneousBody"/>
        <w:numPr>
          <w:ilvl w:val="0"/>
          <w:numId w:val="21"/>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or other relative, another resident, friend or other person, but no person may hold more than 5 proxies at the same time.</w:t>
      </w:r>
    </w:p>
    <w:p>
      <w:pPr>
        <w:pStyle w:val="yMiscellaneousBody"/>
        <w:tabs>
          <w:tab w:val="left" w:pos="426"/>
        </w:tabs>
        <w:spacing w:before="120"/>
        <w:ind w:left="426" w:hanging="426"/>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if it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05" w:name="_Toc414875646"/>
      <w:bookmarkStart w:id="206" w:name="_Toc414877044"/>
      <w:bookmarkStart w:id="207" w:name="_Toc414877190"/>
      <w:bookmarkStart w:id="208" w:name="_Toc414877480"/>
      <w:bookmarkStart w:id="209" w:name="_Toc414877533"/>
      <w:bookmarkStart w:id="210" w:name="_Toc414956422"/>
      <w:bookmarkStart w:id="211" w:name="_Toc412809680"/>
      <w:r>
        <w:t>Notes</w:t>
      </w:r>
      <w:bookmarkEnd w:id="205"/>
      <w:bookmarkEnd w:id="206"/>
      <w:bookmarkEnd w:id="207"/>
      <w:bookmarkEnd w:id="208"/>
      <w:bookmarkEnd w:id="209"/>
      <w:bookmarkEnd w:id="210"/>
    </w:p>
    <w:p>
      <w:pPr>
        <w:pStyle w:val="nSubsection"/>
      </w:pPr>
      <w:r>
        <w:rPr>
          <w:vertAlign w:val="superscript"/>
        </w:rPr>
        <w:t>1</w:t>
      </w:r>
      <w:r>
        <w:tab/>
        <w:t xml:space="preserve">This is a compilation of the </w:t>
      </w:r>
      <w:r>
        <w:rPr>
          <w:i/>
          <w:noProof/>
        </w:rPr>
        <w:t>Fair Trading (Retirement Villages Code) Regulations 2015</w:t>
      </w:r>
      <w:r>
        <w:t>.  The following table contains information about those regulations</w:t>
      </w:r>
      <w:r>
        <w:rPr>
          <w:vertAlign w:val="superscript"/>
        </w:rPr>
        <w:t> 1a</w:t>
      </w:r>
      <w:r>
        <w:t>.</w:t>
      </w:r>
    </w:p>
    <w:p>
      <w:pPr>
        <w:pStyle w:val="nHeading3"/>
      </w:pPr>
      <w:bookmarkStart w:id="212" w:name="_Toc414956423"/>
      <w:r>
        <w:t>Compilation table</w:t>
      </w:r>
      <w:bookmarkEnd w:id="2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 xml:space="preserve">Fair Trading (Retirement Villages Code) Regulations 2015 </w:t>
            </w:r>
            <w:r>
              <w:rPr>
                <w:noProof/>
              </w:rPr>
              <w:t>(Regulations other than Sch. 1 Div. 3 and 4) </w:t>
            </w:r>
            <w:r>
              <w:rPr>
                <w:noProof/>
                <w:vertAlign w:val="superscript"/>
              </w:rPr>
              <w:t>2</w:t>
            </w:r>
          </w:p>
        </w:tc>
        <w:tc>
          <w:tcPr>
            <w:tcW w:w="1276" w:type="dxa"/>
          </w:tcPr>
          <w:p>
            <w:pPr>
              <w:pStyle w:val="nTable"/>
              <w:spacing w:after="40"/>
            </w:pPr>
            <w:r>
              <w:t>24 Mar 2015 p. 931-92</w:t>
            </w:r>
          </w:p>
        </w:tc>
        <w:tc>
          <w:tcPr>
            <w:tcW w:w="2693" w:type="dxa"/>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213" w:name="_Toc404007775"/>
      <w:bookmarkStart w:id="214" w:name="_Toc413142799"/>
      <w:bookmarkStart w:id="215" w:name="_Toc414956424"/>
      <w:r>
        <w:t>Provisions that have not come into operation</w:t>
      </w:r>
      <w:bookmarkEnd w:id="213"/>
      <w:bookmarkEnd w:id="214"/>
      <w:bookmarkEnd w:id="2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 xml:space="preserve">Fair Trading (Retirement Villages Code) Regulations 2015 </w:t>
            </w:r>
            <w:r>
              <w:rPr>
                <w:noProof/>
              </w:rPr>
              <w:t>Sch. 1 Div. 3 and 4 </w:t>
            </w:r>
            <w:r>
              <w:rPr>
                <w:noProof/>
                <w:vertAlign w:val="superscript"/>
              </w:rPr>
              <w:t>3</w:t>
            </w:r>
          </w:p>
        </w:tc>
        <w:tc>
          <w:tcPr>
            <w:tcW w:w="1276" w:type="dxa"/>
          </w:tcPr>
          <w:p>
            <w:pPr>
              <w:pStyle w:val="nTable"/>
              <w:spacing w:after="40"/>
            </w:pPr>
            <w:r>
              <w:t>24 Mar 2015 p. 931-92</w:t>
            </w:r>
          </w:p>
        </w:tc>
        <w:tc>
          <w:tcPr>
            <w:tcW w:w="2693" w:type="dxa"/>
          </w:tcPr>
          <w:p>
            <w:pPr>
              <w:pStyle w:val="nTable"/>
              <w:spacing w:after="40"/>
            </w:pPr>
            <w:r>
              <w:t>1 Oct 2015 (see r. 2(b))</w:t>
            </w:r>
          </w:p>
        </w:tc>
      </w:tr>
    </w:tbl>
    <w:p>
      <w:pPr>
        <w:pStyle w:val="nSubsection"/>
        <w:spacing w:before="200"/>
        <w:rPr>
          <w:snapToGrid w:val="0"/>
        </w:rPr>
      </w:pPr>
      <w:r>
        <w:rPr>
          <w:snapToGrid w:val="0"/>
          <w:vertAlign w:val="superscript"/>
        </w:rPr>
        <w:t>2</w:t>
      </w:r>
      <w:r>
        <w:rPr>
          <w:snapToGrid w:val="0"/>
          <w:vertAlign w:val="superscript"/>
        </w:rPr>
        <w:tab/>
      </w:r>
      <w:r>
        <w:rPr>
          <w:snapToGrid w:val="0"/>
        </w:rPr>
        <w:t>These regulations expire at the end of 31 March 2017 (see r. 3(2)).</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Fair Trading (Retirement Villages Code) Regulations 2015 </w:t>
      </w:r>
      <w:r>
        <w:rPr>
          <w:snapToGrid w:val="0"/>
        </w:rPr>
        <w:t>Sch. 1 Div. 3 and 4</w:t>
      </w:r>
      <w:r>
        <w:rPr>
          <w:i/>
          <w:snapToGrid w:val="0"/>
        </w:rPr>
        <w:t xml:space="preserve"> </w:t>
      </w:r>
      <w:r>
        <w:rPr>
          <w:snapToGrid w:val="0"/>
        </w:rPr>
        <w:t xml:space="preserve"> had not come into operation.  They read as follows:</w:t>
      </w:r>
    </w:p>
    <w:p>
      <w:pPr>
        <w:pStyle w:val="BlankOpen"/>
        <w:rPr>
          <w:snapToGrid w:val="0"/>
        </w:rPr>
      </w:pPr>
    </w:p>
    <w:p>
      <w:pPr>
        <w:pStyle w:val="zyScheduleHeading"/>
      </w:pPr>
      <w:bookmarkStart w:id="216" w:name="_Toc412722464"/>
      <w:bookmarkStart w:id="217" w:name="_Toc412722518"/>
      <w:bookmarkStart w:id="218" w:name="_Toc412722572"/>
      <w:bookmarkStart w:id="219" w:name="_Toc412727644"/>
      <w:bookmarkStart w:id="220" w:name="_Toc412786267"/>
      <w:bookmarkStart w:id="221" w:name="_Toc412809644"/>
      <w:r>
        <w:rPr>
          <w:rStyle w:val="CharSchNo"/>
        </w:rPr>
        <w:t>Schedule 1</w:t>
      </w:r>
      <w:r>
        <w:rPr>
          <w:rStyle w:val="CharSDivNo"/>
        </w:rPr>
        <w:t> </w:t>
      </w:r>
      <w:r>
        <w:t>—</w:t>
      </w:r>
      <w:r>
        <w:rPr>
          <w:rStyle w:val="CharSDivText"/>
        </w:rPr>
        <w:t> </w:t>
      </w:r>
      <w:r>
        <w:rPr>
          <w:rStyle w:val="CharSchText"/>
          <w:i/>
        </w:rPr>
        <w:t>Code of Fair Practice for Retirement Villages 2015</w:t>
      </w:r>
    </w:p>
    <w:p>
      <w:pPr>
        <w:pStyle w:val="nzHeading3"/>
      </w:pPr>
      <w:r>
        <w:rPr>
          <w:rStyle w:val="CharSDivNo"/>
        </w:rPr>
        <w:t>Division 3</w:t>
      </w:r>
      <w:r>
        <w:t> — </w:t>
      </w:r>
      <w:r>
        <w:rPr>
          <w:rStyle w:val="CharSDivText"/>
        </w:rPr>
        <w:t>Prospective resident’s right to information before entering into a service contract</w:t>
      </w:r>
      <w:bookmarkEnd w:id="216"/>
      <w:bookmarkEnd w:id="217"/>
      <w:bookmarkEnd w:id="218"/>
      <w:bookmarkEnd w:id="219"/>
      <w:bookmarkEnd w:id="220"/>
      <w:bookmarkEnd w:id="221"/>
    </w:p>
    <w:p>
      <w:pPr>
        <w:pStyle w:val="nzHeading5"/>
      </w:pPr>
      <w:bookmarkStart w:id="222" w:name="_Toc412809645"/>
      <w:r>
        <w:rPr>
          <w:rStyle w:val="CharSClsNo"/>
        </w:rPr>
        <w:t>11</w:t>
      </w:r>
      <w:r>
        <w:t>.</w:t>
      </w:r>
      <w:r>
        <w:tab/>
        <w:t>Before entering into a service contract</w:t>
      </w:r>
      <w:bookmarkEnd w:id="222"/>
    </w:p>
    <w:p>
      <w:pPr>
        <w:pStyle w:val="nz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nzIndenta"/>
      </w:pPr>
      <w:r>
        <w:tab/>
        <w:t>(a)</w:t>
      </w:r>
      <w:r>
        <w:tab/>
        <w:t>the costs payable under the service contract, including all ongoing village operating costs or charges under the service contract;</w:t>
      </w:r>
    </w:p>
    <w:p>
      <w:pPr>
        <w:pStyle w:val="nzIndenta"/>
      </w:pPr>
      <w:r>
        <w:tab/>
        <w:t>(b)</w:t>
      </w:r>
      <w:r>
        <w:tab/>
        <w:t>details of the services to be provided under the service contract;</w:t>
      </w:r>
    </w:p>
    <w:p>
      <w:pPr>
        <w:pStyle w:val="nzIndenta"/>
      </w:pPr>
      <w:r>
        <w:tab/>
        <w:t>(c)</w:t>
      </w:r>
      <w:r>
        <w:tab/>
        <w:t>details of the notice to be given to, and the costs payable by, the resident to terminate the provision of the services;</w:t>
      </w:r>
    </w:p>
    <w:p>
      <w:pPr>
        <w:pStyle w:val="nzIndenta"/>
      </w:pPr>
      <w:r>
        <w:tab/>
        <w:t>(d)</w:t>
      </w:r>
      <w:r>
        <w:tab/>
        <w:t>a copy of the proposed service contract.</w:t>
      </w:r>
    </w:p>
    <w:p>
      <w:pPr>
        <w:pStyle w:val="nz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nzSubsection"/>
      </w:pPr>
      <w:r>
        <w:tab/>
        <w:t>(3)</w:t>
      </w:r>
      <w:r>
        <w:tab/>
        <w:t>The administering body of a retirement village must not demand or receive a payment for the information or documents provided under subclause (1).</w:t>
      </w:r>
    </w:p>
    <w:p>
      <w:pPr>
        <w:pStyle w:val="nzHeading3"/>
      </w:pPr>
      <w:bookmarkStart w:id="223" w:name="_Toc412722466"/>
      <w:bookmarkStart w:id="224" w:name="_Toc412722520"/>
      <w:bookmarkStart w:id="225" w:name="_Toc412722574"/>
      <w:bookmarkStart w:id="226" w:name="_Toc412727646"/>
      <w:bookmarkStart w:id="227" w:name="_Toc412786269"/>
      <w:bookmarkStart w:id="228" w:name="_Toc412809646"/>
      <w:r>
        <w:rPr>
          <w:rStyle w:val="CharSDivNo"/>
        </w:rPr>
        <w:t>Division 4</w:t>
      </w:r>
      <w:r>
        <w:t> — </w:t>
      </w:r>
      <w:r>
        <w:rPr>
          <w:rStyle w:val="CharSDivText"/>
        </w:rPr>
        <w:t>Service contract</w:t>
      </w:r>
      <w:bookmarkEnd w:id="223"/>
      <w:bookmarkEnd w:id="224"/>
      <w:bookmarkEnd w:id="225"/>
      <w:bookmarkEnd w:id="226"/>
      <w:bookmarkEnd w:id="227"/>
      <w:bookmarkEnd w:id="228"/>
    </w:p>
    <w:p>
      <w:pPr>
        <w:pStyle w:val="nzHeading5"/>
      </w:pPr>
      <w:bookmarkStart w:id="229" w:name="_Toc412809647"/>
      <w:r>
        <w:rPr>
          <w:rStyle w:val="CharSClsNo"/>
        </w:rPr>
        <w:t>12</w:t>
      </w:r>
      <w:r>
        <w:t>.</w:t>
      </w:r>
      <w:r>
        <w:tab/>
        <w:t>Legibility and presentation requirements</w:t>
      </w:r>
      <w:bookmarkEnd w:id="229"/>
    </w:p>
    <w:p>
      <w:pPr>
        <w:pStyle w:val="nzSubsection"/>
      </w:pPr>
      <w:r>
        <w:tab/>
        <w:t>(1)</w:t>
      </w:r>
      <w:r>
        <w:tab/>
        <w:t>A service contract must —</w:t>
      </w:r>
    </w:p>
    <w:p>
      <w:pPr>
        <w:pStyle w:val="nzIndenta"/>
      </w:pPr>
      <w:r>
        <w:tab/>
        <w:t>(a)</w:t>
      </w:r>
      <w:r>
        <w:tab/>
        <w:t>be written in plain English; and</w:t>
      </w:r>
    </w:p>
    <w:p>
      <w:pPr>
        <w:pStyle w:val="nzIndenta"/>
      </w:pPr>
      <w:r>
        <w:tab/>
        <w:t>(b)</w:t>
      </w:r>
      <w:r>
        <w:tab/>
        <w:t>be printed in a size not less than 12 point type; and</w:t>
      </w:r>
    </w:p>
    <w:p>
      <w:pPr>
        <w:pStyle w:val="nzIndenta"/>
      </w:pPr>
      <w:r>
        <w:tab/>
        <w:t>(c)</w:t>
      </w:r>
      <w:r>
        <w:tab/>
        <w:t xml:space="preserve">be set out clearly using — </w:t>
      </w:r>
    </w:p>
    <w:p>
      <w:pPr>
        <w:pStyle w:val="nzIndenti"/>
      </w:pPr>
      <w:r>
        <w:tab/>
        <w:t>(i)</w:t>
      </w:r>
      <w:r>
        <w:tab/>
        <w:t>appropriate headings and subheadings; and</w:t>
      </w:r>
    </w:p>
    <w:p>
      <w:pPr>
        <w:pStyle w:val="nzIndenti"/>
      </w:pPr>
      <w:r>
        <w:tab/>
        <w:t>(ii)</w:t>
      </w:r>
      <w:r>
        <w:tab/>
        <w:t xml:space="preserve">numbered provisions; </w:t>
      </w:r>
    </w:p>
    <w:p>
      <w:pPr>
        <w:pStyle w:val="nzIndenta"/>
      </w:pPr>
      <w:r>
        <w:rPr>
          <w:sz w:val="24"/>
          <w:szCs w:val="24"/>
        </w:rPr>
        <w:tab/>
      </w:r>
      <w:r>
        <w:rPr>
          <w:sz w:val="24"/>
          <w:szCs w:val="24"/>
        </w:rPr>
        <w:tab/>
        <w:t>and</w:t>
      </w:r>
    </w:p>
    <w:p>
      <w:pPr>
        <w:pStyle w:val="nz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nzSubsection"/>
      </w:pPr>
      <w:r>
        <w:tab/>
        <w:t>(2)</w:t>
      </w:r>
      <w:r>
        <w:tab/>
        <w:t xml:space="preserve">The following statement must be included in a service contract in 16 point type — </w:t>
      </w:r>
    </w:p>
    <w:p>
      <w:pPr>
        <w:pStyle w:val="nzMiscellaneousBody"/>
        <w:pBdr>
          <w:top w:val="single" w:sz="4" w:space="1" w:color="auto"/>
          <w:left w:val="single" w:sz="4" w:space="4" w:color="auto"/>
          <w:bottom w:val="single" w:sz="4" w:space="1" w:color="auto"/>
          <w:right w:val="single" w:sz="4" w:space="4" w:color="auto"/>
          <w:between w:val="single" w:sz="4" w:space="1" w:color="auto"/>
          <w:bar w:val="single" w:sz="4" w:color="auto"/>
        </w:pBdr>
      </w:pPr>
      <w:r>
        <w:rPr>
          <w:sz w:val="32"/>
          <w:szCs w:val="32"/>
        </w:rPr>
        <w:t>Before signing this contract, you are strongly advised to obtain independent legal and financial advice about your rights and duties under the contract.</w:t>
      </w:r>
    </w:p>
    <w:p>
      <w:pPr>
        <w:pStyle w:val="nzMiscellaneousBody"/>
        <w:keepNext/>
        <w:pBdr>
          <w:top w:val="single" w:sz="4" w:space="1" w:color="auto"/>
          <w:left w:val="single" w:sz="4" w:space="4" w:color="auto"/>
          <w:bottom w:val="single" w:sz="4" w:space="1" w:color="auto"/>
          <w:right w:val="single" w:sz="4" w:space="4" w:color="auto"/>
        </w:pBdr>
        <w:shd w:val="clear" w:color="auto" w:fill="D9D9D9" w:themeFill="background1" w:themeFillShade="D9"/>
        <w:rPr>
          <w:szCs w:val="22"/>
        </w:rPr>
      </w:pPr>
      <w:r>
        <w:rPr>
          <w:b/>
          <w:szCs w:val="22"/>
        </w:rPr>
        <w:t>Rescission of contract</w:t>
      </w:r>
    </w:p>
    <w:p>
      <w:pPr>
        <w:pStyle w:val="nzMiscellaneousBody"/>
        <w:keepNext/>
        <w:pBdr>
          <w:top w:val="single" w:sz="4" w:space="1" w:color="auto"/>
          <w:left w:val="single" w:sz="4" w:space="4" w:color="auto"/>
          <w:bottom w:val="single" w:sz="4" w:space="1" w:color="auto"/>
          <w:right w:val="single" w:sz="4" w:space="4" w:color="auto"/>
        </w:pBdr>
        <w:shd w:val="clear" w:color="auto" w:fill="D9D9D9" w:themeFill="background1" w:themeFillShade="D9"/>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nzMiscellaneousBody"/>
        <w:keepNext/>
        <w:pBdr>
          <w:top w:val="single" w:sz="4" w:space="1" w:color="auto"/>
          <w:left w:val="single" w:sz="4" w:space="4" w:color="auto"/>
          <w:bottom w:val="single" w:sz="4" w:space="1" w:color="auto"/>
          <w:right w:val="single" w:sz="4" w:space="4" w:color="auto"/>
        </w:pBdr>
        <w:shd w:val="clear" w:color="auto" w:fill="D9D9D9" w:themeFill="background1" w:themeFillShade="D9"/>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nzHeading5"/>
      </w:pPr>
      <w:bookmarkStart w:id="230" w:name="_Toc412809648"/>
      <w:r>
        <w:rPr>
          <w:rStyle w:val="CharSClsNo"/>
          <w:szCs w:val="22"/>
        </w:rPr>
        <w:t>13</w:t>
      </w:r>
      <w:r>
        <w:rPr>
          <w:szCs w:val="22"/>
        </w:rPr>
        <w:t>.</w:t>
      </w:r>
      <w:r>
        <w:rPr>
          <w:szCs w:val="22"/>
        </w:rPr>
        <w:tab/>
        <w:t>Services</w:t>
      </w:r>
      <w:bookmarkEnd w:id="230"/>
    </w:p>
    <w:p>
      <w:pPr>
        <w:pStyle w:val="nzSubsection"/>
      </w:pPr>
      <w:r>
        <w:rPr>
          <w:szCs w:val="22"/>
        </w:rPr>
        <w:tab/>
        <w:t>(1)</w:t>
      </w:r>
      <w:r>
        <w:rPr>
          <w:szCs w:val="22"/>
        </w:rPr>
        <w:tab/>
        <w:t xml:space="preserve">A service contract must state — </w:t>
      </w:r>
    </w:p>
    <w:p>
      <w:pPr>
        <w:pStyle w:val="nzIndenta"/>
      </w:pPr>
      <w:r>
        <w:rPr>
          <w:szCs w:val="22"/>
        </w:rPr>
        <w:tab/>
        <w:t>(a)</w:t>
      </w:r>
      <w:r>
        <w:rPr>
          <w:szCs w:val="22"/>
        </w:rPr>
        <w:tab/>
        <w:t>the nature of the services that are, or are to be, provided or made available under the contract to the resident by the administering body; and</w:t>
      </w:r>
    </w:p>
    <w:p>
      <w:pPr>
        <w:pStyle w:val="nzIndenta"/>
      </w:pPr>
      <w:r>
        <w:tab/>
        <w:t>(b)</w:t>
      </w:r>
      <w:r>
        <w:tab/>
        <w:t>any charges or conditions that apply to the resident’s access to, or use of, those services; and</w:t>
      </w:r>
    </w:p>
    <w:p>
      <w:pPr>
        <w:pStyle w:val="nzIndenta"/>
      </w:pPr>
      <w:r>
        <w:tab/>
        <w:t>(c)</w:t>
      </w:r>
      <w:r>
        <w:tab/>
        <w:t>the basis for the future determination of the costs of providing those services or making those services available.</w:t>
      </w:r>
    </w:p>
    <w:p>
      <w:pPr>
        <w:pStyle w:val="nzSubsection"/>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nzIndenta"/>
      </w:pPr>
      <w:r>
        <w:rPr>
          <w:szCs w:val="22"/>
        </w:rPr>
        <w:tab/>
        <w:t>(a)</w:t>
      </w:r>
      <w:r>
        <w:rPr>
          <w:szCs w:val="22"/>
        </w:rPr>
        <w:tab/>
        <w:t>for the period after the residence contract has been terminated; or</w:t>
      </w:r>
    </w:p>
    <w:p>
      <w:pPr>
        <w:pStyle w:val="nzIndenta"/>
      </w:pPr>
      <w:r>
        <w:tab/>
        <w:t>(b)</w:t>
      </w:r>
      <w:r>
        <w:tab/>
        <w:t>for the period after the service contract has been terminated; or</w:t>
      </w:r>
    </w:p>
    <w:p>
      <w:pPr>
        <w:pStyle w:val="nzIndenta"/>
      </w:pPr>
      <w:r>
        <w:tab/>
        <w:t>(c)</w:t>
      </w:r>
      <w:r>
        <w:tab/>
        <w:t>for the period after the resident has permanently vacated the residential premises; or</w:t>
      </w:r>
    </w:p>
    <w:p>
      <w:pPr>
        <w:pStyle w:val="nzIndenta"/>
      </w:pPr>
      <w:r>
        <w:tab/>
        <w:t>(d)</w:t>
      </w:r>
      <w:r>
        <w:tab/>
        <w:t>for the period during which the resident temporarily ceased to reside in the residential premises.</w:t>
      </w:r>
    </w:p>
    <w:p>
      <w:pPr>
        <w:pStyle w:val="nzSubsection"/>
      </w:pPr>
      <w:r>
        <w:rPr>
          <w:szCs w:val="22"/>
        </w:rPr>
        <w:tab/>
        <w:t>(3)</w:t>
      </w:r>
      <w:r>
        <w:rPr>
          <w:szCs w:val="22"/>
        </w:rPr>
        <w:tab/>
        <w:t xml:space="preserve">In subclause (2) — </w:t>
      </w:r>
    </w:p>
    <w:p>
      <w:pPr>
        <w:pStyle w:val="nzDefstart"/>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nzDefpara"/>
      </w:pPr>
      <w:r>
        <w:rPr>
          <w:szCs w:val="22"/>
        </w:rPr>
        <w:tab/>
        <w:t>(a)</w:t>
      </w:r>
      <w:r>
        <w:rPr>
          <w:szCs w:val="22"/>
        </w:rPr>
        <w:tab/>
        <w:t>communal amenities in the retirement village; or</w:t>
      </w:r>
    </w:p>
    <w:p>
      <w:pPr>
        <w:pStyle w:val="nzDefpara"/>
        <w:keepNext/>
      </w:pPr>
      <w:r>
        <w:tab/>
        <w:t>(b)</w:t>
      </w:r>
      <w:r>
        <w:tab/>
        <w:t>village administrative and management services.</w:t>
      </w:r>
    </w:p>
    <w:p>
      <w:pPr>
        <w:pStyle w:val="nzMiscellaneousBody"/>
        <w:keepNext/>
        <w:pBdr>
          <w:top w:val="single" w:sz="4" w:space="1" w:color="auto"/>
          <w:left w:val="single" w:sz="4" w:space="4" w:color="auto"/>
          <w:bottom w:val="single" w:sz="4" w:space="1" w:color="auto"/>
          <w:right w:val="single" w:sz="4" w:space="4" w:color="auto"/>
        </w:pBdr>
        <w:shd w:val="clear" w:color="auto" w:fill="D9D9D9" w:themeFill="background1" w:themeFillShade="D9"/>
      </w:pPr>
      <w:r>
        <w:rPr>
          <w:szCs w:val="22"/>
        </w:rPr>
        <w:t>Examples of personal services are the provision of meals, laundry services and the cleaning of the resident’s residential premises.</w:t>
      </w:r>
    </w:p>
    <w:p>
      <w:pPr>
        <w:pStyle w:val="BlankClose"/>
        <w:keepNext/>
        <w:rPr>
          <w:snapToGrid w:val="0"/>
        </w:rPr>
      </w:pPr>
    </w:p>
    <w:p>
      <w:pPr>
        <w:pStyle w:val="BlankClose"/>
        <w:keepNext/>
        <w:rPr>
          <w:snapToGrid w:val="0"/>
        </w:rPr>
      </w:pPr>
    </w:p>
    <w:p>
      <w:pPr>
        <w:pStyle w:val="nSubsection"/>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32" w:name="_Toc414877047"/>
      <w:bookmarkStart w:id="233" w:name="_Toc414877193"/>
      <w:bookmarkStart w:id="234" w:name="_Toc414877483"/>
      <w:bookmarkStart w:id="235" w:name="_Toc414877536"/>
      <w:bookmarkStart w:id="236" w:name="_Toc414956425"/>
      <w:bookmarkEnd w:id="211"/>
      <w:r>
        <w:rPr>
          <w:sz w:val="28"/>
        </w:rPr>
        <w:t>Defined terms</w:t>
      </w:r>
      <w:bookmarkEnd w:id="232"/>
      <w:bookmarkEnd w:id="233"/>
      <w:bookmarkEnd w:id="234"/>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new accounting and financial reporting requirements</w:t>
      </w:r>
      <w:r>
        <w:tab/>
        <w:t>Sch. 1 cl. 37(1)</w:t>
      </w:r>
    </w:p>
    <w:p>
      <w:pPr>
        <w:pStyle w:val="DefinedTerms"/>
      </w:pPr>
      <w:r>
        <w:t>notes</w:t>
      </w:r>
      <w:r>
        <w:tab/>
        <w:t>Sch. 1 cl. 14(1)</w:t>
      </w:r>
    </w:p>
    <w:p>
      <w:pPr>
        <w:pStyle w:val="DefinedTerms"/>
      </w:pPr>
      <w:r>
        <w:t>owner</w:t>
      </w:r>
      <w:r>
        <w:tab/>
        <w:t>Sch. 1 cl. 1</w:t>
      </w:r>
    </w:p>
    <w:p>
      <w:pPr>
        <w:pStyle w:val="DefinedTerms"/>
      </w:pPr>
      <w:r>
        <w:t>personal representative</w:t>
      </w:r>
      <w:r>
        <w:tab/>
        <w:t>Sch. 1 cl. 14(1) and 35(1)</w:t>
      </w:r>
    </w:p>
    <w:p>
      <w:pPr>
        <w:pStyle w:val="DefinedTerms"/>
      </w:pPr>
      <w:r>
        <w:t>premium</w:t>
      </w:r>
      <w:r>
        <w:tab/>
        <w:t>Sch. 1 cl. 1</w:t>
      </w:r>
    </w:p>
    <w:p>
      <w:pPr>
        <w:pStyle w:val="DefinedTerms"/>
      </w:pPr>
      <w:r>
        <w:t>proxy</w:t>
      </w:r>
      <w:r>
        <w:tab/>
        <w:t>Sch. 1 cl. 27(2)</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and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57</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8" w:name="Coversheet"/>
    <w:bookmarkEnd w:id="2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EC659F6"/>
    <w:multiLevelType w:val="multilevel"/>
    <w:tmpl w:val="F5462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1D7FC5"/>
    <w:multiLevelType w:val="singleLevel"/>
    <w:tmpl w:val="0C09000F"/>
    <w:lvl w:ilvl="0">
      <w:start w:val="1"/>
      <w:numFmt w:val="decimal"/>
      <w:lvlText w:val="%1."/>
      <w:lvlJc w:val="left"/>
      <w:pPr>
        <w:tabs>
          <w:tab w:val="num" w:pos="360"/>
        </w:tabs>
        <w:ind w:left="360" w:hanging="360"/>
      </w:pPr>
    </w:lvl>
  </w:abstractNum>
  <w:abstractNum w:abstractNumId="29">
    <w:nsid w:val="44D972BF"/>
    <w:multiLevelType w:val="hybridMultilevel"/>
    <w:tmpl w:val="D506F9A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220FB5"/>
    <w:multiLevelType w:val="hybridMultilevel"/>
    <w:tmpl w:val="A96298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9"/>
  </w:num>
  <w:num w:numId="2">
    <w:abstractNumId w:val="31"/>
  </w:num>
  <w:num w:numId="3">
    <w:abstractNumId w:val="15"/>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4"/>
  </w:num>
  <w:num w:numId="18">
    <w:abstractNumId w:val="24"/>
  </w:num>
  <w:num w:numId="19">
    <w:abstractNumId w:val="16"/>
  </w:num>
  <w:num w:numId="20">
    <w:abstractNumId w:val="17"/>
  </w:num>
  <w:num w:numId="21">
    <w:abstractNumId w:val="30"/>
  </w:num>
  <w:num w:numId="22">
    <w:abstractNumId w:val="28"/>
  </w:num>
  <w:num w:numId="23">
    <w:abstractNumId w:val="18"/>
  </w:num>
  <w:num w:numId="24">
    <w:abstractNumId w:val="29"/>
  </w:num>
  <w:num w:numId="25">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430"/>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204112430" w:val="RemoveTrackChanges"/>
    <w:docVar w:name="WAFER_20151204112430_GUID" w:val="f21ceda6-d485-4ae2-9e1f-a3f74ead2f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F357-CD1B-418C-A5C9-FD5D9CB6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15663</Words>
  <Characters>80823</Characters>
  <Application>Microsoft Office Word</Application>
  <DocSecurity>0</DocSecurity>
  <Lines>1924</Lines>
  <Paragraphs>994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2015 - 00-a0-04</dc:title>
  <dc:subject/>
  <dc:creator/>
  <cp:keywords/>
  <dc:description/>
  <cp:lastModifiedBy>svcMRProcess</cp:lastModifiedBy>
  <cp:revision>4</cp:revision>
  <cp:lastPrinted>2015-03-03T03:38:00Z</cp:lastPrinted>
  <dcterms:created xsi:type="dcterms:W3CDTF">2018-09-19T17:24:00Z</dcterms:created>
  <dcterms:modified xsi:type="dcterms:W3CDTF">2018-09-19T17:24:00Z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20150401</vt:lpwstr>
  </property>
  <property fmtid="{D5CDD505-2E9C-101B-9397-08002B2CF9AE}" pid="3" name="AsAtDate">
    <vt:lpwstr>01 Apr 2015</vt:lpwstr>
  </property>
  <property fmtid="{D5CDD505-2E9C-101B-9397-08002B2CF9AE}" pid="4" name="Suffix">
    <vt:lpwstr>00-a0-04</vt:lpwstr>
  </property>
  <property fmtid="{D5CDD505-2E9C-101B-9397-08002B2CF9AE}" pid="5" name="DocumentType">
    <vt:lpwstr>Reg</vt:lpwstr>
  </property>
</Properties>
</file>