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_Toc414973525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_Toc414973526 \h </w:instrText>
      </w:r>
      <w:r>
        <w:fldChar w:fldCharType="separate"/>
      </w:r>
      <w:r>
        <w:t>2</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_Toc414973527 \h </w:instrText>
      </w:r>
      <w:r>
        <w:fldChar w:fldCharType="separate"/>
      </w:r>
      <w:r>
        <w:t>2</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_Toc414973528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Section 13 statement</w:t>
      </w:r>
      <w:r>
        <w:tab/>
      </w:r>
      <w:r>
        <w:fldChar w:fldCharType="begin"/>
      </w:r>
      <w:r>
        <w:instrText xml:space="preserve"> PAGEREF _Toc414973529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_Toc414973530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_Toc414973532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_Toc414973533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_Toc414973535 \h </w:instrText>
      </w:r>
      <w:r>
        <w:fldChar w:fldCharType="separate"/>
      </w:r>
      <w:r>
        <w:t>7</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_Toc414973536 \h </w:instrText>
      </w:r>
      <w:r>
        <w:fldChar w:fldCharType="separate"/>
      </w:r>
      <w:r>
        <w:t>10</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_Toc414973537 \h </w:instrText>
      </w:r>
      <w:r>
        <w:fldChar w:fldCharType="separate"/>
      </w:r>
      <w:r>
        <w:t>11</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_Toc414973538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_Toc414973542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_Toc414973543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3" w:name="_Toc414890086"/>
      <w:bookmarkStart w:id="4" w:name="_Toc414973524"/>
      <w:r>
        <w:rPr>
          <w:rStyle w:val="CharPartNo"/>
        </w:rPr>
        <w:t>Part 1</w:t>
      </w:r>
      <w:r>
        <w:rPr>
          <w:b w:val="0"/>
        </w:rPr>
        <w:t> </w:t>
      </w:r>
      <w:r>
        <w:t>—</w:t>
      </w:r>
      <w:r>
        <w:rPr>
          <w:b w:val="0"/>
        </w:rPr>
        <w:t> </w:t>
      </w:r>
      <w:r>
        <w:rPr>
          <w:rStyle w:val="CharPartText"/>
        </w:rPr>
        <w:t>Preliminary matters</w:t>
      </w:r>
      <w:bookmarkEnd w:id="3"/>
      <w:bookmarkEnd w:id="4"/>
    </w:p>
    <w:p>
      <w:pPr>
        <w:pStyle w:val="Footnoteheading"/>
      </w:pPr>
      <w:r>
        <w:tab/>
        <w:t>[Heading inserted in Gazette 24 Mar 2015 p. 993.]</w:t>
      </w:r>
    </w:p>
    <w:p>
      <w:pPr>
        <w:pStyle w:val="Heading5"/>
        <w:rPr>
          <w:snapToGrid w:val="0"/>
        </w:rPr>
      </w:pPr>
      <w:bookmarkStart w:id="5" w:name="_Toc383159658"/>
      <w:bookmarkStart w:id="6" w:name="_Toc414973525"/>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7" w:name="_Toc383159659"/>
      <w:bookmarkStart w:id="8" w:name="_Toc41497352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9" w:name="_Toc414973527"/>
      <w:r>
        <w:rPr>
          <w:rStyle w:val="CharSectno"/>
        </w:rPr>
        <w:t>3A</w:t>
      </w:r>
      <w:r>
        <w:t>.</w:t>
      </w:r>
      <w:r>
        <w:tab/>
        <w:t>Payments excluded from premium</w:t>
      </w:r>
      <w:bookmarkEnd w:id="9"/>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0" w:name="_Toc414973528"/>
      <w:r>
        <w:rPr>
          <w:rStyle w:val="CharSectno"/>
        </w:rPr>
        <w:t>3</w:t>
      </w:r>
      <w:r>
        <w:t>.</w:t>
      </w:r>
      <w:r>
        <w:tab/>
        <w:t>Memorial prescribed information</w:t>
      </w:r>
      <w:bookmarkEnd w:id="10"/>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5"/>
        <w:rPr>
          <w:snapToGrid w:val="0"/>
        </w:rPr>
      </w:pPr>
      <w:bookmarkStart w:id="11" w:name="_Toc383159660"/>
      <w:bookmarkStart w:id="12" w:name="_Toc414973529"/>
      <w:r>
        <w:rPr>
          <w:rStyle w:val="CharSectno"/>
        </w:rPr>
        <w:t>4</w:t>
      </w:r>
      <w:r>
        <w:rPr>
          <w:snapToGrid w:val="0"/>
        </w:rPr>
        <w:t>.</w:t>
      </w:r>
      <w:r>
        <w:rPr>
          <w:snapToGrid w:val="0"/>
        </w:rPr>
        <w:tab/>
        <w:t>Section 13 statement</w:t>
      </w:r>
      <w:bookmarkEnd w:id="11"/>
      <w:bookmarkEnd w:id="12"/>
      <w:r>
        <w:rPr>
          <w:snapToGrid w:val="0"/>
        </w:rPr>
        <w:t xml:space="preserve"> </w:t>
      </w:r>
    </w:p>
    <w:p>
      <w:pPr>
        <w:pStyle w:val="Subsection"/>
        <w:rPr>
          <w:snapToGrid w:val="0"/>
        </w:rPr>
      </w:pPr>
      <w:r>
        <w:rPr>
          <w:snapToGrid w:val="0"/>
        </w:rPr>
        <w:tab/>
      </w:r>
      <w:r>
        <w:rPr>
          <w:snapToGrid w:val="0"/>
        </w:rPr>
        <w:tab/>
        <w:t xml:space="preserve">At least </w:t>
      </w:r>
      <w:r>
        <w:t>10 working days</w:t>
      </w:r>
      <w:r>
        <w:rPr>
          <w:snapToGrid w:val="0"/>
        </w:rPr>
        <w:t xml:space="preserve"> before a person enters into a residence contract, the owner must cause to be given to that person a statement in the form of Form 1 in Schedule 1 completed and signed by the owner containing the information required to be provided under that form.</w:t>
      </w:r>
    </w:p>
    <w:p>
      <w:pPr>
        <w:pStyle w:val="Footnotesection"/>
      </w:pPr>
      <w:r>
        <w:tab/>
        <w:t>[Regulation 4 amended in Gazette 21 Mar 2014 p. 722; 24 Mar 2015 p. 1030.]</w:t>
      </w:r>
    </w:p>
    <w:p>
      <w:pPr>
        <w:pStyle w:val="Heading5"/>
        <w:rPr>
          <w:snapToGrid w:val="0"/>
        </w:rPr>
      </w:pPr>
      <w:bookmarkStart w:id="13" w:name="_Toc383159661"/>
      <w:bookmarkStart w:id="14" w:name="_Toc414973530"/>
      <w:r>
        <w:rPr>
          <w:rStyle w:val="CharSectno"/>
        </w:rPr>
        <w:t>5</w:t>
      </w:r>
      <w:r>
        <w:rPr>
          <w:snapToGrid w:val="0"/>
        </w:rPr>
        <w:t>.</w:t>
      </w:r>
      <w:r>
        <w:rPr>
          <w:snapToGrid w:val="0"/>
        </w:rPr>
        <w:tab/>
        <w:t>Section 13 notice</w:t>
      </w:r>
      <w:bookmarkEnd w:id="13"/>
      <w:bookmarkEnd w:id="1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Ednotesection"/>
      </w:pPr>
      <w:r>
        <w:t>[</w:t>
      </w:r>
      <w:r>
        <w:rPr>
          <w:b/>
        </w:rPr>
        <w:t>6.</w:t>
      </w:r>
      <w:r>
        <w:rPr>
          <w:b/>
        </w:rPr>
        <w:tab/>
      </w:r>
      <w:r>
        <w:t>Deleted in Gazette 24 Mar 2015 p. 997.]</w:t>
      </w:r>
    </w:p>
    <w:p>
      <w:pPr>
        <w:pStyle w:val="Heading2"/>
      </w:pPr>
      <w:bookmarkStart w:id="15" w:name="_Toc414890093"/>
      <w:bookmarkStart w:id="16" w:name="_Toc414973531"/>
      <w:r>
        <w:rPr>
          <w:rStyle w:val="CharPartNo"/>
        </w:rPr>
        <w:t>Part 3</w:t>
      </w:r>
      <w:r>
        <w:rPr>
          <w:b w:val="0"/>
        </w:rPr>
        <w:t> </w:t>
      </w:r>
      <w:r>
        <w:t>—</w:t>
      </w:r>
      <w:r>
        <w:rPr>
          <w:b w:val="0"/>
        </w:rPr>
        <w:t> </w:t>
      </w:r>
      <w:r>
        <w:rPr>
          <w:rStyle w:val="CharPartText"/>
        </w:rPr>
        <w:t>Abandoned goods</w:t>
      </w:r>
      <w:bookmarkEnd w:id="15"/>
      <w:bookmarkEnd w:id="16"/>
    </w:p>
    <w:p>
      <w:pPr>
        <w:pStyle w:val="Footnoteheading"/>
        <w:rPr>
          <w:snapToGrid w:val="0"/>
        </w:rPr>
      </w:pPr>
      <w:r>
        <w:tab/>
        <w:t>[Heading inserted in Gazette 24 Mar 2015 p. 1026.]</w:t>
      </w:r>
    </w:p>
    <w:p>
      <w:pPr>
        <w:pStyle w:val="Heading5"/>
        <w:rPr>
          <w:snapToGrid w:val="0"/>
        </w:rPr>
      </w:pPr>
      <w:bookmarkStart w:id="17" w:name="_Toc383159663"/>
      <w:bookmarkStart w:id="18" w:name="_Toc414973532"/>
      <w:r>
        <w:rPr>
          <w:rStyle w:val="CharSectno"/>
        </w:rPr>
        <w:t>7</w:t>
      </w:r>
      <w:r>
        <w:rPr>
          <w:snapToGrid w:val="0"/>
        </w:rPr>
        <w:t>.</w:t>
      </w:r>
      <w:r>
        <w:rPr>
          <w:snapToGrid w:val="0"/>
        </w:rPr>
        <w:tab/>
        <w:t>Disposal of abandoned goods</w:t>
      </w:r>
      <w:bookmarkEnd w:id="17"/>
      <w:bookmarkEnd w:id="1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19" w:name="_Toc383159664"/>
      <w:bookmarkStart w:id="20" w:name="_Toc414973533"/>
      <w:r>
        <w:rPr>
          <w:rStyle w:val="CharSectno"/>
        </w:rPr>
        <w:t>8</w:t>
      </w:r>
      <w:r>
        <w:rPr>
          <w:snapToGrid w:val="0"/>
        </w:rPr>
        <w:t>.</w:t>
      </w:r>
      <w:r>
        <w:rPr>
          <w:snapToGrid w:val="0"/>
        </w:rPr>
        <w:tab/>
        <w:t>Proceeds of sale of abandoned goods</w:t>
      </w:r>
      <w:bookmarkEnd w:id="19"/>
      <w:bookmarkEnd w:id="20"/>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21" w:name="_Toc414890096"/>
      <w:bookmarkStart w:id="22" w:name="_Toc414973534"/>
      <w:r>
        <w:rPr>
          <w:rStyle w:val="CharPartNo"/>
        </w:rPr>
        <w:t>Part 4</w:t>
      </w:r>
      <w:r>
        <w:rPr>
          <w:b w:val="0"/>
        </w:rPr>
        <w:t> </w:t>
      </w:r>
      <w:r>
        <w:t>—</w:t>
      </w:r>
      <w:r>
        <w:rPr>
          <w:b w:val="0"/>
        </w:rPr>
        <w:t> </w:t>
      </w:r>
      <w:r>
        <w:rPr>
          <w:rStyle w:val="CharPartText"/>
        </w:rPr>
        <w:t>Other matters</w:t>
      </w:r>
      <w:bookmarkEnd w:id="21"/>
      <w:bookmarkEnd w:id="22"/>
    </w:p>
    <w:p>
      <w:pPr>
        <w:pStyle w:val="Footnoteheading"/>
      </w:pPr>
      <w:r>
        <w:tab/>
        <w:t>[Heading inserted in Gazette 24 Mar 2015 p. 1026.]</w:t>
      </w:r>
    </w:p>
    <w:p>
      <w:pPr>
        <w:pStyle w:val="Heading5"/>
      </w:pPr>
      <w:bookmarkStart w:id="23" w:name="_Toc383159665"/>
      <w:bookmarkStart w:id="24" w:name="_Toc414973535"/>
      <w:r>
        <w:rPr>
          <w:rStyle w:val="CharSectno"/>
        </w:rPr>
        <w:t>9</w:t>
      </w:r>
      <w:r>
        <w:t>.</w:t>
      </w:r>
      <w:r>
        <w:tab/>
        <w:t>Former resident’s liability to pay recurrent charges (Act s. 23(3))</w:t>
      </w:r>
      <w:bookmarkEnd w:id="23"/>
      <w:bookmarkEnd w:id="2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25" w:name="_Toc383159666"/>
      <w:bookmarkStart w:id="26" w:name="_Toc414973536"/>
      <w:r>
        <w:rPr>
          <w:rStyle w:val="CharSectno"/>
        </w:rPr>
        <w:t>10</w:t>
      </w:r>
      <w:r>
        <w:t>.</w:t>
      </w:r>
      <w:r>
        <w:tab/>
        <w:t>Interest payable on recurrent charges (Act s. 24(5))</w:t>
      </w:r>
      <w:bookmarkEnd w:id="25"/>
      <w:bookmarkEnd w:id="26"/>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27" w:name="_Toc383159667"/>
      <w:bookmarkStart w:id="28" w:name="_Toc414973537"/>
      <w:r>
        <w:rPr>
          <w:rStyle w:val="CharSectno"/>
        </w:rPr>
        <w:t>11</w:t>
      </w:r>
      <w:r>
        <w:t>.</w:t>
      </w:r>
      <w:r>
        <w:tab/>
        <w:t>Matters in respect of which administering body is not to require payment (Act s. 25)</w:t>
      </w:r>
      <w:bookmarkEnd w:id="27"/>
      <w:bookmarkEnd w:id="2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costs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costs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costs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costs incurred by the administering body of that marketing or advertising;</w:t>
      </w:r>
    </w:p>
    <w:p>
      <w:pPr>
        <w:pStyle w:val="Indenta"/>
        <w:keepNext/>
      </w:pPr>
      <w:r>
        <w:tab/>
        <w:t>(e)</w:t>
      </w:r>
      <w:r>
        <w:tab/>
        <w:t xml:space="preserve">the costs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costs to be paid by the residents;</w:t>
      </w:r>
    </w:p>
    <w:p>
      <w:pPr>
        <w:pStyle w:val="Indenta"/>
        <w:spacing w:before="100"/>
      </w:pPr>
      <w:r>
        <w:tab/>
        <w:t>(f)</w:t>
      </w:r>
      <w:r>
        <w:tab/>
        <w:t>the costs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costs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costs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costs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costs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costs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costs relating to the depreciation or amortisation of, or to writing off, the assets of the retirement village;</w:t>
      </w:r>
    </w:p>
    <w:p>
      <w:pPr>
        <w:pStyle w:val="Indenta"/>
        <w:spacing w:before="100"/>
      </w:pPr>
      <w:r>
        <w:tab/>
        <w:t>(m)</w:t>
      </w:r>
      <w:r>
        <w:tab/>
        <w:t>the costs incurred by the administering body of overseas travel by the administering body or the employees of the administering body;</w:t>
      </w:r>
    </w:p>
    <w:p>
      <w:pPr>
        <w:pStyle w:val="Indenta"/>
        <w:spacing w:before="100"/>
      </w:pPr>
      <w:r>
        <w:tab/>
        <w:t>(n)</w:t>
      </w:r>
      <w:r>
        <w:tab/>
        <w:t>the costs incurred by the administering body of accreditation or membership fees paid to a professional body or industry body, other than an industry body referred to in paragraph (o);</w:t>
      </w:r>
    </w:p>
    <w:p>
      <w:pPr>
        <w:pStyle w:val="Indenta"/>
        <w:spacing w:before="100"/>
      </w:pPr>
      <w:r>
        <w:tab/>
        <w:t>(o)</w:t>
      </w:r>
      <w:r>
        <w:tab/>
        <w:t>the costs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costs.</w:t>
      </w:r>
    </w:p>
    <w:p>
      <w:pPr>
        <w:pStyle w:val="Subsection"/>
        <w:spacing w:before="120"/>
      </w:pPr>
      <w:r>
        <w:tab/>
        <w:t>(4)</w:t>
      </w:r>
      <w:r>
        <w:tab/>
        <w:t xml:space="preserve">Subregulation (3)(a) does not apply to the costs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w:t>
      </w:r>
    </w:p>
    <w:p>
      <w:pPr>
        <w:pStyle w:val="Heading5"/>
        <w:spacing w:before="180"/>
      </w:pPr>
      <w:bookmarkStart w:id="29" w:name="_Toc383159668"/>
      <w:bookmarkStart w:id="30" w:name="_Toc414973538"/>
      <w:r>
        <w:rPr>
          <w:rStyle w:val="CharSectno"/>
        </w:rPr>
        <w:t>12</w:t>
      </w:r>
      <w:r>
        <w:t>.</w:t>
      </w:r>
      <w:r>
        <w:tab/>
        <w:t>Exemption certificates (Act s. 77C)</w:t>
      </w:r>
      <w:bookmarkEnd w:id="29"/>
      <w:bookmarkEnd w:id="30"/>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1" w:name="AautoSch"/>
      <w:bookmarkStart w:id="32" w:name="_Toc383093682"/>
      <w:bookmarkStart w:id="33" w:name="_Toc383093698"/>
      <w:bookmarkStart w:id="34" w:name="_Toc383093903"/>
      <w:bookmarkStart w:id="35" w:name="_Toc383159669"/>
      <w:bookmarkStart w:id="36" w:name="_Toc414889010"/>
      <w:bookmarkStart w:id="37" w:name="_Toc414889049"/>
      <w:bookmarkStart w:id="38" w:name="_Toc414890101"/>
      <w:bookmarkStart w:id="39" w:name="_Toc414973539"/>
      <w:bookmarkEnd w:id="31"/>
      <w:r>
        <w:rPr>
          <w:rStyle w:val="CharSchNo"/>
        </w:rPr>
        <w:t>Schedule 1</w:t>
      </w:r>
      <w:bookmarkEnd w:id="32"/>
      <w:bookmarkEnd w:id="33"/>
      <w:bookmarkEnd w:id="34"/>
      <w:bookmarkEnd w:id="35"/>
      <w:bookmarkEnd w:id="36"/>
      <w:bookmarkEnd w:id="37"/>
      <w:bookmarkEnd w:id="38"/>
      <w:bookmarkEnd w:id="39"/>
      <w:r>
        <w:rPr>
          <w:rStyle w:val="CharSchText"/>
        </w:rPr>
        <w:t xml:space="preserve"> </w:t>
      </w:r>
    </w:p>
    <w:p>
      <w:pPr>
        <w:pStyle w:val="yHeading2"/>
        <w:outlineLvl w:val="9"/>
        <w:rPr>
          <w:b w:val="0"/>
          <w:snapToGrid/>
          <w:sz w:val="24"/>
        </w:rPr>
      </w:pPr>
      <w:bookmarkStart w:id="40" w:name="_Toc383093683"/>
      <w:bookmarkStart w:id="41" w:name="_Toc383093699"/>
      <w:bookmarkStart w:id="42" w:name="_Toc383093904"/>
      <w:bookmarkStart w:id="43" w:name="_Toc383159670"/>
      <w:bookmarkStart w:id="44" w:name="_Toc414889011"/>
      <w:bookmarkStart w:id="45" w:name="_Toc414889050"/>
      <w:bookmarkStart w:id="46" w:name="_Toc414890102"/>
      <w:bookmarkStart w:id="47" w:name="_Toc414973540"/>
      <w:r>
        <w:rPr>
          <w:rStyle w:val="CharSchText"/>
        </w:rPr>
        <w:t>Forms</w:t>
      </w:r>
      <w:bookmarkEnd w:id="40"/>
      <w:bookmarkEnd w:id="41"/>
      <w:bookmarkEnd w:id="42"/>
      <w:bookmarkEnd w:id="43"/>
      <w:bookmarkEnd w:id="44"/>
      <w:bookmarkEnd w:id="45"/>
      <w:bookmarkEnd w:id="46"/>
      <w:bookmarkEnd w:id="47"/>
      <w:r>
        <w:rPr>
          <w:b w:val="0"/>
          <w:snapToGrid/>
          <w:sz w:val="24"/>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Retirement Villages Act 1992</w:t>
      </w:r>
    </w:p>
    <w:p>
      <w:pPr>
        <w:pStyle w:val="yShoulderClause"/>
        <w:spacing w:before="60"/>
        <w:rPr>
          <w:snapToGrid w:val="0"/>
        </w:rPr>
      </w:pPr>
      <w:r>
        <w:rPr>
          <w:snapToGrid w:val="0"/>
        </w:rPr>
        <w:t>[r. 4]</w:t>
      </w:r>
    </w:p>
    <w:p>
      <w:pPr>
        <w:pStyle w:val="yTable"/>
        <w:jc w:val="center"/>
        <w:rPr>
          <w:b/>
          <w:sz w:val="24"/>
        </w:rPr>
      </w:pPr>
      <w:r>
        <w:rPr>
          <w:b/>
          <w:sz w:val="24"/>
        </w:rPr>
        <w:t>Information statement for prospective resident</w:t>
      </w:r>
    </w:p>
    <w:p>
      <w:pPr>
        <w:pStyle w:val="zMiscellaneousBody"/>
        <w:shd w:val="pct15" w:color="auto" w:fill="FFFFFF"/>
        <w:ind w:left="0" w:right="8"/>
        <w:rPr>
          <w:sz w:val="22"/>
        </w:rPr>
      </w:pPr>
      <w:r>
        <w:rPr>
          <w:sz w:val="22"/>
        </w:rPr>
        <w:t xml:space="preserve">Under section 13(2) of the </w:t>
      </w:r>
      <w:r>
        <w:rPr>
          <w:i/>
          <w:sz w:val="22"/>
        </w:rPr>
        <w:t>Retirement Villages Act 1992</w:t>
      </w:r>
      <w:r>
        <w:rPr>
          <w:sz w:val="22"/>
        </w:rPr>
        <w:t xml:space="preserve"> the owner of residential premises in a retirement village is required to provide the following information to a person at least </w:t>
      </w:r>
      <w:r>
        <w:rPr>
          <w:sz w:val="22"/>
          <w:highlight w:val="lightGray"/>
        </w:rPr>
        <w:t>10 working days</w:t>
      </w:r>
      <w:r>
        <w:rPr>
          <w:sz w:val="22"/>
        </w:rPr>
        <w:t xml:space="preserve"> before that person enters into a residence contract.</w:t>
      </w:r>
    </w:p>
    <w:p>
      <w:pPr>
        <w:pStyle w:val="zMiscellaneousBody"/>
        <w:shd w:val="pct15" w:color="auto" w:fill="FFFFFF"/>
        <w:ind w:left="0" w:right="8"/>
        <w:rPr>
          <w:b/>
          <w:sz w:val="22"/>
        </w:rPr>
      </w:pPr>
      <w:r>
        <w:rPr>
          <w:b/>
          <w:sz w:val="22"/>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Payment of premium and refund entitlement</w:t>
      </w:r>
    </w:p>
    <w:p>
      <w:pPr>
        <w:pStyle w:val="zMiscellaneousBody"/>
        <w:shd w:val="pct15" w:color="auto" w:fill="FFFFFF"/>
        <w:tabs>
          <w:tab w:val="left" w:pos="567"/>
        </w:tabs>
        <w:spacing w:before="140"/>
        <w:ind w:right="6" w:hanging="567"/>
        <w:rPr>
          <w:sz w:val="22"/>
        </w:rPr>
      </w:pPr>
      <w:r>
        <w:rPr>
          <w:sz w:val="22"/>
        </w:rPr>
        <w:t>1.</w:t>
      </w:r>
      <w:r>
        <w:rPr>
          <w:sz w:val="22"/>
        </w:rPr>
        <w:tab/>
        <w:t>What premium and other costs are payable to enter the retirement village?</w:t>
      </w:r>
    </w:p>
    <w:p>
      <w:pPr>
        <w:pStyle w:val="zMiscellaneousBody"/>
        <w:shd w:val="pct15" w:color="auto" w:fill="FFFFFF"/>
        <w:tabs>
          <w:tab w:val="left" w:pos="567"/>
        </w:tabs>
        <w:spacing w:before="140"/>
        <w:ind w:right="6" w:hanging="567"/>
        <w:rPr>
          <w:sz w:val="22"/>
        </w:rPr>
      </w:pPr>
      <w:r>
        <w:rPr>
          <w:sz w:val="22"/>
        </w:rPr>
        <w:t>2.</w:t>
      </w:r>
      <w:r>
        <w:rPr>
          <w:sz w:val="22"/>
        </w:rPr>
        <w:tab/>
        <w:t>What is the refund entitlement if the residence contract is terminated and when is it to be paid? (Include any fees or commissions charged by the administering body on termination of the contract and detail the method used to make the determination.)</w:t>
      </w:r>
    </w:p>
    <w:p>
      <w:pPr>
        <w:pStyle w:val="zMiscellaneousBody"/>
        <w:shd w:val="pct15" w:color="auto" w:fill="FFFFFF"/>
        <w:tabs>
          <w:tab w:val="left" w:pos="567"/>
        </w:tabs>
        <w:spacing w:before="140"/>
        <w:ind w:right="6" w:hanging="567"/>
        <w:rPr>
          <w:sz w:val="22"/>
        </w:rPr>
      </w:pPr>
      <w:r>
        <w:rPr>
          <w:sz w:val="22"/>
        </w:rPr>
        <w:t>3.</w:t>
      </w:r>
      <w:r>
        <w:rPr>
          <w:sz w:val="22"/>
        </w:rPr>
        <w:tab/>
        <w:t>To enable me to compare the financial packages offered by different retirement villages, what would be the final return due after, say, 1, 2, 5 and 10 years.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Charges for village operating costs</w:t>
      </w:r>
    </w:p>
    <w:p>
      <w:pPr>
        <w:pStyle w:val="zMiscellaneousBody"/>
        <w:shd w:val="pct15" w:color="auto" w:fill="FFFFFF"/>
        <w:tabs>
          <w:tab w:val="left" w:pos="567"/>
        </w:tabs>
        <w:spacing w:before="140"/>
        <w:ind w:right="8" w:hanging="567"/>
        <w:rPr>
          <w:sz w:val="22"/>
        </w:rPr>
      </w:pPr>
      <w:r>
        <w:rPr>
          <w:sz w:val="22"/>
        </w:rPr>
        <w:t>4.</w:t>
      </w:r>
      <w:r>
        <w:rPr>
          <w:sz w:val="22"/>
        </w:rPr>
        <w:tab/>
        <w:t>What retirement village operating costs are charged to a resident?  What are the components of those costs?  What method or calculation is used to determine the resident’s share of those costs and variations of those costs?</w:t>
      </w:r>
    </w:p>
    <w:p>
      <w:pPr>
        <w:pStyle w:val="zMiscellaneousBody"/>
        <w:shd w:val="pct15" w:color="auto" w:fill="FFFFFF"/>
        <w:tabs>
          <w:tab w:val="left" w:pos="567"/>
        </w:tabs>
        <w:spacing w:before="140"/>
        <w:ind w:right="-2" w:hanging="567"/>
        <w:rPr>
          <w:sz w:val="22"/>
        </w:rPr>
      </w:pPr>
      <w:r>
        <w:rPr>
          <w:sz w:val="22"/>
        </w:rPr>
        <w:t>5.</w:t>
      </w:r>
      <w:r>
        <w:rPr>
          <w:sz w:val="22"/>
        </w:rPr>
        <w:tab/>
        <w:t>By what percentage did the village’s operating costs payable by the residents increase during the previous financial year?</w:t>
      </w:r>
    </w:p>
    <w:p>
      <w:pPr>
        <w:pStyle w:val="zMiscellaneousBody"/>
        <w:shd w:val="pct15" w:color="auto" w:fill="FFFFFF"/>
        <w:tabs>
          <w:tab w:val="left" w:pos="567"/>
        </w:tabs>
        <w:spacing w:before="140"/>
        <w:ind w:right="8" w:hanging="567"/>
        <w:rPr>
          <w:sz w:val="22"/>
        </w:rPr>
      </w:pPr>
      <w:r>
        <w:rPr>
          <w:sz w:val="22"/>
        </w:rPr>
        <w:t>6.</w:t>
      </w:r>
      <w:r>
        <w:rPr>
          <w:sz w:val="22"/>
        </w:rPr>
        <w:tab/>
        <w:t>Can a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Budget surplus</w:t>
      </w:r>
    </w:p>
    <w:p>
      <w:pPr>
        <w:pStyle w:val="zMiscellaneousBody"/>
        <w:shd w:val="pct15" w:color="auto" w:fill="FFFFFF"/>
        <w:tabs>
          <w:tab w:val="left" w:pos="567"/>
        </w:tabs>
        <w:ind w:right="8" w:hanging="567"/>
        <w:rPr>
          <w:sz w:val="22"/>
        </w:rPr>
      </w:pPr>
      <w:r>
        <w:rPr>
          <w:sz w:val="22"/>
        </w:rPr>
        <w:t>7.</w:t>
      </w:r>
      <w:r>
        <w:rPr>
          <w:sz w:val="22"/>
        </w:rPr>
        <w:tab/>
        <w:t>For what purpose, or purposes, may any budget surplus in the retirement village be applied?</w:t>
      </w:r>
    </w:p>
    <w:p>
      <w:pPr>
        <w:pStyle w:val="zMiscellaneousBody"/>
        <w:shd w:val="pct15" w:color="auto" w:fill="FFFFFF"/>
        <w:tabs>
          <w:tab w:val="left" w:pos="567"/>
        </w:tabs>
        <w:ind w:right="8" w:hanging="567"/>
        <w:rPr>
          <w:sz w:val="22"/>
        </w:rPr>
      </w:pPr>
      <w:r>
        <w:rPr>
          <w:sz w:val="22"/>
        </w:rPr>
        <w:t>8.</w:t>
      </w:r>
      <w:r>
        <w:rPr>
          <w:sz w:val="22"/>
        </w:rPr>
        <w:tab/>
        <w:t>Does a resident have any say in the purpose, or purposes, to which any budget surplus in the retirement village is to be applied?  If so, what is the process for resident involvement in this decision?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Reserve funds</w:t>
      </w:r>
    </w:p>
    <w:p>
      <w:pPr>
        <w:pStyle w:val="zMiscellaneousBody"/>
        <w:shd w:val="pct15" w:color="auto" w:fill="FFFFFF"/>
        <w:tabs>
          <w:tab w:val="left" w:pos="567"/>
        </w:tabs>
        <w:ind w:right="8" w:hanging="567"/>
        <w:rPr>
          <w:sz w:val="22"/>
        </w:rPr>
      </w:pPr>
      <w:r>
        <w:rPr>
          <w:sz w:val="22"/>
        </w:rPr>
        <w:t>9.</w:t>
      </w:r>
      <w:r>
        <w:rPr>
          <w:sz w:val="22"/>
        </w:rPr>
        <w:tab/>
        <w:t>Is there provision for a reserve fund to pay for repairs, replacements, maintenance and renovations within the retirement village?  If not, what are the arrangements for the carrying out of, and the funding of, such works?</w:t>
      </w:r>
    </w:p>
    <w:p>
      <w:pPr>
        <w:pStyle w:val="zMiscellaneousBody"/>
        <w:shd w:val="pct15" w:color="auto" w:fill="FFFFFF"/>
        <w:tabs>
          <w:tab w:val="left" w:pos="567"/>
        </w:tabs>
        <w:ind w:right="8" w:hanging="567"/>
        <w:rPr>
          <w:sz w:val="22"/>
        </w:rPr>
      </w:pPr>
      <w:r>
        <w:rPr>
          <w:sz w:val="22"/>
        </w:rPr>
        <w:t>10.</w:t>
      </w:r>
      <w:r>
        <w:rPr>
          <w:sz w:val="22"/>
        </w:rPr>
        <w:tab/>
        <w:t>What, if any, contribution does a resident make to any reserve fund?  What method or calculation is used to determine any resident contribution?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funded capital improvements</w:t>
      </w:r>
    </w:p>
    <w:p>
      <w:pPr>
        <w:pStyle w:val="zMiscellaneousBody"/>
        <w:shd w:val="pct15" w:color="auto" w:fill="FFFFFF"/>
        <w:tabs>
          <w:tab w:val="left" w:pos="567"/>
        </w:tabs>
        <w:ind w:right="8" w:hanging="567"/>
        <w:rPr>
          <w:sz w:val="22"/>
        </w:rPr>
      </w:pPr>
      <w:r>
        <w:rPr>
          <w:sz w:val="22"/>
        </w:rPr>
        <w:t>11.</w:t>
      </w:r>
      <w:r>
        <w:rPr>
          <w:sz w:val="22"/>
        </w:rPr>
        <w:tab/>
        <w:t>What are the rights of a resident to compensation for capital improvements made to the residential premises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Amenities and services</w:t>
      </w:r>
    </w:p>
    <w:p>
      <w:pPr>
        <w:pStyle w:val="zMiscellaneousBody"/>
        <w:shd w:val="pct15" w:color="auto" w:fill="FFFFFF"/>
        <w:tabs>
          <w:tab w:val="left" w:pos="567"/>
        </w:tabs>
        <w:ind w:right="8" w:hanging="567"/>
        <w:rPr>
          <w:sz w:val="22"/>
        </w:rPr>
      </w:pPr>
      <w:r>
        <w:rPr>
          <w:sz w:val="22"/>
        </w:rPr>
        <w:t>12.</w:t>
      </w:r>
      <w:r>
        <w:rPr>
          <w:sz w:val="22"/>
        </w:rPr>
        <w:tab/>
        <w: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t>
      </w:r>
    </w:p>
    <w:p>
      <w:pPr>
        <w:pStyle w:val="zMiscellaneousBody"/>
        <w:shd w:val="pct15" w:color="auto" w:fill="FFFFFF"/>
        <w:tabs>
          <w:tab w:val="left" w:pos="567"/>
        </w:tabs>
        <w:ind w:right="8" w:hanging="567"/>
        <w:rPr>
          <w:sz w:val="22"/>
        </w:rPr>
      </w:pPr>
      <w:r>
        <w:rPr>
          <w:sz w:val="22"/>
        </w:rPr>
        <w:t>13.</w:t>
      </w:r>
      <w:r>
        <w:rPr>
          <w:sz w:val="22"/>
        </w:rPr>
        <w:tab/>
        <w:t>What optional amenities and services are, or are to be, provided or made available by the administering body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Existing service contract</w:t>
      </w:r>
    </w:p>
    <w:p>
      <w:pPr>
        <w:pStyle w:val="zMiscellaneousBody"/>
        <w:shd w:val="pct15" w:color="auto" w:fill="FFFFFF"/>
        <w:tabs>
          <w:tab w:val="left" w:pos="567"/>
        </w:tabs>
        <w:ind w:right="8" w:hanging="567"/>
        <w:rPr>
          <w:sz w:val="22"/>
        </w:rPr>
      </w:pPr>
      <w:r>
        <w:rPr>
          <w:sz w:val="22"/>
        </w:rPr>
        <w:t>14.</w:t>
      </w:r>
      <w:r>
        <w:rPr>
          <w:sz w:val="22"/>
        </w:rPr>
        <w:tab/>
        <w:t>Is there a service contract already in existence that will bind a prospective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Insurance</w:t>
      </w:r>
    </w:p>
    <w:p>
      <w:pPr>
        <w:pStyle w:val="zMiscellaneousBody"/>
        <w:shd w:val="pct15" w:color="auto" w:fill="FFFFFF"/>
        <w:tabs>
          <w:tab w:val="left" w:pos="567"/>
        </w:tabs>
        <w:ind w:right="8" w:hanging="567"/>
        <w:rPr>
          <w:sz w:val="22"/>
        </w:rPr>
      </w:pPr>
      <w:r>
        <w:rPr>
          <w:sz w:val="22"/>
        </w:rPr>
        <w:t>15.</w:t>
      </w:r>
      <w:r>
        <w:rPr>
          <w:sz w:val="22"/>
        </w:rPr>
        <w:tab/>
        <w:t>What insurance arrangements (including self</w:t>
      </w:r>
      <w:r>
        <w:rPr>
          <w:sz w:val="22"/>
        </w:rPr>
        <w:noBreakHyphen/>
        <w:t>insurance arrangements) are in place or proposed for the retirement village?  What village insurance costs are, or will be, payable by the residents?</w:t>
      </w:r>
    </w:p>
    <w:p>
      <w:pPr>
        <w:pStyle w:val="zMiscellaneousBody"/>
        <w:shd w:val="pct15" w:color="auto" w:fill="FFFFFF"/>
        <w:tabs>
          <w:tab w:val="left" w:pos="567"/>
        </w:tabs>
        <w:ind w:right="8" w:hanging="567"/>
        <w:rPr>
          <w:sz w:val="22"/>
        </w:rPr>
      </w:pPr>
      <w:r>
        <w:rPr>
          <w:sz w:val="22"/>
        </w:rPr>
        <w:t>16.</w:t>
      </w:r>
      <w:r>
        <w:rPr>
          <w:sz w:val="22"/>
        </w:rPr>
        <w:tab/>
        <w:t>What is, or will be, the extent of insurance cover (including self</w:t>
      </w:r>
      <w:r>
        <w:rPr>
          <w:sz w:val="22"/>
        </w:rPr>
        <w:noBreakHyphen/>
        <w:t>insurance cover) in the event of the residential premises or the retirement village as a whole being damaged or totally destroyed?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management</w:t>
      </w:r>
    </w:p>
    <w:p>
      <w:pPr>
        <w:pStyle w:val="zMiscellaneousBody"/>
        <w:shd w:val="pct15" w:color="auto" w:fill="FFFFFF"/>
        <w:tabs>
          <w:tab w:val="left" w:pos="567"/>
        </w:tabs>
        <w:ind w:right="8" w:hanging="567"/>
        <w:rPr>
          <w:sz w:val="22"/>
        </w:rPr>
      </w:pPr>
      <w:r>
        <w:rPr>
          <w:sz w:val="22"/>
        </w:rPr>
        <w:t>17.</w:t>
      </w:r>
      <w:r>
        <w:rPr>
          <w:sz w:val="22"/>
        </w:rPr>
        <w:tab/>
        <w:t>What are the qualifications and experience of the retirement village’s senior management?</w:t>
      </w:r>
    </w:p>
    <w:p>
      <w:pPr>
        <w:pStyle w:val="zMiscellaneousBody"/>
        <w:keepNext/>
        <w:keepLines/>
        <w:shd w:val="pct15" w:color="auto" w:fill="FFFFFF"/>
        <w:tabs>
          <w:tab w:val="left" w:pos="567"/>
        </w:tabs>
        <w:ind w:right="8" w:hanging="567"/>
        <w:rPr>
          <w:sz w:val="22"/>
        </w:rPr>
      </w:pPr>
      <w:r>
        <w:rPr>
          <w:sz w:val="22"/>
        </w:rPr>
        <w:t>18.</w:t>
      </w:r>
      <w:r>
        <w:rPr>
          <w:sz w:val="22"/>
        </w:rPr>
        <w:tab/>
        <w:t xml:space="preserve">Can the administering body of the retirement village transfer or assign its management responsibilities and obligations to a third party?  If so  — </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notice will be given to the residents of the transfer or assignment?</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information will be given to the residents about the qualifications and experience of the party to whom the responsibilities and obligations are to be transferred or assigned?</w:t>
      </w:r>
    </w:p>
    <w:p>
      <w:pPr>
        <w:pStyle w:val="zMiscellaneousBody"/>
        <w:shd w:val="pct15" w:color="auto" w:fill="FFFFFF"/>
        <w:tabs>
          <w:tab w:val="left" w:pos="567"/>
        </w:tabs>
        <w:ind w:right="8" w:hanging="567"/>
        <w:rPr>
          <w:sz w:val="22"/>
        </w:rPr>
      </w:pPr>
      <w:r>
        <w:rPr>
          <w:sz w:val="22"/>
        </w:rPr>
        <w:t>19.</w:t>
      </w:r>
      <w:r>
        <w:rPr>
          <w:sz w:val="22"/>
        </w:rPr>
        <w:tab/>
        <w:t>Is the retirement village accredited under any established accreditation scheme that applies to the retirement village industry?</w:t>
      </w:r>
    </w:p>
    <w:p>
      <w:pPr>
        <w:pStyle w:val="zMiscellaneousBody"/>
        <w:shd w:val="pct15" w:color="auto" w:fill="FFFFFF"/>
        <w:tabs>
          <w:tab w:val="left" w:pos="567"/>
        </w:tabs>
        <w:ind w:right="8" w:hanging="567"/>
        <w:rPr>
          <w:sz w:val="22"/>
        </w:rPr>
      </w:pPr>
      <w:r>
        <w:rPr>
          <w:sz w:val="22"/>
        </w:rPr>
        <w:t>20.</w:t>
      </w:r>
      <w:r>
        <w:rPr>
          <w:sz w:val="22"/>
        </w:rPr>
        <w:tab/>
        <w:t>What arrangements, if any, exist for the appointment of a trustee or residents’ representative to oversee the interests of the residents under the retirement village scheme?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consultation</w:t>
      </w:r>
    </w:p>
    <w:p>
      <w:pPr>
        <w:pStyle w:val="zMiscellaneousBody"/>
        <w:shd w:val="pct15" w:color="auto" w:fill="FFFFFF"/>
        <w:tabs>
          <w:tab w:val="left" w:pos="567"/>
        </w:tabs>
        <w:ind w:right="8" w:hanging="567"/>
        <w:rPr>
          <w:sz w:val="22"/>
        </w:rPr>
      </w:pPr>
      <w:r>
        <w:rPr>
          <w:sz w:val="22"/>
        </w:rPr>
        <w:t>21.</w:t>
      </w:r>
      <w:r>
        <w:rPr>
          <w:sz w:val="22"/>
        </w:rPr>
        <w:tab/>
        <w:t>What arrangements exist for a resident to participate in the administration of the retirement village, including the making of residence rules and the setting of charges for the village operating costs that are payable by the resident?</w:t>
      </w:r>
    </w:p>
    <w:p>
      <w:pPr>
        <w:pStyle w:val="zMiscellaneousBody"/>
        <w:shd w:val="pct15" w:color="auto" w:fill="FFFFFF"/>
        <w:tabs>
          <w:tab w:val="left" w:pos="567"/>
        </w:tabs>
        <w:ind w:right="8" w:hanging="567"/>
        <w:rPr>
          <w:sz w:val="22"/>
        </w:rPr>
      </w:pPr>
      <w:r>
        <w:rPr>
          <w:sz w:val="22"/>
        </w:rPr>
        <w:t>22.</w:t>
      </w:r>
      <w:r>
        <w:rPr>
          <w:sz w:val="22"/>
        </w:rPr>
        <w:tab/>
        <w:t>How can the rights and obligations of the administering body and the resident under the residence contract and related contracts be varied?  What resident participation is required to effect such variations?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voting rights</w:t>
      </w:r>
    </w:p>
    <w:p>
      <w:pPr>
        <w:pStyle w:val="zMiscellaneousBody"/>
        <w:shd w:val="pct15" w:color="auto" w:fill="FFFFFF"/>
        <w:tabs>
          <w:tab w:val="left" w:pos="567"/>
        </w:tabs>
        <w:ind w:right="8" w:hanging="567"/>
        <w:rPr>
          <w:sz w:val="22"/>
        </w:rPr>
      </w:pPr>
      <w:r>
        <w:rPr>
          <w:sz w:val="22"/>
        </w:rPr>
        <w:t>23.</w:t>
      </w:r>
      <w:r>
        <w:rPr>
          <w:sz w:val="22"/>
        </w:rPr>
        <w:tab/>
        <w:t>If 2 or more residents occupy the same residential premises in the retirement village, is each resident entitled to vote on a matter that requires, or provides for, the consent of the residents of the village?</w:t>
      </w:r>
    </w:p>
    <w:p>
      <w:pPr>
        <w:pStyle w:val="zMiscellaneousBody"/>
        <w:shd w:val="pct15" w:color="auto" w:fill="FFFFFF"/>
        <w:tabs>
          <w:tab w:val="left" w:pos="567"/>
        </w:tabs>
        <w:ind w:right="8" w:hanging="567"/>
        <w:rPr>
          <w:sz w:val="22"/>
        </w:rPr>
      </w:pPr>
      <w:r>
        <w:rPr>
          <w:sz w:val="22"/>
        </w:rPr>
        <w:t>24.</w:t>
      </w:r>
      <w:r>
        <w:rPr>
          <w:sz w:val="22"/>
        </w:rPr>
        <w:tab/>
        <w:t>What are the rights of a resident of the retirement village to appoint a person to vote for the resident by way of a proxy vote?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Use of residential premises</w:t>
      </w:r>
    </w:p>
    <w:p>
      <w:pPr>
        <w:pStyle w:val="zMiscellaneousBody"/>
        <w:shd w:val="pct15" w:color="auto" w:fill="FFFFFF"/>
        <w:tabs>
          <w:tab w:val="left" w:pos="567"/>
        </w:tabs>
        <w:ind w:right="8" w:hanging="567"/>
        <w:rPr>
          <w:sz w:val="22"/>
        </w:rPr>
      </w:pPr>
      <w:r>
        <w:rPr>
          <w:sz w:val="22"/>
        </w:rPr>
        <w:t>25.</w:t>
      </w:r>
      <w:r>
        <w:rPr>
          <w:sz w:val="22"/>
        </w:rPr>
        <w:tab/>
        <w:t xml:space="preserve">What restrictions are there on a resident’s use of his/her residential premises and the retirement village amenities in regard to  — </w:t>
      </w:r>
    </w:p>
    <w:p>
      <w:pPr>
        <w:pStyle w:val="zMiscellaneousBody"/>
        <w:numPr>
          <w:ilvl w:val="0"/>
          <w:numId w:val="2"/>
        </w:numPr>
        <w:shd w:val="pct15" w:color="auto" w:fill="FFFFFF"/>
        <w:tabs>
          <w:tab w:val="clear" w:pos="360"/>
          <w:tab w:val="left" w:pos="567"/>
          <w:tab w:val="num" w:pos="993"/>
        </w:tabs>
        <w:ind w:left="567" w:right="8" w:firstLine="0"/>
        <w:rPr>
          <w:sz w:val="22"/>
        </w:rPr>
      </w:pPr>
      <w:r>
        <w:rPr>
          <w:sz w:val="22"/>
        </w:rPr>
        <w:t>having someone else live with him/her?</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having visitors, including short</w:t>
      </w:r>
      <w:r>
        <w:rPr>
          <w:sz w:val="22"/>
        </w:rPr>
        <w:noBreakHyphen/>
        <w:t>stay guests?</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car parking?</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Spouse or de facto partner occupancy rights</w:t>
      </w:r>
    </w:p>
    <w:p>
      <w:pPr>
        <w:pStyle w:val="zMiscellaneousBody"/>
        <w:shd w:val="pct15" w:color="auto" w:fill="FFFFFF"/>
        <w:tabs>
          <w:tab w:val="left" w:pos="567"/>
        </w:tabs>
        <w:ind w:right="8" w:hanging="567"/>
        <w:rPr>
          <w:sz w:val="22"/>
        </w:rPr>
      </w:pPr>
      <w:r>
        <w:rPr>
          <w:sz w:val="22"/>
        </w:rPr>
        <w:t>26.</w:t>
      </w:r>
      <w:r>
        <w:rPr>
          <w:sz w:val="22"/>
        </w:rPr>
        <w:tab/>
        <w:t>What effect does the death of a resident have on the right of a spouse or de facto partner residing with the resident to continue to occupy the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Transport</w:t>
      </w:r>
    </w:p>
    <w:p>
      <w:pPr>
        <w:pStyle w:val="zMiscellaneousBody"/>
        <w:shd w:val="pct15" w:color="auto" w:fill="FFFFFF"/>
        <w:tabs>
          <w:tab w:val="left" w:pos="567"/>
        </w:tabs>
        <w:ind w:right="8" w:hanging="567"/>
        <w:rPr>
          <w:sz w:val="22"/>
        </w:rPr>
      </w:pPr>
      <w:r>
        <w:rPr>
          <w:sz w:val="22"/>
        </w:rPr>
        <w:t>27.</w:t>
      </w:r>
      <w:r>
        <w:rPr>
          <w:sz w:val="22"/>
        </w:rP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Medical certificate requirements</w:t>
      </w:r>
    </w:p>
    <w:p>
      <w:pPr>
        <w:pStyle w:val="zMiscellaneousBody"/>
        <w:shd w:val="pct15" w:color="auto" w:fill="FFFFFF"/>
        <w:tabs>
          <w:tab w:val="left" w:pos="567"/>
        </w:tabs>
        <w:ind w:right="8" w:hanging="567"/>
        <w:rPr>
          <w:sz w:val="22"/>
        </w:rPr>
      </w:pPr>
      <w:r>
        <w:rPr>
          <w:sz w:val="22"/>
        </w:rPr>
        <w:t>28.</w:t>
      </w:r>
      <w:r>
        <w:rPr>
          <w:sz w:val="22"/>
        </w:rPr>
        <w:tab/>
        <w:t>Does the prospective resident have to supply a medical certificate or report to certify his/her ability to live independently?</w:t>
      </w:r>
    </w:p>
    <w:p>
      <w:pPr>
        <w:pStyle w:val="zMiscellaneousBody"/>
        <w:shd w:val="pct15" w:color="auto" w:fill="FFFFFF"/>
        <w:tabs>
          <w:tab w:val="left" w:pos="567"/>
        </w:tabs>
        <w:ind w:right="8" w:hanging="567"/>
        <w:rPr>
          <w:sz w:val="22"/>
        </w:rPr>
      </w:pPr>
      <w:r>
        <w:rPr>
          <w:sz w:val="22"/>
        </w:rPr>
        <w:t>29.</w:t>
      </w:r>
      <w:r>
        <w:rPr>
          <w:sz w:val="22"/>
        </w:rP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Emergency call procedures</w:t>
      </w:r>
    </w:p>
    <w:p>
      <w:pPr>
        <w:pStyle w:val="zMiscellaneousBody"/>
        <w:shd w:val="pct15" w:color="auto" w:fill="FFFFFF"/>
        <w:tabs>
          <w:tab w:val="left" w:pos="567"/>
        </w:tabs>
        <w:ind w:right="8" w:hanging="567"/>
        <w:rPr>
          <w:sz w:val="22"/>
        </w:rPr>
      </w:pPr>
      <w:r>
        <w:rPr>
          <w:sz w:val="22"/>
        </w:rPr>
        <w:t>30.</w:t>
      </w:r>
      <w:r>
        <w:rPr>
          <w:sz w:val="22"/>
        </w:rPr>
        <w:tab/>
        <w:t>Is there an emergency call system?  If so, when is it monitored?  Who is responsible for responding to the calls?</w:t>
      </w:r>
    </w:p>
    <w:p>
      <w:pPr>
        <w:pStyle w:val="zMiscellaneousBody"/>
        <w:shd w:val="pct15" w:color="auto" w:fill="FFFFFF"/>
        <w:tabs>
          <w:tab w:val="left" w:pos="567"/>
        </w:tabs>
        <w:spacing w:before="140"/>
        <w:ind w:right="6" w:hanging="567"/>
        <w:rPr>
          <w:sz w:val="22"/>
        </w:rPr>
      </w:pPr>
      <w:r>
        <w:rPr>
          <w:sz w:val="22"/>
        </w:rPr>
        <w:t>31.</w:t>
      </w:r>
      <w:r>
        <w:rPr>
          <w:sz w:val="22"/>
        </w:rPr>
        <w:tab/>
        <w:t>In the event of an emergency who will be called and how will they gain access to the resident’s residential premises?</w:t>
      </w:r>
    </w:p>
    <w:p>
      <w:pPr>
        <w:pStyle w:val="zMiscellaneousBody"/>
        <w:shd w:val="pct15" w:color="auto" w:fill="FFFFFF"/>
        <w:tabs>
          <w:tab w:val="left" w:pos="567"/>
        </w:tabs>
        <w:spacing w:before="140"/>
        <w:ind w:right="6" w:hanging="567"/>
        <w:rPr>
          <w:sz w:val="22"/>
        </w:rPr>
      </w:pPr>
      <w:r>
        <w:rPr>
          <w:sz w:val="22"/>
        </w:rPr>
        <w:t>32.</w:t>
      </w:r>
      <w:r>
        <w:rPr>
          <w:sz w:val="22"/>
        </w:rP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Hospitalisation</w:t>
      </w:r>
    </w:p>
    <w:p>
      <w:pPr>
        <w:pStyle w:val="zMiscellaneousBody"/>
        <w:shd w:val="pct15" w:color="auto" w:fill="FFFFFF"/>
        <w:tabs>
          <w:tab w:val="left" w:pos="567"/>
        </w:tabs>
        <w:spacing w:before="140"/>
        <w:ind w:right="6" w:hanging="567"/>
        <w:rPr>
          <w:sz w:val="22"/>
        </w:rPr>
      </w:pPr>
      <w:r>
        <w:rPr>
          <w:sz w:val="22"/>
        </w:rPr>
        <w:t>33.</w:t>
      </w:r>
      <w:r>
        <w:rPr>
          <w:sz w:val="22"/>
        </w:rPr>
        <w:tab/>
        <w:t>If hospitalisation or nursing care is required, how long will the resident’s residential premises be kept in the name of the resident?</w:t>
      </w:r>
    </w:p>
    <w:p>
      <w:pPr>
        <w:pStyle w:val="zMiscellaneousBody"/>
        <w:shd w:val="pct15" w:color="auto" w:fill="FFFFFF"/>
        <w:tabs>
          <w:tab w:val="left" w:pos="567"/>
        </w:tabs>
        <w:spacing w:before="140"/>
        <w:ind w:right="6" w:hanging="567"/>
        <w:rPr>
          <w:sz w:val="22"/>
        </w:rPr>
      </w:pPr>
      <w:r>
        <w:rPr>
          <w:sz w:val="22"/>
        </w:rPr>
        <w:t>34.</w:t>
      </w:r>
      <w:r>
        <w:rPr>
          <w:sz w:val="22"/>
        </w:rPr>
        <w:tab/>
        <w:t>In the event that hospitalisation or nursing care is required, what ongoing costs would the resident incur with his/her existing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Moving</w:t>
      </w:r>
    </w:p>
    <w:p>
      <w:pPr>
        <w:pStyle w:val="zMiscellaneousBody"/>
        <w:shd w:val="pct15" w:color="auto" w:fill="FFFFFF"/>
        <w:tabs>
          <w:tab w:val="left" w:pos="567"/>
        </w:tabs>
        <w:spacing w:before="140"/>
        <w:ind w:right="6" w:hanging="567"/>
        <w:rPr>
          <w:sz w:val="22"/>
        </w:rPr>
      </w:pPr>
      <w:r>
        <w:rPr>
          <w:sz w:val="22"/>
        </w:rPr>
        <w:t>35.</w:t>
      </w:r>
      <w:r>
        <w:rPr>
          <w:sz w:val="22"/>
        </w:rPr>
        <w:tab/>
        <w:t>What costs are associated with moving to and living in alternative accommodation within the retirement village?</w:t>
      </w:r>
    </w:p>
    <w:p>
      <w:pPr>
        <w:pStyle w:val="zMiscellaneousBody"/>
        <w:shd w:val="pct15" w:color="auto" w:fill="FFFFFF"/>
        <w:tabs>
          <w:tab w:val="left" w:pos="567"/>
        </w:tabs>
        <w:spacing w:before="140"/>
        <w:ind w:right="6" w:hanging="567"/>
        <w:rPr>
          <w:sz w:val="22"/>
        </w:rPr>
      </w:pPr>
      <w:r>
        <w:rPr>
          <w:sz w:val="22"/>
        </w:rPr>
        <w:t>36.</w:t>
      </w:r>
      <w:r>
        <w:rPr>
          <w:sz w:val="22"/>
        </w:rPr>
        <w:tab/>
        <w:t>In what circumstances would a resident be required to move to alternative accommodation within the retirement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under construction</w:t>
      </w:r>
    </w:p>
    <w:p>
      <w:pPr>
        <w:pStyle w:val="zMiscellaneousBody"/>
        <w:shd w:val="pct15" w:color="auto" w:fill="FFFFFF"/>
        <w:tabs>
          <w:tab w:val="left" w:pos="567"/>
        </w:tabs>
        <w:ind w:right="8" w:hanging="567"/>
        <w:rPr>
          <w:sz w:val="22"/>
        </w:rPr>
      </w:pPr>
      <w:r>
        <w:rPr>
          <w:sz w:val="22"/>
        </w:rPr>
        <w:t>37.</w:t>
      </w:r>
      <w:r>
        <w:rPr>
          <w:sz w:val="22"/>
        </w:rPr>
        <w:tab/>
        <w:t>If the residential premises in the retirement village are still under construction, can the prospective resident have input into the design, construction or furnishings of his/her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Refund of deposit</w:t>
      </w:r>
    </w:p>
    <w:p>
      <w:pPr>
        <w:pStyle w:val="zMiscellaneousBody"/>
        <w:shd w:val="pct15" w:color="auto" w:fill="FFFFFF"/>
        <w:tabs>
          <w:tab w:val="left" w:pos="567"/>
        </w:tabs>
        <w:ind w:right="8" w:hanging="567"/>
        <w:rPr>
          <w:sz w:val="22"/>
        </w:rPr>
      </w:pPr>
      <w:r>
        <w:rPr>
          <w:sz w:val="22"/>
        </w:rPr>
        <w:t>38.</w:t>
      </w:r>
      <w:r>
        <w:rPr>
          <w:sz w:val="22"/>
        </w:rPr>
        <w:tab/>
        <w:t>What entitlement does a prospective resident have to a refund of his/her deposit if the construction of the retirement village has not been commenced or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Sale of village</w:t>
      </w:r>
    </w:p>
    <w:p>
      <w:pPr>
        <w:pStyle w:val="zMiscellaneousBody"/>
        <w:shd w:val="pct15" w:color="auto" w:fill="FFFFFF"/>
        <w:tabs>
          <w:tab w:val="left" w:pos="567"/>
        </w:tabs>
        <w:ind w:right="8" w:hanging="567"/>
        <w:rPr>
          <w:sz w:val="22"/>
        </w:rPr>
      </w:pPr>
      <w:r>
        <w:rPr>
          <w:sz w:val="22"/>
        </w:rPr>
        <w:t>39.</w:t>
      </w:r>
      <w:r>
        <w:rPr>
          <w:sz w:val="22"/>
        </w:rPr>
        <w:tab/>
        <w:t>What protection does a resident have against a loss of rights (including accommodation rights) if the retirement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Restrictions on sale of residential premises</w:t>
      </w:r>
    </w:p>
    <w:p>
      <w:pPr>
        <w:pStyle w:val="zMiscellaneousBody"/>
        <w:shd w:val="pct15" w:color="auto" w:fill="FFFFFF"/>
        <w:tabs>
          <w:tab w:val="left" w:pos="567"/>
        </w:tabs>
        <w:ind w:right="8" w:hanging="567"/>
        <w:rPr>
          <w:sz w:val="22"/>
        </w:rPr>
      </w:pPr>
      <w:r>
        <w:rPr>
          <w:sz w:val="22"/>
        </w:rPr>
        <w:t>40.</w:t>
      </w:r>
      <w:r>
        <w:rPr>
          <w:sz w:val="22"/>
        </w:rPr>
        <w:tab/>
        <w:t>Are there any restrictions on the sale of residential premises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Repair and refurbishment of residential premises</w:t>
      </w:r>
    </w:p>
    <w:p>
      <w:pPr>
        <w:pStyle w:val="zMiscellaneousBody"/>
        <w:shd w:val="pct15" w:color="auto" w:fill="FFFFFF"/>
        <w:tabs>
          <w:tab w:val="left" w:pos="567"/>
        </w:tabs>
        <w:ind w:right="8" w:hanging="567"/>
        <w:rPr>
          <w:sz w:val="22"/>
        </w:rPr>
      </w:pPr>
      <w:r>
        <w:rPr>
          <w:sz w:val="22"/>
        </w:rPr>
        <w:t>41.</w:t>
      </w:r>
      <w:r>
        <w:rPr>
          <w:sz w:val="22"/>
        </w:rPr>
        <w:tab/>
        <w:t>Can a resident be liable to pay for the cost of any repair or refurbishment of residential premises?  If so, under what circumstances?</w:t>
      </w:r>
    </w:p>
    <w:p>
      <w:pPr>
        <w:pStyle w:val="zMiscellaneousBody"/>
        <w:shd w:val="pct15" w:color="auto" w:fill="FFFFFF"/>
        <w:tabs>
          <w:tab w:val="left" w:pos="567"/>
        </w:tabs>
        <w:ind w:right="8" w:hanging="567"/>
        <w:rPr>
          <w:sz w:val="22"/>
        </w:rPr>
      </w:pPr>
      <w:r>
        <w:rPr>
          <w:sz w:val="22"/>
        </w:rPr>
        <w:t>42.</w:t>
      </w:r>
      <w:r>
        <w:rPr>
          <w:sz w:val="22"/>
        </w:rPr>
        <w:tab/>
        <w:t>What can a resident do if dissatisfied with a claim made by the administering body for payment of any repair or refurbishment of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Termination of contract</w:t>
      </w:r>
    </w:p>
    <w:p>
      <w:pPr>
        <w:pStyle w:val="zMiscellaneousBody"/>
        <w:shd w:val="pct15" w:color="auto" w:fill="FFFFFF"/>
        <w:tabs>
          <w:tab w:val="left" w:pos="567"/>
        </w:tabs>
        <w:ind w:right="8" w:hanging="567"/>
        <w:rPr>
          <w:sz w:val="22"/>
        </w:rPr>
      </w:pPr>
      <w:r>
        <w:rPr>
          <w:sz w:val="22"/>
        </w:rPr>
        <w:t>43.</w:t>
      </w:r>
      <w:r>
        <w:rPr>
          <w:sz w:val="22"/>
        </w:rPr>
        <w:tab/>
        <w:t xml:space="preserve">Under what conditions can the residence contract in the retirement village be terminated and at what cost?  (The conditions must include the procedures to be followed under the </w:t>
      </w:r>
      <w:r>
        <w:rPr>
          <w:i/>
          <w:sz w:val="22"/>
        </w:rPr>
        <w:t>Retirement Villages Act 1992</w:t>
      </w:r>
      <w:r>
        <w:rPr>
          <w:sz w:val="22"/>
        </w:rPr>
        <w:t xml:space="preserve"> and any applicable code.)</w:t>
      </w:r>
    </w:p>
    <w:p>
      <w:pPr>
        <w:pStyle w:val="zMiscellaneousBody"/>
        <w:keepNext/>
        <w:keepLines/>
        <w:shd w:val="pct15" w:color="auto" w:fill="FFFFFF"/>
        <w:tabs>
          <w:tab w:val="left" w:pos="567"/>
        </w:tabs>
        <w:ind w:right="8" w:hanging="567"/>
        <w:rPr>
          <w:sz w:val="22"/>
        </w:rPr>
      </w:pPr>
      <w:r>
        <w:rPr>
          <w:sz w:val="22"/>
        </w:rPr>
        <w:t>44.</w:t>
      </w:r>
      <w:r>
        <w:rPr>
          <w:sz w:val="22"/>
        </w:rPr>
        <w:tab/>
        <w:t>What fees will be payable by a prospective resident or a resident on termination of the residence contract? (This must include who is responsible for ongoing village operating costs and other charges during a period of vacancy of the residential premises.)</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Signature of owner:</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Date:</w:t>
      </w:r>
    </w:p>
    <w:p>
      <w:pPr>
        <w:pStyle w:val="yFootnotesection"/>
      </w:pPr>
      <w:r>
        <w:tab/>
        <w:t>[Form 1 inserted in Gazette 9 Sep 2003 p. 4047-52; amended in Gazette 21 Mar 2014 p. 730.]</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tabs>
          <w:tab w:val="clear" w:pos="893"/>
        </w:tabs>
        <w:ind w:left="0" w:firstLine="0"/>
      </w:pPr>
      <w:r>
        <w:t>[Schedule 1 amended in Gazette 8 Jan 1993 p. 26</w:t>
      </w:r>
      <w:r>
        <w:noBreakHyphen/>
        <w:t>7; 30 Sep 1998 p. 5506</w:t>
      </w:r>
      <w:r>
        <w:noBreakHyphen/>
        <w:t xml:space="preserve">9; 9 Sep 2003 p. 4047-52; 30 Dec 2004 p. 6926.] </w:t>
      </w:r>
    </w:p>
    <w:p>
      <w:pPr>
        <w:pStyle w:val="yFootnotesection"/>
        <w:spacing w:before="400"/>
      </w:pPr>
      <w:r>
        <w:t>[Schedule 2 repealed in Gazette 30 Dec 2004 p. 6926.]</w:t>
      </w:r>
    </w:p>
    <w:p>
      <w:pPr>
        <w:pStyle w:val="CentredBaseLine"/>
        <w:jc w:val="cente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pPr>
        <w:pStyle w:val="nHeading2"/>
      </w:pPr>
      <w:bookmarkStart w:id="49" w:name="_Toc383093684"/>
      <w:bookmarkStart w:id="50" w:name="_Toc383093700"/>
      <w:bookmarkStart w:id="51" w:name="_Toc383093905"/>
      <w:bookmarkStart w:id="52" w:name="_Toc383159671"/>
      <w:bookmarkStart w:id="53" w:name="_Toc414889012"/>
      <w:bookmarkStart w:id="54" w:name="_Toc414889051"/>
      <w:bookmarkStart w:id="55" w:name="_Toc414890103"/>
      <w:bookmarkStart w:id="56" w:name="_Toc414973541"/>
      <w:r>
        <w:t>Notes</w:t>
      </w:r>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 w:name="_Toc383159672"/>
      <w:bookmarkStart w:id="58" w:name="_Toc414973542"/>
      <w:r>
        <w:rPr>
          <w:snapToGrid w:val="0"/>
        </w:rP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Borders>
              <w:bottom w:val="single" w:sz="4" w:space="0" w:color="auto"/>
            </w:tcBorders>
          </w:tcPr>
          <w:p>
            <w:pPr>
              <w:pStyle w:val="nTable"/>
              <w:spacing w:after="40"/>
              <w:rPr>
                <w:i/>
              </w:rPr>
            </w:pPr>
            <w:r>
              <w:rPr>
                <w:i/>
              </w:rPr>
              <w:t xml:space="preserve">Retirement Villages Amendment Regulations 2015 </w:t>
            </w:r>
            <w:r>
              <w:t>(other than r. 6, 8 and 12-14)</w:t>
            </w:r>
            <w:r>
              <w:rPr>
                <w:i/>
              </w:rPr>
              <w:t> </w:t>
            </w:r>
          </w:p>
        </w:tc>
        <w:tc>
          <w:tcPr>
            <w:tcW w:w="1276" w:type="dxa"/>
            <w:tcBorders>
              <w:bottom w:val="single" w:sz="4" w:space="0" w:color="auto"/>
            </w:tcBorders>
          </w:tcPr>
          <w:p>
            <w:pPr>
              <w:pStyle w:val="nTable"/>
              <w:spacing w:after="40"/>
            </w:pPr>
            <w:r>
              <w:t>24 Mar 2015 p. 993</w:t>
            </w:r>
            <w:r>
              <w:noBreakHyphen/>
              <w:t>1030</w:t>
            </w:r>
          </w:p>
        </w:tc>
        <w:tc>
          <w:tcPr>
            <w:tcW w:w="2693" w:type="dxa"/>
            <w:tcBorders>
              <w:bottom w:val="single" w:sz="4" w:space="0" w:color="auto"/>
            </w:tcBorders>
          </w:tcPr>
          <w:p>
            <w:pPr>
              <w:pStyle w:val="nTable"/>
              <w:spacing w:after="40"/>
            </w:pPr>
            <w:r>
              <w:t>r. 1 and 2: 24 Mar 2015 (see r. 2(a));</w:t>
            </w:r>
            <w:r>
              <w:br/>
              <w:t>Regulations other than r. 1, 2, 6, 8 and 12-14: 1 Apr 2015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9" w:name="_Toc404007775"/>
      <w:bookmarkStart w:id="60" w:name="_Toc413142799"/>
      <w:bookmarkStart w:id="61" w:name="_Toc414973543"/>
      <w:r>
        <w:t>Provisions that have not come into operation</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spacing w:after="40"/>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c>
          <w:tcPr>
            <w:tcW w:w="3118" w:type="dxa"/>
            <w:tcBorders>
              <w:bottom w:val="single" w:sz="4" w:space="0" w:color="auto"/>
            </w:tcBorders>
          </w:tcPr>
          <w:p>
            <w:pPr>
              <w:pStyle w:val="nTable"/>
              <w:keepNext/>
              <w:spacing w:after="40"/>
              <w:rPr>
                <w:i/>
                <w:vertAlign w:val="superscript"/>
              </w:rPr>
            </w:pPr>
            <w:r>
              <w:rPr>
                <w:i/>
              </w:rPr>
              <w:t>Retirement Villages Amendment Regulations 2015</w:t>
            </w:r>
            <w:r>
              <w:t xml:space="preserve"> r. 6, 8 and 12-14 </w:t>
            </w:r>
            <w:r>
              <w:rPr>
                <w:vertAlign w:val="superscript"/>
              </w:rPr>
              <w:t>5</w:t>
            </w:r>
          </w:p>
        </w:tc>
        <w:tc>
          <w:tcPr>
            <w:tcW w:w="1276" w:type="dxa"/>
            <w:tcBorders>
              <w:bottom w:val="single" w:sz="4" w:space="0" w:color="auto"/>
            </w:tcBorders>
          </w:tcPr>
          <w:p>
            <w:pPr>
              <w:pStyle w:val="nTable"/>
              <w:keepNext/>
              <w:spacing w:after="40"/>
            </w:pPr>
            <w:r>
              <w:t>24 Mar 2015 p. 993</w:t>
            </w:r>
            <w:r>
              <w:noBreakHyphen/>
              <w:t>1030</w:t>
            </w:r>
          </w:p>
        </w:tc>
        <w:tc>
          <w:tcPr>
            <w:tcW w:w="2693" w:type="dxa"/>
            <w:tcBorders>
              <w:bottom w:val="single" w:sz="4" w:space="0" w:color="auto"/>
            </w:tcBorders>
          </w:tcPr>
          <w:p>
            <w:pPr>
              <w:pStyle w:val="nTable"/>
              <w:keepNext/>
              <w:spacing w:after="40"/>
            </w:pPr>
            <w:r>
              <w:rPr>
                <w:snapToGrid w:val="0"/>
              </w:rPr>
              <w:t>1 Oct 2015 (see r. 2(c))</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MiscOpen"/>
        <w:spacing w:before="80"/>
        <w:ind w:left="425"/>
        <w:rPr>
          <w:sz w:val="20"/>
        </w:rPr>
      </w:pPr>
      <w:r>
        <w:rPr>
          <w:sz w:val="20"/>
        </w:rPr>
        <w:t>“</w:t>
      </w: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MiscClose"/>
        <w:rPr>
          <w:sz w:val="20"/>
        </w:rPr>
      </w:pPr>
      <w:r>
        <w:rPr>
          <w:sz w:val="20"/>
        </w:rPr>
        <w: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Retirement Villages Amendment Regulations 2015 </w:t>
      </w:r>
      <w:r>
        <w:rPr>
          <w:snapToGrid w:val="0"/>
        </w:rPr>
        <w:t>r. 6, 8 and 12-14 had not come into operation.  They read as follows:</w:t>
      </w:r>
    </w:p>
    <w:p>
      <w:pPr>
        <w:pStyle w:val="BlankOpen"/>
        <w:rPr>
          <w:snapToGrid w:val="0"/>
        </w:rPr>
      </w:pPr>
    </w:p>
    <w:p>
      <w:pPr>
        <w:pStyle w:val="nzHeading5"/>
      </w:pPr>
      <w:r>
        <w:rPr>
          <w:rStyle w:val="CharSectno"/>
        </w:rPr>
        <w:t>6</w:t>
      </w:r>
      <w:r>
        <w:t>.</w:t>
      </w:r>
      <w:r>
        <w:tab/>
        <w:t>Part 2 heading, Part 2 Division 1 and Part 2 Division 2 heading inserted</w:t>
      </w:r>
    </w:p>
    <w:p>
      <w:pPr>
        <w:pStyle w:val="nzSubsection"/>
      </w:pPr>
      <w:r>
        <w:tab/>
      </w:r>
      <w:r>
        <w:tab/>
        <w:t>Before regulation 4 insert:</w:t>
      </w:r>
    </w:p>
    <w:p>
      <w:pPr>
        <w:pStyle w:val="BlankOpen"/>
      </w:pPr>
    </w:p>
    <w:p>
      <w:pPr>
        <w:pStyle w:val="nzHeading2"/>
      </w:pPr>
      <w:r>
        <w:t>Part 2</w:t>
      </w:r>
      <w:r>
        <w:rPr>
          <w:b w:val="0"/>
        </w:rPr>
        <w:t> </w:t>
      </w:r>
      <w:r>
        <w:t>—</w:t>
      </w:r>
      <w:r>
        <w:rPr>
          <w:b w:val="0"/>
        </w:rPr>
        <w:t> </w:t>
      </w:r>
      <w:r>
        <w:t>Residence contracts</w:t>
      </w:r>
    </w:p>
    <w:p>
      <w:pPr>
        <w:pStyle w:val="nzHeading3"/>
      </w:pPr>
      <w:r>
        <w:t>Division 1 — Preliminary</w:t>
      </w:r>
    </w:p>
    <w:p>
      <w:pPr>
        <w:pStyle w:val="nzHeading5"/>
      </w:pPr>
      <w:r>
        <w:t>4A.</w:t>
      </w:r>
      <w:r>
        <w:tab/>
        <w:t>Terms used</w:t>
      </w:r>
    </w:p>
    <w:p>
      <w:pPr>
        <w:pStyle w:val="nzSubsection"/>
      </w:pPr>
      <w:r>
        <w:tab/>
      </w:r>
      <w:r>
        <w:tab/>
        <w:t xml:space="preserve">In this Part — </w:t>
      </w:r>
    </w:p>
    <w:p>
      <w:pPr>
        <w:pStyle w:val="nzDefstart"/>
      </w:pPr>
      <w:r>
        <w:tab/>
      </w:r>
      <w:r>
        <w:rPr>
          <w:rStyle w:val="CharDefText"/>
        </w:rPr>
        <w:t>arrange</w:t>
      </w:r>
      <w:r>
        <w:t>, in relation to carrying out work, includes supervision of the carrying out of the work;</w:t>
      </w:r>
    </w:p>
    <w:p>
      <w:pPr>
        <w:pStyle w:val="nz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nzDefstart"/>
      </w:pPr>
      <w:r>
        <w:tab/>
      </w:r>
      <w:r>
        <w:rPr>
          <w:rStyle w:val="CharDefText"/>
        </w:rPr>
        <w:t>communal amenity</w:t>
      </w:r>
      <w:r>
        <w:t xml:space="preserve"> means any amenity provided or made available by the administering body of a retirement village for the use of all residents of the village;</w:t>
      </w:r>
    </w:p>
    <w:p>
      <w:pPr>
        <w:pStyle w:val="nzDefstart"/>
      </w:pPr>
      <w:r>
        <w:tab/>
      </w:r>
      <w:r>
        <w:rPr>
          <w:rStyle w:val="CharDefText"/>
        </w:rPr>
        <w:t>communal service</w:t>
      </w:r>
      <w:r>
        <w:t xml:space="preserve"> means any service provided or made available by the administering body of a retirement village to all the residents of the village that — </w:t>
      </w:r>
    </w:p>
    <w:p>
      <w:pPr>
        <w:pStyle w:val="nzDefpara"/>
      </w:pPr>
      <w:r>
        <w:tab/>
        <w:t>(a)</w:t>
      </w:r>
      <w:r>
        <w:tab/>
        <w:t>is not provided or made available under a separate service contract; and</w:t>
      </w:r>
    </w:p>
    <w:p>
      <w:pPr>
        <w:pStyle w:val="nzDefpara"/>
      </w:pPr>
      <w:r>
        <w:tab/>
        <w:t>(b)</w:t>
      </w:r>
      <w:r>
        <w:tab/>
        <w:t>is not an administrative or management service; and</w:t>
      </w:r>
    </w:p>
    <w:p>
      <w:pPr>
        <w:pStyle w:val="nzDefpara"/>
      </w:pPr>
      <w:r>
        <w:tab/>
        <w:t>(c)</w:t>
      </w:r>
      <w:r>
        <w:tab/>
        <w:t>is not a service for the maintenance or repair of a residential premises or personal amenity; and</w:t>
      </w:r>
    </w:p>
    <w:p>
      <w:pPr>
        <w:pStyle w:val="nzDefpara"/>
      </w:pPr>
      <w:r>
        <w:tab/>
        <w:t>(d)</w:t>
      </w:r>
      <w:r>
        <w:tab/>
        <w:t>is not a communal amenity; and</w:t>
      </w:r>
    </w:p>
    <w:p>
      <w:pPr>
        <w:pStyle w:val="nzDefpara"/>
      </w:pPr>
      <w:r>
        <w:tab/>
        <w:t>(e)</w:t>
      </w:r>
      <w:r>
        <w:tab/>
        <w:t>is not a personal service;</w:t>
      </w:r>
    </w:p>
    <w:p>
      <w:pPr>
        <w:pStyle w:val="nzDefstart"/>
      </w:pPr>
      <w:r>
        <w:tab/>
      </w:r>
      <w:r>
        <w:rPr>
          <w:rStyle w:val="CharDefText"/>
        </w:rPr>
        <w:t>exit fee</w:t>
      </w:r>
      <w:r>
        <w:t xml:space="preserve"> means a fee or charge, other than a recurrent charge, payable by or on behalf of a resident to the administering body of a retirement village on — </w:t>
      </w:r>
    </w:p>
    <w:p>
      <w:pPr>
        <w:pStyle w:val="nzDefpara"/>
      </w:pPr>
      <w:r>
        <w:tab/>
        <w:t>(a)</w:t>
      </w:r>
      <w:r>
        <w:tab/>
        <w:t>the resident permanently vacating residential premises in the retirement village; or</w:t>
      </w:r>
    </w:p>
    <w:p>
      <w:pPr>
        <w:pStyle w:val="nzDefpara"/>
      </w:pPr>
      <w:r>
        <w:tab/>
        <w:t>(b)</w:t>
      </w:r>
      <w:r>
        <w:tab/>
        <w:t>the settlement of the sale of the resident’s right to reside in the residential premises;</w:t>
      </w:r>
    </w:p>
    <w:p>
      <w:pPr>
        <w:pStyle w:val="nzDefstart"/>
      </w:pPr>
      <w:r>
        <w:tab/>
      </w:r>
      <w:r>
        <w:rPr>
          <w:rStyle w:val="CharDefText"/>
        </w:rPr>
        <w:t>Note</w:t>
      </w:r>
      <w:r>
        <w:t>, followed by a number, means the note of that number in the Notes section of the residence contract set out in Schedule 2 clause 2;</w:t>
      </w:r>
    </w:p>
    <w:p>
      <w:pPr>
        <w:pStyle w:val="nzDefstart"/>
      </w:pPr>
      <w:r>
        <w:tab/>
      </w:r>
      <w:r>
        <w:rPr>
          <w:rStyle w:val="CharDefText"/>
        </w:rPr>
        <w:t>personal amenity</w:t>
      </w:r>
      <w:r>
        <w:t xml:space="preserve"> means any amenity provided or made available for the use of a resident by the administering body of a retirement village, other than — </w:t>
      </w:r>
    </w:p>
    <w:p>
      <w:pPr>
        <w:pStyle w:val="nzDefpara"/>
      </w:pPr>
      <w:r>
        <w:tab/>
        <w:t>(a)</w:t>
      </w:r>
      <w:r>
        <w:tab/>
        <w:t>the residential premises; and</w:t>
      </w:r>
    </w:p>
    <w:p>
      <w:pPr>
        <w:pStyle w:val="nzDefpara"/>
      </w:pPr>
      <w:r>
        <w:tab/>
        <w:t>(b)</w:t>
      </w:r>
      <w:r>
        <w:tab/>
        <w:t>an amenity that forms part of, or is provided or made available with, the residential premises; and</w:t>
      </w:r>
    </w:p>
    <w:p>
      <w:pPr>
        <w:pStyle w:val="nzDefpara"/>
      </w:pPr>
      <w:r>
        <w:tab/>
        <w:t>(c)</w:t>
      </w:r>
      <w:r>
        <w:tab/>
        <w:t>communal amenities in the retirement village;</w:t>
      </w:r>
    </w:p>
    <w:p>
      <w:pPr>
        <w:pStyle w:val="nzDefstart"/>
      </w:pPr>
      <w:r>
        <w:tab/>
      </w:r>
      <w:r>
        <w:rPr>
          <w:rStyle w:val="CharDefText"/>
        </w:rPr>
        <w:t>personal service</w:t>
      </w:r>
      <w:r>
        <w:t xml:space="preserve"> means any service provided or made available by the administering body of a retirement village to a resident of the village that — </w:t>
      </w:r>
    </w:p>
    <w:p>
      <w:pPr>
        <w:pStyle w:val="nzDefpara"/>
      </w:pPr>
      <w:r>
        <w:tab/>
        <w:t>(a)</w:t>
      </w:r>
      <w:r>
        <w:tab/>
        <w:t>is not provided or made available under a separate service contract; and</w:t>
      </w:r>
    </w:p>
    <w:p>
      <w:pPr>
        <w:pStyle w:val="nzDefpara"/>
      </w:pPr>
      <w:r>
        <w:tab/>
        <w:t>(b)</w:t>
      </w:r>
      <w:r>
        <w:tab/>
        <w:t>is not a personal or communal amenity;</w:t>
      </w:r>
    </w:p>
    <w:p>
      <w:pPr>
        <w:pStyle w:val="nzDefstart"/>
      </w:pPr>
      <w:r>
        <w:tab/>
      </w:r>
      <w:r>
        <w:rPr>
          <w:rStyle w:val="CharDefText"/>
        </w:rPr>
        <w:t>reserve fund</w:t>
      </w:r>
      <w:r>
        <w:t xml:space="preserve"> has the meaning given in the Code;</w:t>
      </w:r>
    </w:p>
    <w:p>
      <w:pPr>
        <w:pStyle w:val="nzDefstart"/>
      </w:pPr>
      <w:r>
        <w:tab/>
      </w:r>
      <w:r>
        <w:rPr>
          <w:rStyle w:val="CharDefText"/>
        </w:rPr>
        <w:t>specified</w:t>
      </w:r>
      <w:r>
        <w:t xml:space="preserve"> means specified in a residence contract.</w:t>
      </w:r>
    </w:p>
    <w:p>
      <w:pPr>
        <w:pStyle w:val="nzHeading5"/>
      </w:pPr>
      <w:r>
        <w:t>4B.</w:t>
      </w:r>
      <w:r>
        <w:tab/>
        <w:t>Form of residence contract</w:t>
      </w:r>
    </w:p>
    <w:p>
      <w:pPr>
        <w:pStyle w:val="nzSubsection"/>
      </w:pPr>
      <w:r>
        <w:tab/>
      </w:r>
      <w:r>
        <w:tab/>
        <w:t xml:space="preserve">A residence contract must — </w:t>
      </w:r>
    </w:p>
    <w:p>
      <w:pPr>
        <w:pStyle w:val="nzIndenta"/>
      </w:pPr>
      <w:r>
        <w:tab/>
        <w:t>(a)</w:t>
      </w:r>
      <w:r>
        <w:tab/>
        <w:t>be written in plain English; and</w:t>
      </w:r>
    </w:p>
    <w:p>
      <w:pPr>
        <w:pStyle w:val="nzIndenta"/>
      </w:pPr>
      <w:r>
        <w:tab/>
        <w:t>(b)</w:t>
      </w:r>
      <w:r>
        <w:tab/>
        <w:t>be printed in not less than 12 point type; and</w:t>
      </w:r>
    </w:p>
    <w:p>
      <w:pPr>
        <w:pStyle w:val="nzIndenta"/>
      </w:pPr>
      <w:r>
        <w:tab/>
        <w:t>(c)</w:t>
      </w:r>
      <w:r>
        <w:tab/>
        <w:t xml:space="preserve">be set out clearly and logically and include — </w:t>
      </w:r>
    </w:p>
    <w:p>
      <w:pPr>
        <w:pStyle w:val="nzIndenti"/>
      </w:pPr>
      <w:r>
        <w:tab/>
        <w:t>(i)</w:t>
      </w:r>
      <w:r>
        <w:tab/>
        <w:t>appropriate headings and subheadings; and</w:t>
      </w:r>
    </w:p>
    <w:p>
      <w:pPr>
        <w:pStyle w:val="nzIndenti"/>
      </w:pPr>
      <w:r>
        <w:tab/>
        <w:t>(ii)</w:t>
      </w:r>
      <w:r>
        <w:tab/>
        <w:t>numbered provisions; and</w:t>
      </w:r>
    </w:p>
    <w:p>
      <w:pPr>
        <w:pStyle w:val="nzIndenti"/>
      </w:pPr>
      <w:r>
        <w:tab/>
        <w:t>(iii)</w:t>
      </w:r>
      <w:r>
        <w:tab/>
        <w:t>a table of contents;</w:t>
      </w:r>
    </w:p>
    <w:p>
      <w:pPr>
        <w:pStyle w:val="nzIndenta"/>
      </w:pPr>
      <w:r>
        <w:tab/>
      </w:r>
      <w:r>
        <w:tab/>
        <w:t>and</w:t>
      </w:r>
    </w:p>
    <w:p>
      <w:pPr>
        <w:pStyle w:val="nzIndenta"/>
      </w:pPr>
      <w:r>
        <w:tab/>
        <w:t>(d)</w:t>
      </w:r>
      <w:r>
        <w:tab/>
        <w:t>if words and phrases used in the contract are used in the Act, these regulations or the Code, use those words and phrases consistently with the meanings in the Act, regulations or Code, as relevant.</w:t>
      </w:r>
    </w:p>
    <w:p>
      <w:pPr>
        <w:pStyle w:val="BlankOpen"/>
        <w:rPr>
          <w:snapToGrid w:val="0"/>
        </w:rPr>
      </w:pPr>
    </w:p>
    <w:p>
      <w:pPr>
        <w:pStyle w:val="nzHeading5"/>
      </w:pPr>
      <w:r>
        <w:rPr>
          <w:rStyle w:val="CharSectno"/>
        </w:rPr>
        <w:t>8</w:t>
      </w:r>
      <w:r>
        <w:t>.</w:t>
      </w:r>
      <w:r>
        <w:tab/>
        <w:t>Regulation 6 and Part 2 Division 3 inserted</w:t>
      </w:r>
    </w:p>
    <w:p>
      <w:pPr>
        <w:pStyle w:val="nzSubsection"/>
      </w:pPr>
      <w:r>
        <w:tab/>
      </w:r>
      <w:r>
        <w:tab/>
        <w:t>After regulation 5 insert:</w:t>
      </w:r>
    </w:p>
    <w:p>
      <w:pPr>
        <w:pStyle w:val="BlankOpen"/>
      </w:pPr>
    </w:p>
    <w:p>
      <w:pPr>
        <w:pStyle w:val="nzHeading5"/>
      </w:pPr>
      <w:r>
        <w:t>6.</w:t>
      </w:r>
      <w:r>
        <w:tab/>
        <w:t>Section 13 information</w:t>
      </w:r>
    </w:p>
    <w:p>
      <w:pPr>
        <w:pStyle w:val="nzSubsection"/>
      </w:pPr>
      <w:r>
        <w:tab/>
        <w:t>(1)</w:t>
      </w:r>
      <w:r>
        <w:tab/>
        <w:t xml:space="preserve">For the purposes of section 13(2)(e) of the Act the following documents are prescribed — </w:t>
      </w:r>
    </w:p>
    <w:p>
      <w:pPr>
        <w:pStyle w:val="nz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nzIndenta"/>
      </w:pPr>
      <w:r>
        <w:tab/>
        <w:t>(b)</w:t>
      </w:r>
      <w:r>
        <w:tab/>
        <w:t xml:space="preserve">if the residence contract relates to a retirement village that is already operating — </w:t>
      </w:r>
    </w:p>
    <w:p>
      <w:pPr>
        <w:pStyle w:val="nzIndenti"/>
      </w:pPr>
      <w:r>
        <w:tab/>
        <w:t>(i)</w:t>
      </w:r>
      <w:r>
        <w:tab/>
        <w:t>if the financial statements of the village for the previous financial year have been audited — a copy of the audited financial statements and the audit report; and</w:t>
      </w:r>
    </w:p>
    <w:p>
      <w:pPr>
        <w:pStyle w:val="nzIndenti"/>
      </w:pPr>
      <w:r>
        <w:tab/>
        <w:t>(ii)</w:t>
      </w:r>
      <w:r>
        <w:tab/>
        <w:t>if the financial statements of the village for the previous financial year have not been audited — a copy of the unaudited financial statements; and</w:t>
      </w:r>
    </w:p>
    <w:p>
      <w:pPr>
        <w:pStyle w:val="nzIndenti"/>
      </w:pPr>
      <w:r>
        <w:tab/>
        <w:t>(iii)</w:t>
      </w:r>
      <w:r>
        <w:tab/>
        <w:t>a copy of the operating budget for the village for the current financial year; and</w:t>
      </w:r>
    </w:p>
    <w:p>
      <w:pPr>
        <w:pStyle w:val="nzIndenti"/>
      </w:pPr>
      <w:r>
        <w:tab/>
        <w:t>(iv)</w:t>
      </w:r>
      <w:r>
        <w:tab/>
        <w:t>if the village has a reserve fund — a copy of the reserve fund budget for the current financial year;</w:t>
      </w:r>
    </w:p>
    <w:p>
      <w:pPr>
        <w:pStyle w:val="nzIndenta"/>
      </w:pPr>
      <w:r>
        <w:tab/>
        <w:t>(c)</w:t>
      </w:r>
      <w:r>
        <w:tab/>
        <w:t xml:space="preserve">if the residence contract relates to a retirement village that is not yet operating — </w:t>
      </w:r>
    </w:p>
    <w:p>
      <w:pPr>
        <w:pStyle w:val="nzIndenti"/>
      </w:pPr>
      <w:r>
        <w:tab/>
        <w:t>(i)</w:t>
      </w:r>
      <w:r>
        <w:tab/>
        <w:t>a copy of the proposed operating budget for the first year of operation of the village; and</w:t>
      </w:r>
    </w:p>
    <w:p>
      <w:pPr>
        <w:pStyle w:val="nz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nz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nzIndenti"/>
      </w:pPr>
      <w:r>
        <w:tab/>
        <w:t>(i)</w:t>
      </w:r>
      <w:r>
        <w:tab/>
        <w:t>a copy of the by</w:t>
      </w:r>
      <w:r>
        <w:noBreakHyphen/>
        <w:t>laws of the relevant strata company; and</w:t>
      </w:r>
    </w:p>
    <w:p>
      <w:pPr>
        <w:pStyle w:val="nzIndenti"/>
      </w:pPr>
      <w:r>
        <w:tab/>
        <w:t>(ii)</w:t>
      </w:r>
      <w:r>
        <w:tab/>
        <w:t xml:space="preserve">an authority to apply to the strata company under the </w:t>
      </w:r>
      <w:r>
        <w:rPr>
          <w:i/>
        </w:rPr>
        <w:t xml:space="preserve">Strata Titles Act 1985 </w:t>
      </w:r>
      <w:r>
        <w:t>section 43.</w:t>
      </w:r>
    </w:p>
    <w:p>
      <w:pPr>
        <w:pStyle w:val="nzSubsection"/>
      </w:pPr>
      <w:r>
        <w:tab/>
        <w:t>(2)</w:t>
      </w:r>
      <w:r>
        <w:tab/>
        <w:t xml:space="preserve">A document referred to in subregulation (1)(b)(iv) is not a prescribed document in respect of a residence contract to be entered into by a person if — </w:t>
      </w:r>
    </w:p>
    <w:p>
      <w:pPr>
        <w:pStyle w:val="nzIndenta"/>
      </w:pPr>
      <w:r>
        <w:tab/>
        <w:t>(a)</w:t>
      </w:r>
      <w:r>
        <w:tab/>
        <w:t>the contract relates to residential premises in a retirement village that is operating before 1 April 2015; and</w:t>
      </w:r>
    </w:p>
    <w:p>
      <w:pPr>
        <w:pStyle w:val="nzIndenta"/>
      </w:pPr>
      <w:r>
        <w:tab/>
        <w:t>(b)</w:t>
      </w:r>
      <w:r>
        <w:tab/>
        <w:t>the person enters into the residence contract before 1 July 2016.</w:t>
      </w:r>
    </w:p>
    <w:p>
      <w:pPr>
        <w:pStyle w:val="nzHeading3"/>
      </w:pPr>
      <w:r>
        <w:t>Division 3 — Matters to be included in residence contract</w:t>
      </w:r>
    </w:p>
    <w:p>
      <w:pPr>
        <w:pStyle w:val="nzHeading5"/>
      </w:pPr>
      <w:r>
        <w:t>7A.</w:t>
      </w:r>
      <w:r>
        <w:tab/>
        <w:t>General matters to be included in residence contract</w:t>
      </w:r>
    </w:p>
    <w:p>
      <w:pPr>
        <w:pStyle w:val="nzSubsection"/>
      </w:pPr>
      <w:r>
        <w:tab/>
      </w:r>
      <w:r>
        <w:tab/>
        <w:t>A residence contract must include the general provisions or matters listed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67" w:hanging="567"/>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67" w:hanging="567"/>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67" w:hanging="567"/>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pPr>
            <w:r>
              <w:t>(a)</w:t>
            </w:r>
            <w:r>
              <w:tab/>
              <w:t>a self</w:t>
            </w:r>
            <w:r>
              <w:noBreakHyphen/>
              <w:t>care or independent living unit;</w:t>
            </w:r>
          </w:p>
          <w:p>
            <w:pPr>
              <w:pStyle w:val="TableNAm"/>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pPr>
            <w:r>
              <w:t>(a)</w:t>
            </w:r>
            <w:r>
              <w:tab/>
              <w:t>a lease for life tenancy;</w:t>
            </w:r>
          </w:p>
          <w:p>
            <w:pPr>
              <w:pStyle w:val="TableNAm"/>
              <w:ind w:left="567" w:hanging="567"/>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67" w:hanging="567"/>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67" w:hanging="567"/>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nzHeading5"/>
      </w:pPr>
      <w:r>
        <w:t>7B.</w:t>
      </w:r>
      <w:r>
        <w:tab/>
        <w:t>Matters relating to personal amenities to be included in residence contract</w:t>
      </w:r>
    </w:p>
    <w:p>
      <w:pPr>
        <w:pStyle w:val="nzSubsection"/>
      </w:pPr>
      <w:r>
        <w:tab/>
      </w:r>
      <w:r>
        <w:tab/>
        <w:t>A residence contract must include the provisions or matters listed in the Table relating to personal amenities that are to be provided or made available under the contract.</w:t>
      </w:r>
    </w:p>
    <w:p>
      <w:pPr>
        <w:pStyle w:val="z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67" w:hanging="567"/>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67" w:hanging="567"/>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pPr>
            <w:r>
              <w:t>(a)</w:t>
            </w:r>
            <w:r>
              <w:tab/>
              <w:t>garage or carport;</w:t>
            </w:r>
          </w:p>
          <w:p>
            <w:pPr>
              <w:pStyle w:val="TableNAm"/>
            </w:pPr>
            <w:r>
              <w:t>(b)</w:t>
            </w:r>
            <w:r>
              <w:tab/>
              <w:t>storage areas;</w:t>
            </w:r>
          </w:p>
          <w:p>
            <w:pPr>
              <w:pStyle w:val="TableNAm"/>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ind w:left="567" w:hanging="567"/>
            </w:pPr>
            <w:r>
              <w:t xml:space="preserve">A provision setting out — </w:t>
            </w:r>
          </w:p>
          <w:p>
            <w:pPr>
              <w:pStyle w:val="TableNAm"/>
              <w:ind w:left="567" w:hanging="567"/>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nzHeading5"/>
      </w:pPr>
      <w:r>
        <w:t>7C.</w:t>
      </w:r>
      <w:r>
        <w:tab/>
        <w:t>Matters relating to communal amenities to be included in residence contract</w:t>
      </w:r>
    </w:p>
    <w:p>
      <w:pPr>
        <w:pStyle w:val="nzSubsection"/>
      </w:pPr>
      <w:r>
        <w:tab/>
      </w:r>
      <w:r>
        <w:tab/>
        <w:t>A residence contract must include the provisions or matters listed in the Table relating to communal amenities to be provided or made available under the contract.</w:t>
      </w:r>
    </w:p>
    <w:p>
      <w:pPr>
        <w:pStyle w:val="z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pPr>
            <w:r>
              <w:t>(a)</w:t>
            </w:r>
            <w:r>
              <w:tab/>
              <w:t>club or meeting room;</w:t>
            </w:r>
          </w:p>
          <w:p>
            <w:pPr>
              <w:pStyle w:val="TableNAm"/>
            </w:pPr>
            <w:r>
              <w:t>(b)</w:t>
            </w:r>
            <w:r>
              <w:tab/>
              <w:t>swimming pool;</w:t>
            </w:r>
          </w:p>
          <w:p>
            <w:pPr>
              <w:pStyle w:val="TableNAm"/>
            </w:pPr>
            <w:r>
              <w:t>(c)</w:t>
            </w:r>
            <w:r>
              <w:tab/>
              <w:t>bowling green;</w:t>
            </w:r>
          </w:p>
          <w:p>
            <w:pPr>
              <w:pStyle w:val="TableNAm"/>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nzHeading5"/>
      </w:pPr>
      <w:r>
        <w:t>7D.</w:t>
      </w:r>
      <w:r>
        <w:tab/>
        <w:t>Matters relating to personal services to be included in residence contract</w:t>
      </w:r>
    </w:p>
    <w:p>
      <w:pPr>
        <w:pStyle w:val="nzSubsection"/>
      </w:pPr>
      <w:r>
        <w:tab/>
      </w:r>
      <w:r>
        <w:tab/>
        <w:t>A residence contract under which personal services are to be provided or made available to the resident must include the provisions or matters listed in the Table in relation to the personal services.</w:t>
      </w:r>
    </w:p>
    <w:p>
      <w:pPr>
        <w:pStyle w:val="z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ind w:left="567" w:hanging="567"/>
            </w:pPr>
            <w:r>
              <w:t xml:space="preserve">A list of — </w:t>
            </w:r>
          </w:p>
          <w:p>
            <w:pPr>
              <w:pStyle w:val="TableNAm"/>
              <w:ind w:left="567" w:hanging="567"/>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the period of notice to be provided to the resident of the intention to withdraw or vary the service, which must not be less than 30 days.</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nzHeading5"/>
      </w:pPr>
      <w:r>
        <w:t>7E.</w:t>
      </w:r>
      <w:r>
        <w:tab/>
        <w:t>Matters relating to communal services to be included in residence contract</w:t>
      </w:r>
    </w:p>
    <w:p>
      <w:pPr>
        <w:pStyle w:val="nzSubsection"/>
      </w:pPr>
      <w:r>
        <w:tab/>
      </w:r>
      <w:r>
        <w:tab/>
        <w:t>A residence contract under which communal services are to be provided or made available to the resident must include the provisions or matters listed in the Table in relation to the communal services.</w:t>
      </w:r>
    </w:p>
    <w:p>
      <w:pPr>
        <w:pStyle w:val="z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nzHeading5"/>
      </w:pPr>
      <w:r>
        <w:t>7F.</w:t>
      </w:r>
      <w:r>
        <w:tab/>
        <w:t>Financial matters to be included in residence contract</w:t>
      </w:r>
    </w:p>
    <w:p>
      <w:pPr>
        <w:pStyle w:val="nzSubsection"/>
      </w:pPr>
      <w:r>
        <w:tab/>
      </w:r>
      <w:r>
        <w:tab/>
        <w:t>A residence contract must include the financial provisions or matters listed in the Table.</w:t>
      </w:r>
    </w:p>
    <w:p>
      <w:pPr>
        <w:pStyle w:val="z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67" w:hanging="567"/>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67" w:hanging="567"/>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pPr>
            <w:r>
              <w:t>(a)</w:t>
            </w:r>
            <w:r>
              <w:tab/>
              <w:t xml:space="preserve">the purpose of the fund;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 w:val="left" w:pos="988"/>
              </w:tabs>
              <w:ind w:left="988" w:hanging="988"/>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 w:val="left" w:pos="988"/>
              </w:tabs>
              <w:ind w:left="988" w:hanging="988"/>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67" w:hanging="567"/>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67" w:hanging="567"/>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67" w:hanging="567"/>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67" w:hanging="567"/>
            </w:pPr>
            <w:r>
              <w:t>(b)</w:t>
            </w:r>
            <w:r>
              <w:tab/>
              <w:t>if the cost is to be shared between the administering body and the residents, how such costs are to be apportioned between the administering body and the residents.</w:t>
            </w:r>
          </w:p>
        </w:tc>
      </w:tr>
    </w:tbl>
    <w:p>
      <w:pPr>
        <w:pStyle w:val="nzHeading5"/>
      </w:pPr>
      <w:r>
        <w:t>7G.</w:t>
      </w:r>
      <w:r>
        <w:tab/>
        <w:t>Matters relating to condition of premises to be included in residence contract</w:t>
      </w:r>
    </w:p>
    <w:p>
      <w:pPr>
        <w:pStyle w:val="nzSubsection"/>
      </w:pPr>
      <w:r>
        <w:tab/>
      </w:r>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pPr>
            <w:r>
              <w:rPr>
                <w:b/>
                <w:bCs/>
              </w:rPr>
              <w:t>Provision or matter relating to condition of premises</w:t>
            </w:r>
          </w:p>
        </w:tc>
      </w:tr>
      <w:tr>
        <w:trPr>
          <w:cantSplit/>
        </w:trPr>
        <w:tc>
          <w:tcPr>
            <w:tcW w:w="709" w:type="dxa"/>
            <w:tcBorders>
              <w:bottom w:val="nil"/>
            </w:tcBorders>
          </w:tcPr>
          <w:p>
            <w:pPr>
              <w:pStyle w:val="TableNAm"/>
              <w:keepLines/>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keepLines/>
              <w:spacing w:before="0"/>
            </w:pPr>
          </w:p>
        </w:tc>
        <w:tc>
          <w:tcPr>
            <w:tcW w:w="4819" w:type="dxa"/>
            <w:tcBorders>
              <w:top w:val="nil"/>
              <w:bottom w:val="nil"/>
            </w:tcBorders>
          </w:tcPr>
          <w:p>
            <w:pPr>
              <w:pStyle w:val="TableNAm"/>
              <w:ind w:left="567" w:hanging="567"/>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67" w:hanging="567"/>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67" w:hanging="567"/>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67" w:hanging="567"/>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67" w:hanging="567"/>
            </w:pPr>
            <w:r>
              <w:t>(e)</w:t>
            </w:r>
            <w:r>
              <w:tab/>
              <w:t>how any contribution to the costs by the resident is to be paid; and</w:t>
            </w:r>
          </w:p>
          <w:p>
            <w:pPr>
              <w:pStyle w:val="TableNAm"/>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ind w:left="567" w:hanging="567"/>
            </w:pPr>
            <w:r>
              <w:t xml:space="preserve">A provision setting out — </w:t>
            </w:r>
          </w:p>
          <w:p>
            <w:pPr>
              <w:pStyle w:val="TableNAm"/>
              <w:ind w:left="567" w:hanging="567"/>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67" w:hanging="567"/>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67" w:hanging="567"/>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67" w:hanging="567"/>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67" w:hanging="567"/>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67" w:hanging="567"/>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67" w:hanging="567"/>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67" w:hanging="567"/>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67" w:hanging="567"/>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clear" w:pos="567"/>
                <w:tab w:val="left" w:pos="621"/>
                <w:tab w:val="left" w:pos="1026"/>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clear" w:pos="567"/>
                <w:tab w:val="left" w:pos="600"/>
                <w:tab w:val="left" w:pos="1026"/>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67" w:hanging="567"/>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67" w:hanging="567"/>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67" w:hanging="567"/>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67" w:hanging="567"/>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nzHeading5"/>
      </w:pPr>
      <w:r>
        <w:t>7H.</w:t>
      </w:r>
      <w:r>
        <w:tab/>
        <w:t>Matters relating to urgent repairs to be included in residence contract</w:t>
      </w:r>
    </w:p>
    <w:p>
      <w:pPr>
        <w:pStyle w:val="nzSubsection"/>
      </w:pPr>
      <w:r>
        <w:tab/>
        <w:t>(1)</w:t>
      </w:r>
      <w:r>
        <w:tab/>
        <w:t xml:space="preserve">In this regulation — </w:t>
      </w:r>
    </w:p>
    <w:p>
      <w:pPr>
        <w:pStyle w:val="nzDefstart"/>
      </w:pPr>
      <w:r>
        <w:tab/>
      </w:r>
      <w:r>
        <w:rPr>
          <w:rStyle w:val="CharDefText"/>
        </w:rPr>
        <w:t>essential service</w:t>
      </w:r>
      <w:r>
        <w:t xml:space="preserve"> means each of the following — </w:t>
      </w:r>
    </w:p>
    <w:p>
      <w:pPr>
        <w:pStyle w:val="nzDefpara"/>
      </w:pPr>
      <w:r>
        <w:tab/>
        <w:t>(a)</w:t>
      </w:r>
      <w:r>
        <w:tab/>
        <w:t>electricity;</w:t>
      </w:r>
    </w:p>
    <w:p>
      <w:pPr>
        <w:pStyle w:val="nzDefpara"/>
      </w:pPr>
      <w:r>
        <w:tab/>
        <w:t>(b)</w:t>
      </w:r>
      <w:r>
        <w:tab/>
        <w:t>gas;</w:t>
      </w:r>
    </w:p>
    <w:p>
      <w:pPr>
        <w:pStyle w:val="nzDefpara"/>
      </w:pPr>
      <w:r>
        <w:tab/>
        <w:t>(c)</w:t>
      </w:r>
      <w:r>
        <w:tab/>
        <w:t>refrigeration;</w:t>
      </w:r>
    </w:p>
    <w:p>
      <w:pPr>
        <w:pStyle w:val="nzDefpara"/>
      </w:pPr>
      <w:r>
        <w:tab/>
        <w:t>(d)</w:t>
      </w:r>
      <w:r>
        <w:tab/>
        <w:t>sewerage, septic tank or other waste water management treatment;</w:t>
      </w:r>
    </w:p>
    <w:p>
      <w:pPr>
        <w:pStyle w:val="nzDefpara"/>
      </w:pPr>
      <w:r>
        <w:tab/>
        <w:t>(e)</w:t>
      </w:r>
      <w:r>
        <w:tab/>
        <w:t>water, including the supply of hot water;</w:t>
      </w:r>
    </w:p>
    <w:p>
      <w:pPr>
        <w:pStyle w:val="nzDefstart"/>
      </w:pPr>
      <w:r>
        <w:tab/>
      </w:r>
      <w:r>
        <w:rPr>
          <w:rStyle w:val="CharDefText"/>
        </w:rPr>
        <w:t>urgent repair</w:t>
      </w:r>
      <w:r>
        <w:t xml:space="preserve"> means a repair that is necessary — </w:t>
      </w:r>
    </w:p>
    <w:p>
      <w:pPr>
        <w:pStyle w:val="nzDefpara"/>
      </w:pPr>
      <w:r>
        <w:tab/>
        <w:t>(a)</w:t>
      </w:r>
      <w:r>
        <w:tab/>
        <w:t>for the supply or restoration of an essential service; or</w:t>
      </w:r>
    </w:p>
    <w:p>
      <w:pPr>
        <w:pStyle w:val="nzDefpara"/>
      </w:pPr>
      <w:r>
        <w:tab/>
        <w:t>(b)</w:t>
      </w:r>
      <w:r>
        <w:tab/>
        <w:t xml:space="preserve">to avoid — </w:t>
      </w:r>
    </w:p>
    <w:p>
      <w:pPr>
        <w:pStyle w:val="nzDefsubpara"/>
      </w:pPr>
      <w:r>
        <w:tab/>
        <w:t>(i)</w:t>
      </w:r>
      <w:r>
        <w:tab/>
        <w:t>risk of injury to a resident; or</w:t>
      </w:r>
    </w:p>
    <w:p>
      <w:pPr>
        <w:pStyle w:val="nzDefsubpara"/>
      </w:pPr>
      <w:r>
        <w:tab/>
        <w:t>(ii)</w:t>
      </w:r>
      <w:r>
        <w:tab/>
        <w:t>damage to the residential premises; or</w:t>
      </w:r>
    </w:p>
    <w:p>
      <w:pPr>
        <w:pStyle w:val="nzDefsubpara"/>
      </w:pPr>
      <w:r>
        <w:tab/>
        <w:t>(iii)</w:t>
      </w:r>
      <w:r>
        <w:tab/>
        <w:t>the residential premises being or becoming unsafe or insecure; or</w:t>
      </w:r>
    </w:p>
    <w:p>
      <w:pPr>
        <w:pStyle w:val="nzDefsubpara"/>
      </w:pPr>
      <w:r>
        <w:tab/>
        <w:t>(iv)</w:t>
      </w:r>
      <w:r>
        <w:tab/>
        <w:t>undue hardship to a resident.</w:t>
      </w:r>
    </w:p>
    <w:p>
      <w:pPr>
        <w:pStyle w:val="nzSubsection"/>
      </w:pPr>
      <w:r>
        <w:tab/>
        <w:t>(2)</w:t>
      </w:r>
      <w:r>
        <w:tab/>
        <w:t xml:space="preserve">A residence contract must include the following provisions in relation to urgent repairs to the residential premises — </w:t>
      </w:r>
    </w:p>
    <w:p>
      <w:pPr>
        <w:pStyle w:val="nz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nzIndenti"/>
      </w:pPr>
      <w:r>
        <w:tab/>
        <w:t>(i)</w:t>
      </w:r>
      <w:r>
        <w:tab/>
        <w:t>the resident has made all reasonable attempts to notify the administering body of the need for the urgent repairs; and</w:t>
      </w:r>
    </w:p>
    <w:p>
      <w:pPr>
        <w:pStyle w:val="nz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nzIndenti"/>
      </w:pPr>
      <w:r>
        <w:tab/>
        <w:t>(iii)</w:t>
      </w:r>
      <w:r>
        <w:tab/>
        <w:t>the resident arranges for the urgent repair work to be carried out in accordance with any process established by the administering body for the carrying out of urgent repairs; and</w:t>
      </w:r>
    </w:p>
    <w:p>
      <w:pPr>
        <w:pStyle w:val="nz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nz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nz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nzHeading3"/>
      </w:pPr>
      <w:r>
        <w:t>Division 4 — Matters not to be included in residence contract</w:t>
      </w:r>
    </w:p>
    <w:p>
      <w:pPr>
        <w:pStyle w:val="nzHeading5"/>
      </w:pPr>
      <w:r>
        <w:t>7I.</w:t>
      </w:r>
      <w:r>
        <w:tab/>
        <w:t>Provisions relating to certain powers of attorney not be included in residence contract</w:t>
      </w:r>
    </w:p>
    <w:p>
      <w:pPr>
        <w:pStyle w:val="nzSubsection"/>
      </w:pPr>
      <w:r>
        <w:tab/>
        <w:t>(1)</w:t>
      </w:r>
      <w:r>
        <w:tab/>
        <w:t xml:space="preserve">In this regulation — </w:t>
      </w:r>
    </w:p>
    <w:p>
      <w:pPr>
        <w:pStyle w:val="nz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nzDefstart"/>
      </w:pPr>
      <w:r>
        <w:tab/>
      </w:r>
      <w:r>
        <w:rPr>
          <w:rStyle w:val="CharDefText"/>
        </w:rPr>
        <w:t>close associate</w:t>
      </w:r>
      <w:r>
        <w:t xml:space="preserve">, in relation to an administering body, means any of the following — </w:t>
      </w:r>
    </w:p>
    <w:p>
      <w:pPr>
        <w:pStyle w:val="nzDefpara"/>
      </w:pPr>
      <w:r>
        <w:tab/>
        <w:t>(a)</w:t>
      </w:r>
      <w:r>
        <w:tab/>
        <w:t xml:space="preserve">if the administering body is a natural person — </w:t>
      </w:r>
    </w:p>
    <w:p>
      <w:pPr>
        <w:pStyle w:val="nzDefsubpara"/>
      </w:pPr>
      <w:r>
        <w:tab/>
        <w:t>(i)</w:t>
      </w:r>
      <w:r>
        <w:tab/>
        <w:t>the spouse, de facto partner, parent, child or sibling of the administering body;</w:t>
      </w:r>
    </w:p>
    <w:p>
      <w:pPr>
        <w:pStyle w:val="nzDefsubpara"/>
      </w:pPr>
      <w:r>
        <w:tab/>
        <w:t>(ii)</w:t>
      </w:r>
      <w:r>
        <w:tab/>
        <w:t xml:space="preserve">the parent, child or sibling of the spouse or de facto partner of the administering body; </w:t>
      </w:r>
    </w:p>
    <w:p>
      <w:pPr>
        <w:pStyle w:val="nzDefsubpara"/>
      </w:pPr>
      <w:r>
        <w:tab/>
        <w:t>(iii)</w:t>
      </w:r>
      <w:r>
        <w:tab/>
        <w:t>a body corporate, if a person referred to in subparagraph (i) or (ii) is a director or secretary of the body corporate or a person involved in the management of the body corporate;</w:t>
      </w:r>
    </w:p>
    <w:p>
      <w:pPr>
        <w:pStyle w:val="nzDefpara"/>
      </w:pPr>
      <w:r>
        <w:tab/>
        <w:t>(b)</w:t>
      </w:r>
      <w:r>
        <w:tab/>
        <w:t xml:space="preserve">if the administering body is a body corporate — </w:t>
      </w:r>
    </w:p>
    <w:p>
      <w:pPr>
        <w:pStyle w:val="nzDefsubpara"/>
      </w:pPr>
      <w:r>
        <w:tab/>
        <w:t>(i)</w:t>
      </w:r>
      <w:r>
        <w:tab/>
        <w:t>a director or secretary of the body corporate or of a related body corporate;</w:t>
      </w:r>
    </w:p>
    <w:p>
      <w:pPr>
        <w:pStyle w:val="nzDefsubpara"/>
      </w:pPr>
      <w:r>
        <w:tab/>
        <w:t>(ii)</w:t>
      </w:r>
      <w:r>
        <w:tab/>
        <w:t xml:space="preserve">a person involved in the management of the body corporate or of a related body corporate; </w:t>
      </w:r>
    </w:p>
    <w:p>
      <w:pPr>
        <w:pStyle w:val="nzDefsubpara"/>
      </w:pPr>
      <w:r>
        <w:tab/>
        <w:t>(iii)</w:t>
      </w:r>
      <w:r>
        <w:tab/>
        <w:t>the spouse, de facto partner, parent, child or sibling of a person referred to in subparagraph (i) or (ii);</w:t>
      </w:r>
    </w:p>
    <w:p>
      <w:pPr>
        <w:pStyle w:val="nzDefsubpara"/>
      </w:pPr>
      <w:r>
        <w:tab/>
        <w:t>(iv)</w:t>
      </w:r>
      <w:r>
        <w:tab/>
        <w:t>the parent, child or sibling of the spouse or de facto partner of a person referred to in subparagraph (i) or (ii);</w:t>
      </w:r>
    </w:p>
    <w:p>
      <w:pPr>
        <w:pStyle w:val="nzDefsubpara"/>
      </w:pPr>
      <w:r>
        <w:tab/>
        <w:t>(v)</w:t>
      </w:r>
      <w:r>
        <w:tab/>
        <w:t>a related body corporate;</w:t>
      </w:r>
    </w:p>
    <w:p>
      <w:pPr>
        <w:pStyle w:val="nz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nzDefstart"/>
      </w:pPr>
      <w:r>
        <w:tab/>
      </w:r>
      <w:r>
        <w:rPr>
          <w:rStyle w:val="CharDefText"/>
        </w:rPr>
        <w:t>related body corporate</w:t>
      </w:r>
      <w:r>
        <w:t xml:space="preserve"> has the meaning given in the </w:t>
      </w:r>
      <w:r>
        <w:rPr>
          <w:i/>
        </w:rPr>
        <w:t>Corporations Act 2001</w:t>
      </w:r>
      <w:r>
        <w:t xml:space="preserve"> (Commonwealth) section 9.</w:t>
      </w:r>
    </w:p>
    <w:p>
      <w:pPr>
        <w:pStyle w:val="nzSubsection"/>
      </w:pPr>
      <w:r>
        <w:tab/>
        <w:t>(2)</w:t>
      </w:r>
      <w:r>
        <w:tab/>
        <w:t xml:space="preserve">A residence contract must not include a provision that requires a resident to give a power of attorney to another person — </w:t>
      </w:r>
    </w:p>
    <w:p>
      <w:pPr>
        <w:pStyle w:val="nzIndenta"/>
      </w:pPr>
      <w:r>
        <w:tab/>
        <w:t>(a)</w:t>
      </w:r>
      <w:r>
        <w:tab/>
        <w:t>as a condition of the resident being admitted to occupation of the residential premises; or</w:t>
      </w:r>
    </w:p>
    <w:p>
      <w:pPr>
        <w:pStyle w:val="nzIndenta"/>
      </w:pPr>
      <w:r>
        <w:tab/>
        <w:t>(b)</w:t>
      </w:r>
      <w:r>
        <w:tab/>
        <w:t>during the resident’s occupation of the residential premises; or</w:t>
      </w:r>
    </w:p>
    <w:p>
      <w:pPr>
        <w:pStyle w:val="nzIndenta"/>
      </w:pPr>
      <w:r>
        <w:tab/>
        <w:t>(c)</w:t>
      </w:r>
      <w:r>
        <w:tab/>
        <w:t>after the resident has permanently vacated the residential premises.</w:t>
      </w:r>
    </w:p>
    <w:p>
      <w:pPr>
        <w:pStyle w:val="nz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nzIndenta"/>
      </w:pPr>
      <w:r>
        <w:tab/>
        <w:t>(a)</w:t>
      </w:r>
      <w:r>
        <w:tab/>
        <w:t>the administering body of the retirement village; or</w:t>
      </w:r>
    </w:p>
    <w:p>
      <w:pPr>
        <w:pStyle w:val="nzIndenta"/>
      </w:pPr>
      <w:r>
        <w:tab/>
        <w:t>(b)</w:t>
      </w:r>
      <w:r>
        <w:tab/>
        <w:t>a close associate of the administering body; or</w:t>
      </w:r>
    </w:p>
    <w:p>
      <w:pPr>
        <w:pStyle w:val="nzIndenta"/>
      </w:pPr>
      <w:r>
        <w:tab/>
        <w:t>(c)</w:t>
      </w:r>
      <w:r>
        <w:tab/>
        <w:t>a person nominated by the administering body.</w:t>
      </w:r>
    </w:p>
    <w:p>
      <w:pPr>
        <w:pStyle w:val="nzSubsection"/>
      </w:pPr>
      <w:r>
        <w:tab/>
        <w:t>(4)</w:t>
      </w:r>
      <w:r>
        <w:tab/>
        <w:t xml:space="preserve">A residence contract must not include a provision under which the administering body — </w:t>
      </w:r>
    </w:p>
    <w:p>
      <w:pPr>
        <w:pStyle w:val="nzIndenta"/>
      </w:pPr>
      <w:r>
        <w:tab/>
        <w:t>(a)</w:t>
      </w:r>
      <w:r>
        <w:tab/>
        <w:t xml:space="preserve">can accept a power of attorney given by the resident unless — </w:t>
      </w:r>
    </w:p>
    <w:p>
      <w:pPr>
        <w:pStyle w:val="nz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nzIndenti"/>
      </w:pPr>
      <w:r>
        <w:tab/>
        <w:t>(ii)</w:t>
      </w:r>
      <w:r>
        <w:tab/>
        <w:t>the administering body is a natural person who is a relative of the resident;</w:t>
      </w:r>
    </w:p>
    <w:p>
      <w:pPr>
        <w:pStyle w:val="nzIndenta"/>
      </w:pPr>
      <w:r>
        <w:tab/>
      </w:r>
      <w:r>
        <w:tab/>
        <w:t>or</w:t>
      </w:r>
    </w:p>
    <w:p>
      <w:pPr>
        <w:pStyle w:val="nzIndenta"/>
      </w:pPr>
      <w:r>
        <w:tab/>
        <w:t>(b)</w:t>
      </w:r>
      <w:r>
        <w:tab/>
        <w:t xml:space="preserve">can nominate a person to be the donee of a power of attorney given by the resident unless — </w:t>
      </w:r>
    </w:p>
    <w:p>
      <w:pPr>
        <w:pStyle w:val="nz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nzIndenti"/>
      </w:pPr>
      <w:r>
        <w:tab/>
        <w:t>(ii)</w:t>
      </w:r>
      <w:r>
        <w:tab/>
        <w:t>the resident is a relative of the person nominated.</w:t>
      </w:r>
    </w:p>
    <w:p>
      <w:pPr>
        <w:pStyle w:val="nzHeading5"/>
      </w:pPr>
      <w:r>
        <w:t>7J.</w:t>
      </w:r>
      <w:r>
        <w:tab/>
        <w:t>Matters relating to variation and notice not to be included in residence contract</w:t>
      </w:r>
    </w:p>
    <w:p>
      <w:pPr>
        <w:pStyle w:val="nz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nzSubsection"/>
      </w:pPr>
      <w:r>
        <w:tab/>
        <w:t>(2)</w:t>
      </w:r>
      <w:r>
        <w:tab/>
        <w:t xml:space="preserve">A residence contract must not include a provision that requires a resident to give a period of notice of more than 30 days of the resident’s intention — </w:t>
      </w:r>
    </w:p>
    <w:p>
      <w:pPr>
        <w:pStyle w:val="nzIndenta"/>
      </w:pPr>
      <w:r>
        <w:tab/>
        <w:t>(a)</w:t>
      </w:r>
      <w:r>
        <w:tab/>
        <w:t>to vary the provision or availability of a personal amenity or personal service; or</w:t>
      </w:r>
    </w:p>
    <w:p>
      <w:pPr>
        <w:pStyle w:val="nzIndenta"/>
      </w:pPr>
      <w:r>
        <w:tab/>
        <w:t>(b)</w:t>
      </w:r>
      <w:r>
        <w:tab/>
        <w:t>to terminate the contract; or</w:t>
      </w:r>
    </w:p>
    <w:p>
      <w:pPr>
        <w:pStyle w:val="nzIndenta"/>
      </w:pPr>
      <w:r>
        <w:tab/>
        <w:t>(c)</w:t>
      </w:r>
      <w:r>
        <w:tab/>
        <w:t>to permanently vacate the residential premises occupied by the resident.</w:t>
      </w:r>
    </w:p>
    <w:p>
      <w:pPr>
        <w:pStyle w:val="nz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nzHeading5"/>
      </w:pPr>
      <w:r>
        <w:t>7K.</w:t>
      </w:r>
      <w:r>
        <w:tab/>
        <w:t>Financial matters not to be included in residence contract</w:t>
      </w:r>
    </w:p>
    <w:p>
      <w:pPr>
        <w:pStyle w:val="nz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nz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nz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nzHeading5"/>
      </w:pPr>
      <w:r>
        <w:t>7L.</w:t>
      </w:r>
      <w:r>
        <w:tab/>
        <w:t>Application of section 6(2) of the Act</w:t>
      </w:r>
    </w:p>
    <w:p>
      <w:pPr>
        <w:pStyle w:val="nzSubsection"/>
      </w:pPr>
      <w:r>
        <w:tab/>
      </w:r>
      <w:r>
        <w:tab/>
        <w:t>Section 6(2) of the Act does not have effect in relation to a provision listed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BlankClose"/>
      </w:pPr>
    </w:p>
    <w:p>
      <w:pPr>
        <w:pStyle w:val="nzHeading5"/>
      </w:pPr>
      <w:r>
        <w:rPr>
          <w:rStyle w:val="CharSectno"/>
        </w:rPr>
        <w:t>12</w:t>
      </w:r>
      <w:r>
        <w:t>.</w:t>
      </w:r>
      <w:r>
        <w:tab/>
        <w:t>Regulation 11 amended</w:t>
      </w:r>
    </w:p>
    <w:p>
      <w:pPr>
        <w:pStyle w:val="nzSubsection"/>
      </w:pPr>
      <w:r>
        <w:tab/>
      </w:r>
      <w:r>
        <w:tab/>
        <w:t>In regulation 11(3) and (4) delete “costs” (each occurrence) and insert:</w:t>
      </w:r>
    </w:p>
    <w:p>
      <w:pPr>
        <w:pStyle w:val="BlankOpen"/>
      </w:pPr>
    </w:p>
    <w:p>
      <w:pPr>
        <w:pStyle w:val="nzSubsection"/>
      </w:pPr>
      <w:r>
        <w:tab/>
      </w:r>
      <w:r>
        <w:tab/>
        <w:t>expenses</w:t>
      </w:r>
    </w:p>
    <w:p>
      <w:pPr>
        <w:pStyle w:val="BlankClose"/>
      </w:pPr>
    </w:p>
    <w:p>
      <w:pPr>
        <w:pStyle w:val="nzHeading5"/>
      </w:pPr>
      <w:r>
        <w:rPr>
          <w:rStyle w:val="CharSectno"/>
        </w:rPr>
        <w:t>13</w:t>
      </w:r>
      <w:r>
        <w:t>.</w:t>
      </w:r>
      <w:r>
        <w:tab/>
        <w:t>Schedule 1 amended</w:t>
      </w:r>
    </w:p>
    <w:p>
      <w:pPr>
        <w:pStyle w:val="nzSubsection"/>
      </w:pPr>
      <w:r>
        <w:tab/>
      </w:r>
      <w:r>
        <w:tab/>
        <w:t>In Schedule 1 Form 2 in the 2</w:t>
      </w:r>
      <w:r>
        <w:rPr>
          <w:vertAlign w:val="superscript"/>
        </w:rPr>
        <w:t>nd</w:t>
      </w:r>
      <w:r>
        <w:t xml:space="preserve"> item under the heading “</w:t>
      </w:r>
      <w:r>
        <w:rPr>
          <w:b/>
          <w:sz w:val="22"/>
        </w:rPr>
        <w:t>UNDER SECTION 13 —</w:t>
      </w:r>
      <w:r>
        <w:t>” after paragraph (d) insert:</w:t>
      </w:r>
    </w:p>
    <w:p>
      <w:pPr>
        <w:pStyle w:val="BlankOpen"/>
      </w:pPr>
    </w:p>
    <w:p>
      <w:pPr>
        <w:pStyle w:val="nzTable"/>
        <w:tabs>
          <w:tab w:val="left" w:pos="1418"/>
          <w:tab w:val="left" w:pos="1843"/>
        </w:tabs>
        <w:ind w:left="1843" w:hanging="1843"/>
      </w:pPr>
      <w:r>
        <w:tab/>
        <w:t>(e)</w:t>
      </w:r>
      <w:r>
        <w:tab/>
        <w:t xml:space="preserve">the documents set out in the </w:t>
      </w:r>
      <w:r>
        <w:rPr>
          <w:i/>
        </w:rPr>
        <w:t>Retirement Villages Regulations 1992</w:t>
      </w:r>
      <w:r>
        <w:t xml:space="preserve"> regulation 6;</w:t>
      </w:r>
    </w:p>
    <w:p>
      <w:pPr>
        <w:pStyle w:val="BlankClose"/>
      </w:pPr>
    </w:p>
    <w:p>
      <w:pPr>
        <w:pStyle w:val="nzHeading5"/>
      </w:pPr>
      <w:r>
        <w:rPr>
          <w:rStyle w:val="CharSectno"/>
        </w:rPr>
        <w:t>14</w:t>
      </w:r>
      <w:r>
        <w:t>.</w:t>
      </w:r>
      <w:r>
        <w:tab/>
        <w:t>Schedule 2 inserted</w:t>
      </w:r>
    </w:p>
    <w:p>
      <w:pPr>
        <w:pStyle w:val="nzSubsection"/>
      </w:pPr>
      <w:r>
        <w:tab/>
      </w:r>
      <w:r>
        <w:tab/>
        <w:t>At the end of the regulations insert:</w:t>
      </w:r>
    </w:p>
    <w:p>
      <w:pPr>
        <w:pStyle w:val="BlankOpen"/>
      </w:pPr>
    </w:p>
    <w:p>
      <w:pPr>
        <w:pStyle w:val="nzHeading2"/>
      </w:pPr>
      <w:r>
        <w:t>Schedule 2 — Provisions and matters that must be included in residence contracts</w:t>
      </w:r>
    </w:p>
    <w:p>
      <w:pPr>
        <w:pStyle w:val="nzMiscellaneousBody"/>
        <w:jc w:val="right"/>
      </w:pPr>
      <w:r>
        <w:t>[r. 7A]</w:t>
      </w:r>
    </w:p>
    <w:p>
      <w:pPr>
        <w:pStyle w:val="nzHeading5"/>
      </w:pPr>
      <w:r>
        <w:t>1.</w:t>
      </w:r>
      <w:r>
        <w:tab/>
        <w:t>Statement on terms of access to aged care services</w:t>
      </w:r>
    </w:p>
    <w:tbl>
      <w:tblPr>
        <w:tblStyle w:val="TableGrid"/>
        <w:tblW w:w="0" w:type="auto"/>
        <w:tblInd w:w="675" w:type="dxa"/>
        <w:tblLook w:val="04A0" w:firstRow="1" w:lastRow="0" w:firstColumn="1" w:lastColumn="0" w:noHBand="0" w:noVBand="1"/>
      </w:tblPr>
      <w:tblGrid>
        <w:gridCol w:w="6379"/>
      </w:tblGrid>
      <w:tr>
        <w:tc>
          <w:tcPr>
            <w:tcW w:w="6379" w:type="dxa"/>
          </w:tcPr>
          <w:p>
            <w:pPr>
              <w:pStyle w:val="nzMiscellaneousBody"/>
            </w:pPr>
            <w:r>
              <w:t xml:space="preserve">The administering body of a retirement village </w:t>
            </w:r>
            <w:r>
              <w:rPr>
                <w:b/>
              </w:rPr>
              <w:t>cannot</w:t>
            </w:r>
            <w:r>
              <w:t xml:space="preserve"> guarantee that — </w:t>
            </w:r>
          </w:p>
          <w:p>
            <w:pPr>
              <w:pStyle w:val="nzMiscellaneousBody"/>
              <w:ind w:left="1440" w:hanging="555"/>
            </w:pPr>
            <w:r>
              <w:t>(a)</w:t>
            </w:r>
            <w:r>
              <w:tab/>
              <w:t>any proposed residential aged care facility will be constructed, or that any existing residential aged care facility will continue to be available; or</w:t>
            </w:r>
          </w:p>
          <w:p>
            <w:pPr>
              <w:pStyle w:val="nzMiscellaneousBody"/>
              <w:ind w:left="1440" w:hanging="555"/>
            </w:pPr>
            <w:r>
              <w:t>(b)</w:t>
            </w:r>
            <w:r>
              <w:tab/>
              <w:t>you will be allocated a place in, or have an automatic right of transfer to, any Commonwealth funded residential aged care facility (which provides accommodation for people who can no longer live independently); or</w:t>
            </w:r>
          </w:p>
          <w:p>
            <w:pPr>
              <w:pStyle w:val="nzMiscellaneousBody"/>
              <w:ind w:left="1440" w:hanging="555"/>
            </w:pPr>
            <w:r>
              <w:t>(c)</w:t>
            </w:r>
            <w:r>
              <w:tab/>
              <w:t>you are eligible to receive Commonwealth and/or State funded community care services (which provide support to assist people to continue to live independently).</w:t>
            </w:r>
          </w:p>
          <w:p>
            <w:pPr>
              <w:pStyle w:val="nzMiscellaneousBody"/>
            </w:pPr>
            <w: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nzMiscellaneousBody"/>
            </w:pPr>
            <w:r>
              <w:rPr>
                <w:spacing w:val="-6"/>
              </w:rPr>
              <w:t xml:space="preserve">Aged care facilities and services are not regulated by the </w:t>
            </w:r>
            <w:r>
              <w:rPr>
                <w:i/>
                <w:spacing w:val="-6"/>
              </w:rPr>
              <w:t>Retirement Villages Act 1992</w:t>
            </w:r>
            <w:r>
              <w:rPr>
                <w:spacing w:val="-6"/>
              </w:rPr>
              <w:t xml:space="preserve"> (Western Australia).</w:t>
            </w:r>
          </w:p>
        </w:tc>
      </w:tr>
    </w:tbl>
    <w:p>
      <w:pPr>
        <w:pStyle w:val="nzHeading5"/>
      </w:pPr>
      <w:r>
        <w:t>2.</w:t>
      </w:r>
      <w:r>
        <w:tab/>
        <w:t>Notes</w:t>
      </w:r>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pPr>
            <w:r>
              <w:rPr>
                <w:szCs w:val="22"/>
              </w:rPr>
              <w:t>NOTES</w:t>
            </w:r>
          </w:p>
          <w:p>
            <w:pPr>
              <w:pStyle w:val="yTableNAm"/>
              <w:ind w:left="567" w:hanging="567"/>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TableNAm"/>
              <w:tabs>
                <w:tab w:val="clear" w:pos="567"/>
                <w:tab w:val="left" w:pos="743"/>
                <w:tab w:val="left" w:pos="1310"/>
              </w:tabs>
              <w:ind w:left="1310" w:hanging="1134"/>
            </w:pPr>
            <w:r>
              <w:tab/>
              <w:t>(a)</w:t>
            </w:r>
            <w:r>
              <w:tab/>
              <w:t xml:space="preserve">a residence contract’s compliance with a requirement of the </w:t>
            </w:r>
            <w:r>
              <w:rPr>
                <w:i/>
              </w:rPr>
              <w:t xml:space="preserve">Retirement Villages Regulations 1992 </w:t>
            </w:r>
            <w:r>
              <w:t>(s. 55);</w:t>
            </w:r>
          </w:p>
          <w:p>
            <w:pPr>
              <w:pStyle w:val="yTableNAm"/>
              <w:tabs>
                <w:tab w:val="clear" w:pos="567"/>
                <w:tab w:val="left" w:pos="743"/>
                <w:tab w:val="left" w:pos="1310"/>
              </w:tabs>
              <w:ind w:left="1310" w:hanging="1134"/>
            </w:pPr>
            <w:r>
              <w:tab/>
              <w:t>(b)</w:t>
            </w:r>
            <w:r>
              <w:tab/>
              <w:t>a dispute about a service contract or the variation or cancellation of the terms of a service contract (s. 56);</w:t>
            </w:r>
          </w:p>
          <w:p>
            <w:pPr>
              <w:pStyle w:val="yTableNAm"/>
              <w:tabs>
                <w:tab w:val="clear" w:pos="567"/>
                <w:tab w:val="left" w:pos="743"/>
                <w:tab w:val="left" w:pos="1310"/>
              </w:tabs>
              <w:ind w:left="1310" w:hanging="1134"/>
            </w:pPr>
            <w:r>
              <w:tab/>
              <w:t>(c)</w:t>
            </w:r>
            <w:r>
              <w:tab/>
              <w:t>an increase in recurrent charges or imposition of levy (s. 57A);</w:t>
            </w:r>
          </w:p>
          <w:p>
            <w:pPr>
              <w:pStyle w:val="yTableNAm"/>
              <w:tabs>
                <w:tab w:val="clear" w:pos="567"/>
                <w:tab w:val="left" w:pos="743"/>
                <w:tab w:val="left" w:pos="1310"/>
              </w:tabs>
              <w:ind w:left="1310" w:hanging="1134"/>
            </w:pPr>
            <w:r>
              <w:tab/>
              <w:t>(d)</w:t>
            </w:r>
            <w:r>
              <w:tab/>
              <w:t>the transfer of a resident to other accommodation in the retirement village (s. 57);</w:t>
            </w:r>
          </w:p>
          <w:p>
            <w:pPr>
              <w:pStyle w:val="yTableNAm"/>
              <w:tabs>
                <w:tab w:val="clear" w:pos="567"/>
                <w:tab w:val="left" w:pos="743"/>
                <w:tab w:val="left" w:pos="1310"/>
              </w:tabs>
              <w:ind w:left="1310" w:hanging="1134"/>
            </w:pPr>
            <w:r>
              <w:tab/>
              <w:t>(e)</w:t>
            </w:r>
            <w:r>
              <w:tab/>
              <w:t>the termination of a resident’s occupation of a retirement village (s. 58 and 59);</w:t>
            </w:r>
          </w:p>
          <w:p>
            <w:pPr>
              <w:pStyle w:val="yTableNAm"/>
              <w:tabs>
                <w:tab w:val="clear" w:pos="567"/>
                <w:tab w:val="left" w:pos="743"/>
                <w:tab w:val="left" w:pos="1310"/>
              </w:tabs>
              <w:ind w:left="1310" w:hanging="1134"/>
            </w:pPr>
            <w:r>
              <w:tab/>
              <w:t>(f)</w:t>
            </w:r>
            <w:r>
              <w:tab/>
              <w:t>the termination of a residence contract (s. 62 and 63).</w:t>
            </w:r>
          </w:p>
          <w:p>
            <w:pPr>
              <w:pStyle w:val="yTableNAm"/>
              <w:ind w:left="567" w:hanging="567"/>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TableNAm"/>
              <w:ind w:left="567" w:hanging="567"/>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nzHeading5"/>
      </w:pPr>
      <w:r>
        <w:t>3.</w:t>
      </w:r>
      <w:r>
        <w:tab/>
        <w:t>Statement about seeking independent legal and financial advice</w:t>
      </w:r>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28"/>
                <w:szCs w:val="28"/>
              </w:rPr>
            </w:pPr>
            <w:r>
              <w:rPr>
                <w:sz w:val="28"/>
                <w:szCs w:val="28"/>
              </w:rPr>
              <w:t>Prior to signing this contract you are strongly advised to obtain independent legal and financial advice about your rights and duties under the contract.</w:t>
            </w:r>
          </w:p>
        </w:tc>
      </w:tr>
    </w:tbl>
    <w:p>
      <w:pPr>
        <w:pStyle w:val="BlankClose"/>
      </w:pPr>
    </w:p>
    <w:p>
      <w:pPr>
        <w:pStyle w:val="BlankClose"/>
      </w:pPr>
    </w:p>
    <w:p>
      <w:pPr>
        <w:pStyle w:val="MiscClose"/>
        <w:rPr>
          <w:sz w:val="2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3" w:name="_Toc414973544"/>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alteration</w:t>
      </w:r>
      <w:r>
        <w:tab/>
        <w:t>Sch. 1</w:t>
      </w:r>
    </w:p>
    <w:p>
      <w:pPr>
        <w:pStyle w:val="DefinedTerms"/>
      </w:pPr>
      <w:r>
        <w:t>application fee</w:t>
      </w:r>
      <w:r>
        <w:tab/>
        <w:t>12(1)</w:t>
      </w:r>
    </w:p>
    <w:p>
      <w:pPr>
        <w:pStyle w:val="DefinedTerms"/>
      </w:pPr>
      <w:r>
        <w:t>commencement day</w:t>
      </w:r>
      <w:r>
        <w:tab/>
        <w:t>9(1), 11(1)</w:t>
      </w:r>
    </w:p>
    <w:p>
      <w:pPr>
        <w:pStyle w:val="DefinedTerms"/>
      </w:pPr>
      <w:r>
        <w:t>evidence of death</w:t>
      </w:r>
      <w:r>
        <w:tab/>
        <w:t>9(1)</w:t>
      </w:r>
    </w:p>
    <w:p>
      <w:pPr>
        <w:pStyle w:val="DefinedTerms"/>
      </w:pPr>
      <w:r>
        <w:t>former resident</w:t>
      </w:r>
      <w:r>
        <w:tab/>
        <w:t>9(2), 10(1)</w:t>
      </w:r>
    </w:p>
    <w:p>
      <w:pPr>
        <w:pStyle w:val="DefinedTerms"/>
      </w:pPr>
      <w:r>
        <w:t>maximum rate</w:t>
      </w:r>
      <w:r>
        <w:tab/>
        <w:t>10(1)</w:t>
      </w:r>
    </w:p>
    <w:p>
      <w:pPr>
        <w:pStyle w:val="DefinedTerms"/>
      </w:pPr>
      <w:r>
        <w:t>payment</w:t>
      </w:r>
      <w:r>
        <w:tab/>
        <w:t>3A(1), 11(1)</w:t>
      </w:r>
    </w:p>
    <w:p>
      <w:pPr>
        <w:pStyle w:val="DefinedTerms"/>
      </w:pPr>
      <w:r>
        <w:t>permanently vacated</w:t>
      </w:r>
      <w:r>
        <w:tab/>
        <w:t>9(2)</w:t>
      </w:r>
    </w:p>
    <w:p>
      <w:pPr>
        <w:pStyle w:val="DefinedTerms"/>
      </w:pPr>
      <w:r>
        <w:t>professional body</w:t>
      </w:r>
      <w:r>
        <w:tab/>
        <w:t>11(1)</w:t>
      </w:r>
    </w:p>
    <w:p>
      <w:pPr>
        <w:pStyle w:val="DefinedTerms"/>
      </w:pPr>
      <w:r>
        <w:t>recurrent charges</w:t>
      </w:r>
      <w:r>
        <w:tab/>
        <w:t>9(2)</w:t>
      </w:r>
    </w:p>
    <w:p>
      <w:pPr>
        <w:pStyle w:val="DefinedTerms"/>
      </w:pPr>
      <w:r>
        <w:t>security interest</w:t>
      </w:r>
      <w:r>
        <w:tab/>
        <w:t>11(1)</w:t>
      </w:r>
    </w:p>
    <w:p>
      <w:pPr>
        <w:pStyle w:val="DefinedTerms"/>
      </w:pPr>
      <w:r>
        <w:t>special resolution</w:t>
      </w:r>
      <w:r>
        <w:tab/>
        <w:t>11(1)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9D23C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6ED8CB8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5"/>
  </w:num>
  <w:num w:numId="17">
    <w:abstractNumId w:val="2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315464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12350</Words>
  <Characters>62740</Characters>
  <Application>Microsoft Office Word</Application>
  <DocSecurity>0</DocSecurity>
  <Lines>1960</Lines>
  <Paragraphs>1001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74089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1992 - 01-d0-01</dc:title>
  <dc:subject/>
  <dc:creator/>
  <cp:keywords/>
  <dc:description/>
  <cp:lastModifiedBy>svcMRProcess</cp:lastModifiedBy>
  <cp:revision>4</cp:revision>
  <cp:lastPrinted>2003-11-10T00:21:00Z</cp:lastPrinted>
  <dcterms:created xsi:type="dcterms:W3CDTF">2019-04-08T01:41:00Z</dcterms:created>
  <dcterms:modified xsi:type="dcterms:W3CDTF">2019-04-08T01:41:00Z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CommencementDate">
    <vt:lpwstr>20150401</vt:lpwstr>
  </property>
  <property fmtid="{D5CDD505-2E9C-101B-9397-08002B2CF9AE}" pid="4" name="DocumentType">
    <vt:lpwstr>Reg</vt:lpwstr>
  </property>
  <property fmtid="{D5CDD505-2E9C-101B-9397-08002B2CF9AE}" pid="5" name="OwlsUID">
    <vt:i4>4749</vt:i4>
  </property>
  <property fmtid="{D5CDD505-2E9C-101B-9397-08002B2CF9AE}" pid="6" name="AsAtDate">
    <vt:lpwstr>01 Apr 2015</vt:lpwstr>
  </property>
  <property fmtid="{D5CDD505-2E9C-101B-9397-08002B2CF9AE}" pid="7" name="Suffix">
    <vt:lpwstr>01-d0-01</vt:lpwstr>
  </property>
</Properties>
</file>