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_Toc417394920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_Toc417394921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_Toc417394922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_Toc417394923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_Toc417394924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_Toc417394925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_Toc417394926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_Toc417394927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_Toc417394928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_Toc417394929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_Toc417394930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_Toc417394931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_Toc417394932 \h </w:instrText>
      </w:r>
      <w:r>
        <w:fldChar w:fldCharType="separate"/>
      </w:r>
      <w:r>
        <w:t>6</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_Toc417394933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_Toc417394936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407186067"/>
      <w:bookmarkStart w:id="4" w:name="_Toc417394920"/>
      <w:r>
        <w:rPr>
          <w:rStyle w:val="CharSectno"/>
        </w:rPr>
        <w:t>1</w:t>
      </w:r>
      <w:r>
        <w:rPr>
          <w:snapToGrid w:val="0"/>
        </w:rPr>
        <w:t>.</w:t>
      </w:r>
      <w:r>
        <w:rPr>
          <w:snapToGrid w:val="0"/>
        </w:rPr>
        <w:tab/>
        <w:t>Citation</w:t>
      </w:r>
      <w:bookmarkEnd w:id="3"/>
      <w:bookmarkEnd w:id="4"/>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407186068"/>
      <w:bookmarkStart w:id="6" w:name="_Toc417394921"/>
      <w:r>
        <w:rPr>
          <w:rStyle w:val="CharSectno"/>
        </w:rPr>
        <w:t>2</w:t>
      </w:r>
      <w:r>
        <w:rPr>
          <w:snapToGrid w:val="0"/>
        </w:rPr>
        <w:t>.</w:t>
      </w:r>
      <w:r>
        <w:rPr>
          <w:snapToGrid w:val="0"/>
        </w:rPr>
        <w:tab/>
        <w:t>Terms used</w:t>
      </w:r>
      <w:bookmarkEnd w:id="5"/>
      <w:bookmarkEnd w:id="6"/>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7" w:name="_Toc407186069"/>
      <w:bookmarkStart w:id="8" w:name="_Toc417394922"/>
      <w:r>
        <w:rPr>
          <w:rStyle w:val="CharSectno"/>
        </w:rPr>
        <w:t>3</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9" w:name="_Toc407186070"/>
      <w:bookmarkStart w:id="10" w:name="_Toc417394923"/>
      <w:r>
        <w:rPr>
          <w:rStyle w:val="CharSectno"/>
        </w:rPr>
        <w:t>4</w:t>
      </w:r>
      <w:r>
        <w:rPr>
          <w:snapToGrid w:val="0"/>
        </w:rPr>
        <w:t>.</w:t>
      </w:r>
      <w:r>
        <w:rPr>
          <w:snapToGrid w:val="0"/>
        </w:rPr>
        <w:tab/>
        <w:t>Sampling</w:t>
      </w:r>
      <w:bookmarkEnd w:id="9"/>
      <w:bookmarkEnd w:id="10"/>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11" w:name="_Toc407186071"/>
      <w:bookmarkStart w:id="12" w:name="_Toc417394924"/>
      <w:r>
        <w:rPr>
          <w:rStyle w:val="CharSectno"/>
        </w:rPr>
        <w:t>5</w:t>
      </w:r>
      <w:r>
        <w:t>.</w:t>
      </w:r>
      <w:r>
        <w:tab/>
        <w:t>Sampling equipment</w:t>
      </w:r>
      <w:bookmarkEnd w:id="11"/>
      <w:bookmarkEnd w:id="12"/>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13" w:name="_Toc407186072"/>
      <w:bookmarkStart w:id="14" w:name="_Toc417394925"/>
      <w:r>
        <w:rPr>
          <w:rStyle w:val="CharSectno"/>
        </w:rPr>
        <w:t>6</w:t>
      </w:r>
      <w:r>
        <w:rPr>
          <w:snapToGrid w:val="0"/>
        </w:rPr>
        <w:t>.</w:t>
      </w:r>
      <w:r>
        <w:rPr>
          <w:snapToGrid w:val="0"/>
        </w:rPr>
        <w:tab/>
        <w:t>Preparation of sampling equipment</w:t>
      </w:r>
      <w:bookmarkEnd w:id="13"/>
      <w:bookmarkEnd w:id="14"/>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15" w:name="_Toc407186073"/>
      <w:bookmarkStart w:id="16" w:name="_Toc417394926"/>
      <w:r>
        <w:rPr>
          <w:rStyle w:val="CharSectno"/>
        </w:rPr>
        <w:t>7</w:t>
      </w:r>
      <w:r>
        <w:rPr>
          <w:snapToGrid w:val="0"/>
        </w:rPr>
        <w:t>.</w:t>
      </w:r>
      <w:r>
        <w:rPr>
          <w:snapToGrid w:val="0"/>
        </w:rPr>
        <w:tab/>
        <w:t>Method of sampling</w:t>
      </w:r>
      <w:bookmarkEnd w:id="15"/>
      <w:bookmarkEnd w:id="16"/>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17" w:name="_Toc407186074"/>
      <w:bookmarkStart w:id="18" w:name="_Toc417394927"/>
      <w:r>
        <w:rPr>
          <w:rStyle w:val="CharSectno"/>
        </w:rPr>
        <w:t>8</w:t>
      </w:r>
      <w:r>
        <w:rPr>
          <w:snapToGrid w:val="0"/>
        </w:rPr>
        <w:t>.</w:t>
      </w:r>
      <w:r>
        <w:rPr>
          <w:snapToGrid w:val="0"/>
        </w:rPr>
        <w:tab/>
        <w:t>Certification of blood samples</w:t>
      </w:r>
      <w:bookmarkEnd w:id="17"/>
      <w:bookmarkEnd w:id="18"/>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w:t>
      </w:r>
      <w:r>
        <w:t>police officer</w:t>
      </w:r>
      <w:r>
        <w:rPr>
          <w:snapToGrid w:val="0"/>
        </w:rPr>
        <w:t xml:space="preserve"> </w:t>
      </w:r>
      <w:r>
        <w:t>mentioned in this regulation.</w:t>
      </w:r>
    </w:p>
    <w:p>
      <w:pPr>
        <w:pStyle w:val="Footnotesection"/>
      </w:pPr>
      <w:r>
        <w:tab/>
        <w:t>[Regulation 8 amended in Gazette 2 Feb 1982 p. 398; 30 Jan 2001 p. 624 and 625; 8 Jan 2010 p. 33; 23 Dec 2014 p. 4916.]</w:t>
      </w:r>
    </w:p>
    <w:p>
      <w:pPr>
        <w:pStyle w:val="Heading5"/>
        <w:rPr>
          <w:snapToGrid w:val="0"/>
        </w:rPr>
      </w:pPr>
      <w:bookmarkStart w:id="19" w:name="_Toc407186075"/>
      <w:bookmarkStart w:id="20" w:name="_Toc417394928"/>
      <w:r>
        <w:rPr>
          <w:rStyle w:val="CharSectno"/>
        </w:rPr>
        <w:t>9</w:t>
      </w:r>
      <w:r>
        <w:rPr>
          <w:snapToGrid w:val="0"/>
        </w:rPr>
        <w:t>.</w:t>
      </w:r>
      <w:r>
        <w:rPr>
          <w:snapToGrid w:val="0"/>
        </w:rPr>
        <w:tab/>
        <w:t>Analytical method</w:t>
      </w:r>
      <w:bookmarkEnd w:id="19"/>
      <w:bookmarkEnd w:id="20"/>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21" w:name="_Toc407186076"/>
      <w:bookmarkStart w:id="22" w:name="_Toc417394929"/>
      <w:r>
        <w:rPr>
          <w:rStyle w:val="CharSectno"/>
        </w:rPr>
        <w:t>10</w:t>
      </w:r>
      <w:r>
        <w:rPr>
          <w:snapToGrid w:val="0"/>
        </w:rPr>
        <w:t>.</w:t>
      </w:r>
      <w:r>
        <w:rPr>
          <w:snapToGrid w:val="0"/>
        </w:rPr>
        <w:tab/>
        <w:t>Certificate of analyst</w:t>
      </w:r>
      <w:bookmarkEnd w:id="21"/>
      <w:bookmarkEnd w:id="22"/>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23" w:name="_Toc407186077"/>
      <w:bookmarkStart w:id="24" w:name="_Toc417394930"/>
      <w:r>
        <w:rPr>
          <w:rStyle w:val="CharSectno"/>
        </w:rPr>
        <w:t>12</w:t>
      </w:r>
      <w:r>
        <w:rPr>
          <w:snapToGrid w:val="0"/>
        </w:rPr>
        <w:t>.</w:t>
      </w:r>
      <w:r>
        <w:rPr>
          <w:snapToGrid w:val="0"/>
        </w:rPr>
        <w:tab/>
        <w:t>Request for taking of blood sample</w:t>
      </w:r>
      <w:bookmarkEnd w:id="23"/>
      <w:bookmarkEnd w:id="24"/>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 23 Dec 2014 p. 4916.]</w:t>
      </w:r>
    </w:p>
    <w:p>
      <w:pPr>
        <w:pStyle w:val="Heading5"/>
        <w:rPr>
          <w:snapToGrid w:val="0"/>
        </w:rPr>
      </w:pPr>
      <w:bookmarkStart w:id="25" w:name="_Toc407186078"/>
      <w:bookmarkStart w:id="26" w:name="_Toc417394931"/>
      <w:r>
        <w:rPr>
          <w:rStyle w:val="CharSectno"/>
        </w:rPr>
        <w:t>13</w:t>
      </w:r>
      <w:r>
        <w:rPr>
          <w:snapToGrid w:val="0"/>
        </w:rPr>
        <w:t>.</w:t>
      </w:r>
      <w:r>
        <w:rPr>
          <w:snapToGrid w:val="0"/>
        </w:rPr>
        <w:tab/>
        <w:t>Certificate as to competence of analyst</w:t>
      </w:r>
      <w:bookmarkEnd w:id="25"/>
      <w:bookmarkEnd w:id="2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27" w:name="_Toc407186079"/>
      <w:bookmarkStart w:id="28" w:name="_Toc417394932"/>
      <w:r>
        <w:rPr>
          <w:rStyle w:val="CharSectno"/>
        </w:rPr>
        <w:t>14</w:t>
      </w:r>
      <w:r>
        <w:rPr>
          <w:snapToGrid w:val="0"/>
        </w:rPr>
        <w:t>.</w:t>
      </w:r>
      <w:r>
        <w:rPr>
          <w:snapToGrid w:val="0"/>
        </w:rPr>
        <w:tab/>
        <w:t>Certificate as to competence of drug analyst</w:t>
      </w:r>
      <w:bookmarkEnd w:id="27"/>
      <w:bookmarkEnd w:id="28"/>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pStyle w:val="Heading5"/>
      </w:pPr>
      <w:bookmarkStart w:id="29" w:name="_Toc417394933"/>
      <w:r>
        <w:rPr>
          <w:rStyle w:val="CharSectno"/>
        </w:rPr>
        <w:t>15</w:t>
      </w:r>
      <w:r>
        <w:t>.</w:t>
      </w:r>
      <w:r>
        <w:tab/>
        <w:t>Fees for attendance, analysis</w:t>
      </w:r>
      <w:bookmarkEnd w:id="29"/>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blood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in Gazette 23 Dec 2014 p. 4915</w:t>
      </w:r>
      <w:r>
        <w:noBreakHyphen/>
        <w:t>16.]</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0" w:name="_Toc407180035"/>
      <w:bookmarkStart w:id="31" w:name="_Toc407186080"/>
      <w:bookmarkStart w:id="32" w:name="_Toc417032387"/>
      <w:bookmarkStart w:id="33" w:name="_Toc417032608"/>
      <w:bookmarkStart w:id="34" w:name="_Toc417394581"/>
      <w:bookmarkStart w:id="35" w:name="_Toc417394934"/>
      <w:r>
        <w:rPr>
          <w:rStyle w:val="CharSchNo"/>
        </w:rPr>
        <w:t>Schedule</w:t>
      </w:r>
      <w:bookmarkEnd w:id="30"/>
      <w:bookmarkEnd w:id="31"/>
      <w:bookmarkEnd w:id="32"/>
      <w:bookmarkEnd w:id="33"/>
      <w:bookmarkEnd w:id="34"/>
      <w:bookmarkEnd w:id="35"/>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 23 Dec 2014 p. 4916.]</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police officer,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 23 Dec 2014 p. 4916.]</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7" w:name="_Toc407180036"/>
      <w:bookmarkStart w:id="38" w:name="_Toc407186081"/>
      <w:bookmarkStart w:id="39" w:name="_Toc417032388"/>
      <w:bookmarkStart w:id="40" w:name="_Toc417032609"/>
      <w:bookmarkStart w:id="41" w:name="_Toc417394582"/>
      <w:bookmarkStart w:id="42" w:name="_Toc417394935"/>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407186082"/>
      <w:bookmarkStart w:id="44" w:name="_Toc417394936"/>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Borders>
              <w:bottom w:val="single" w:sz="4" w:space="0" w:color="auto"/>
            </w:tcBorders>
          </w:tcPr>
          <w:p>
            <w:pPr>
              <w:pStyle w:val="nTable"/>
              <w:spacing w:after="40"/>
              <w:ind w:right="113"/>
              <w:rPr>
                <w:i/>
              </w:rPr>
            </w:pPr>
            <w:r>
              <w:rPr>
                <w:i/>
              </w:rPr>
              <w:t>Road Traffic (Repeals and Amendment) Regulations 2014</w:t>
            </w:r>
            <w:r>
              <w:t> Pt. 3</w:t>
            </w:r>
          </w:p>
        </w:tc>
        <w:tc>
          <w:tcPr>
            <w:tcW w:w="1276" w:type="dxa"/>
            <w:tcBorders>
              <w:bottom w:val="single" w:sz="4" w:space="0" w:color="auto"/>
            </w:tcBorders>
          </w:tcPr>
          <w:p>
            <w:pPr>
              <w:pStyle w:val="nTable"/>
              <w:spacing w:after="40"/>
            </w:pPr>
            <w:r>
              <w:t>23 Dec 2014 p. 4913</w:t>
            </w:r>
            <w:r>
              <w:noBreakHyphen/>
              <w:t>38</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bl>
    <w:p/>
    <w:p>
      <w:pPr>
        <w:rPr>
          <w:iCs/>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46" w:name="_Toc417032612"/>
      <w:bookmarkStart w:id="47" w:name="_Toc417394584"/>
      <w:bookmarkStart w:id="48" w:name="_Toc417394937"/>
      <w:r>
        <w:rPr>
          <w:sz w:val="28"/>
        </w:rPr>
        <w:t>Defined terms</w:t>
      </w:r>
      <w:bookmarkEnd w:id="46"/>
      <w:bookmarkEnd w:id="47"/>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19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3333</Words>
  <Characters>19268</Characters>
  <Application>Microsoft Office Word</Application>
  <DocSecurity>0</DocSecurity>
  <Lines>566</Lines>
  <Paragraphs>358</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1975 - 04-e0-03</dc:title>
  <dc:subject/>
  <dc:creator/>
  <cp:keywords/>
  <dc:description/>
  <cp:lastModifiedBy>svcMRProcess</cp:lastModifiedBy>
  <cp:revision>4</cp:revision>
  <cp:lastPrinted>2010-03-19T06:19:00Z</cp:lastPrinted>
  <dcterms:created xsi:type="dcterms:W3CDTF">2015-12-01T04:55:00Z</dcterms:created>
  <dcterms:modified xsi:type="dcterms:W3CDTF">2015-12-01T04:55:00Z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AsAtDate">
    <vt:lpwstr>27 Apr 2015</vt:lpwstr>
  </property>
  <property fmtid="{D5CDD505-2E9C-101B-9397-08002B2CF9AE}" pid="7" name="Suffix">
    <vt:lpwstr>04-e0-03</vt:lpwstr>
  </property>
  <property fmtid="{D5CDD505-2E9C-101B-9397-08002B2CF9AE}" pid="8" name="CommencementDate">
    <vt:lpwstr>20150427</vt:lpwstr>
  </property>
</Properties>
</file>