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Bentley Hospital By-laws 2001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Bentley Hospital By-laws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_Toc417551329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_Toc417551330 \h </w:instrText>
      </w:r>
      <w:r>
        <w:fldChar w:fldCharType="separate"/>
      </w:r>
      <w:r>
        <w:t>1</w:t>
      </w:r>
      <w:r>
        <w:fldChar w:fldCharType="end"/>
      </w:r>
    </w:p>
    <w:p>
      <w:pPr>
        <w:pStyle w:val="TOC8"/>
        <w:rPr>
          <w:rFonts w:asciiTheme="minorHAnsi" w:eastAsiaTheme="minorEastAsia" w:hAnsiTheme="minorHAnsi" w:cstheme="minorBidi"/>
          <w:szCs w:val="22"/>
        </w:rPr>
      </w:pPr>
      <w:r>
        <w:t>3A.</w:t>
      </w:r>
      <w:r>
        <w:tab/>
        <w:t>Appointment of authorised persons</w:t>
      </w:r>
      <w:r>
        <w:tab/>
      </w:r>
      <w:r>
        <w:fldChar w:fldCharType="begin"/>
      </w:r>
      <w:r>
        <w:instrText xml:space="preserve"> PAGEREF _Toc417551331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_Toc417551333 \h </w:instrText>
      </w:r>
      <w:r>
        <w:fldChar w:fldCharType="separate"/>
      </w:r>
      <w:r>
        <w:t>4</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_Toc417551334 \h </w:instrText>
      </w:r>
      <w:r>
        <w:fldChar w:fldCharType="separate"/>
      </w:r>
      <w:r>
        <w:t>4</w:t>
      </w:r>
      <w:r>
        <w:fldChar w:fldCharType="end"/>
      </w:r>
    </w:p>
    <w:p>
      <w:pPr>
        <w:pStyle w:val="TOC8"/>
        <w:rPr>
          <w:rFonts w:asciiTheme="minorHAnsi" w:eastAsiaTheme="minorEastAsia" w:hAnsiTheme="minorHAnsi" w:cstheme="minorBidi"/>
          <w:szCs w:val="22"/>
        </w:rPr>
      </w:pPr>
      <w:r>
        <w:t>5.</w:t>
      </w:r>
      <w:r>
        <w:tab/>
        <w:t>Prohibited items</w:t>
      </w:r>
      <w:r>
        <w:tab/>
      </w:r>
      <w:r>
        <w:fldChar w:fldCharType="begin"/>
      </w:r>
      <w:r>
        <w:instrText xml:space="preserve"> PAGEREF _Toc417551335 \h </w:instrText>
      </w:r>
      <w:r>
        <w:fldChar w:fldCharType="separate"/>
      </w:r>
      <w:r>
        <w:t>4</w:t>
      </w:r>
      <w:r>
        <w:fldChar w:fldCharType="end"/>
      </w:r>
    </w:p>
    <w:p>
      <w:pPr>
        <w:pStyle w:val="TOC8"/>
        <w:rPr>
          <w:rFonts w:asciiTheme="minorHAnsi" w:eastAsiaTheme="minorEastAsia" w:hAnsiTheme="minorHAnsi" w:cstheme="minorBidi"/>
          <w:szCs w:val="22"/>
        </w:rPr>
      </w:pPr>
      <w:r>
        <w:t>6.</w:t>
      </w:r>
      <w:r>
        <w:tab/>
        <w:t>Smoking</w:t>
      </w:r>
      <w:r>
        <w:tab/>
      </w:r>
      <w:r>
        <w:fldChar w:fldCharType="begin"/>
      </w:r>
      <w:r>
        <w:instrText xml:space="preserve"> PAGEREF _Toc417551336 \h </w:instrText>
      </w:r>
      <w:r>
        <w:fldChar w:fldCharType="separate"/>
      </w:r>
      <w:r>
        <w:t>5</w:t>
      </w:r>
      <w:r>
        <w:fldChar w:fldCharType="end"/>
      </w:r>
    </w:p>
    <w:p>
      <w:pPr>
        <w:pStyle w:val="TOC8"/>
        <w:rPr>
          <w:rFonts w:asciiTheme="minorHAnsi" w:eastAsiaTheme="minorEastAsia" w:hAnsiTheme="minorHAnsi" w:cstheme="minorBidi"/>
          <w:szCs w:val="22"/>
        </w:rPr>
      </w:pPr>
      <w:r>
        <w:t>7.</w:t>
      </w:r>
      <w:r>
        <w:tab/>
        <w:t>Persons may be directed to leave site</w:t>
      </w:r>
      <w:r>
        <w:tab/>
      </w:r>
      <w:r>
        <w:fldChar w:fldCharType="begin"/>
      </w:r>
      <w:r>
        <w:instrText xml:space="preserve"> PAGEREF _Toc417551337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_Toc417551340 \h </w:instrText>
      </w:r>
      <w:r>
        <w:fldChar w:fldCharType="separate"/>
      </w:r>
      <w:r>
        <w:t>7</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_Toc417551341 \h </w:instrText>
      </w:r>
      <w:r>
        <w:fldChar w:fldCharType="separate"/>
      </w:r>
      <w:r>
        <w:t>7</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_Toc417551342 \h </w:instrText>
      </w:r>
      <w:r>
        <w:fldChar w:fldCharType="separate"/>
      </w:r>
      <w:r>
        <w:t>7</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_Toc417551343 \h </w:instrText>
      </w:r>
      <w:r>
        <w:fldChar w:fldCharType="separate"/>
      </w:r>
      <w:r>
        <w:t>8</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_Toc417551344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_Toc417551346 \h </w:instrText>
      </w:r>
      <w:r>
        <w:fldChar w:fldCharType="separate"/>
      </w:r>
      <w:r>
        <w:t>8</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_Toc417551347 \h </w:instrText>
      </w:r>
      <w:r>
        <w:fldChar w:fldCharType="separate"/>
      </w:r>
      <w:r>
        <w:t>9</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_Toc417551348 \h </w:instrText>
      </w:r>
      <w:r>
        <w:fldChar w:fldCharType="separate"/>
      </w:r>
      <w:r>
        <w:t>9</w:t>
      </w:r>
      <w:r>
        <w:fldChar w:fldCharType="end"/>
      </w:r>
    </w:p>
    <w:p>
      <w:pPr>
        <w:pStyle w:val="TOC8"/>
        <w:rPr>
          <w:rFonts w:asciiTheme="minorHAnsi" w:eastAsiaTheme="minorEastAsia" w:hAnsiTheme="minorHAnsi" w:cstheme="minorBidi"/>
          <w:szCs w:val="22"/>
        </w:rPr>
      </w:pPr>
      <w:r>
        <w:t>16.</w:t>
      </w:r>
      <w:r>
        <w:tab/>
      </w:r>
      <w:r>
        <w:rPr>
          <w:snapToGrid w:val="0"/>
        </w:rPr>
        <w:t>Permit</w:t>
      </w:r>
      <w:r>
        <w:tab/>
      </w:r>
      <w:r>
        <w:fldChar w:fldCharType="begin"/>
      </w:r>
      <w:r>
        <w:instrText xml:space="preserve"> PAGEREF _Toc417551349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Interpretation</w:t>
      </w:r>
      <w:r>
        <w:tab/>
      </w:r>
      <w:r>
        <w:fldChar w:fldCharType="begin"/>
      </w:r>
      <w:r>
        <w:instrText xml:space="preserve"> PAGEREF _Toc417551351 \h </w:instrText>
      </w:r>
      <w:r>
        <w:fldChar w:fldCharType="separate"/>
      </w:r>
      <w:r>
        <w:t>12</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_Toc417551352 \h </w:instrText>
      </w:r>
      <w:r>
        <w:fldChar w:fldCharType="separate"/>
      </w:r>
      <w:r>
        <w:t>12</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_Toc417551353 \h </w:instrText>
      </w:r>
      <w:r>
        <w:fldChar w:fldCharType="separate"/>
      </w:r>
      <w:r>
        <w:t>13</w:t>
      </w:r>
      <w:r>
        <w:fldChar w:fldCharType="end"/>
      </w:r>
    </w:p>
    <w:p>
      <w:pPr>
        <w:pStyle w:val="TOC8"/>
        <w:rPr>
          <w:rFonts w:asciiTheme="minorHAnsi" w:eastAsiaTheme="minorEastAsia" w:hAnsiTheme="minorHAnsi" w:cstheme="minorBidi"/>
          <w:szCs w:val="22"/>
        </w:rPr>
      </w:pPr>
      <w:r>
        <w:t>20.</w:t>
      </w:r>
      <w:r>
        <w:tab/>
        <w:t>Authorised persons to produce certificate</w:t>
      </w:r>
      <w:r>
        <w:tab/>
      </w:r>
      <w:r>
        <w:fldChar w:fldCharType="begin"/>
      </w:r>
      <w:r>
        <w:instrText xml:space="preserve"> PAGEREF _Toc417551354 \h </w:instrText>
      </w:r>
      <w:r>
        <w:fldChar w:fldCharType="separate"/>
      </w:r>
      <w:r>
        <w:t>13</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_Toc417551355 \h </w:instrText>
      </w:r>
      <w:r>
        <w:fldChar w:fldCharType="separate"/>
      </w:r>
      <w:r>
        <w:t>14</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_Toc417551356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_Toc417551358 \h </w:instrText>
      </w:r>
      <w:r>
        <w:fldChar w:fldCharType="separate"/>
      </w:r>
      <w:r>
        <w:t>15</w:t>
      </w:r>
      <w:r>
        <w:fldChar w:fldCharType="end"/>
      </w:r>
    </w:p>
    <w:p>
      <w:pPr>
        <w:pStyle w:val="TOC8"/>
        <w:rPr>
          <w:rFonts w:asciiTheme="minorHAnsi" w:eastAsiaTheme="minorEastAsia" w:hAnsiTheme="minorHAnsi" w:cstheme="minorBidi"/>
          <w:szCs w:val="22"/>
        </w:rPr>
      </w:pPr>
      <w:r>
        <w:t>24.</w:t>
      </w:r>
      <w:r>
        <w:tab/>
      </w:r>
      <w:r>
        <w:rPr>
          <w:snapToGrid w:val="0"/>
        </w:rPr>
        <w:t>Responsible person may be treated as driver or person in charge of vehicle</w:t>
      </w:r>
      <w:r>
        <w:tab/>
      </w:r>
      <w:r>
        <w:fldChar w:fldCharType="begin"/>
      </w:r>
      <w:r>
        <w:instrText xml:space="preserve"> PAGEREF _Toc417551359 \h </w:instrText>
      </w:r>
      <w:r>
        <w:fldChar w:fldCharType="separate"/>
      </w:r>
      <w:r>
        <w:t>15</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_Toc417551360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_Toc417551364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Hospitals and Health Services Act 1927</w:t>
      </w:r>
    </w:p>
    <w:p>
      <w:pPr>
        <w:pStyle w:val="NameofActReg"/>
      </w:pPr>
      <w:r>
        <w:t>Bentley Hospital By-laws 2001</w:t>
      </w:r>
    </w:p>
    <w:p>
      <w:pPr>
        <w:pStyle w:val="Heading2"/>
        <w:pageBreakBefore w:val="0"/>
      </w:pPr>
      <w:bookmarkStart w:id="3" w:name="_Toc408567540"/>
      <w:bookmarkStart w:id="4" w:name="_Toc408568333"/>
      <w:bookmarkStart w:id="5" w:name="_Toc414961867"/>
      <w:bookmarkStart w:id="6" w:name="_Toc414961904"/>
      <w:bookmarkStart w:id="7" w:name="_Toc416707768"/>
      <w:bookmarkStart w:id="8" w:name="_Toc416711424"/>
      <w:bookmarkStart w:id="9" w:name="_Toc41755132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p>
    <w:p>
      <w:pPr>
        <w:pStyle w:val="Heading5"/>
      </w:pPr>
      <w:bookmarkStart w:id="10" w:name="_Toc408568334"/>
      <w:bookmarkStart w:id="11" w:name="_Toc417551329"/>
      <w:r>
        <w:rPr>
          <w:rStyle w:val="CharSectno"/>
        </w:rPr>
        <w:t>1</w:t>
      </w:r>
      <w:r>
        <w:t>.</w:t>
      </w:r>
      <w:r>
        <w:tab/>
        <w:t>Citation</w:t>
      </w:r>
      <w:bookmarkEnd w:id="10"/>
      <w:bookmarkEnd w:id="11"/>
    </w:p>
    <w:p>
      <w:pPr>
        <w:pStyle w:val="Subsection"/>
        <w:ind w:right="707"/>
        <w:rPr>
          <w:i/>
        </w:rPr>
      </w:pPr>
      <w:r>
        <w:tab/>
      </w:r>
      <w:r>
        <w:tab/>
      </w:r>
      <w:r>
        <w:rPr>
          <w:spacing w:val="-2"/>
        </w:rPr>
        <w:t>These by-laws</w:t>
      </w:r>
      <w:r>
        <w:t xml:space="preserve"> may be cited as the </w:t>
      </w:r>
      <w:r>
        <w:rPr>
          <w:i/>
        </w:rPr>
        <w:t>Bentley Hospital By</w:t>
      </w:r>
      <w:r>
        <w:rPr>
          <w:i/>
        </w:rPr>
        <w:noBreakHyphen/>
        <w:t>laws 2001.</w:t>
      </w:r>
    </w:p>
    <w:p>
      <w:pPr>
        <w:pStyle w:val="Heading5"/>
      </w:pPr>
      <w:bookmarkStart w:id="12" w:name="_Toc408568335"/>
      <w:bookmarkStart w:id="13" w:name="_Toc417551330"/>
      <w:r>
        <w:rPr>
          <w:rStyle w:val="CharSectno"/>
        </w:rPr>
        <w:t>2</w:t>
      </w:r>
      <w:r>
        <w:t>.</w:t>
      </w:r>
      <w:r>
        <w:tab/>
        <w:t>Interpretation</w:t>
      </w:r>
      <w:bookmarkEnd w:id="12"/>
      <w:bookmarkEnd w:id="13"/>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xml:space="preserve"> means the board of the Bentley Hospital;</w:t>
      </w:r>
    </w:p>
    <w:p>
      <w:pPr>
        <w:pStyle w:val="Defstart"/>
      </w:pPr>
      <w:r>
        <w:rPr>
          <w:b/>
        </w:rPr>
        <w:tab/>
      </w:r>
      <w:r>
        <w:rPr>
          <w:rStyle w:val="CharDefText"/>
        </w:rPr>
        <w:t>chief executive officer</w:t>
      </w:r>
      <w:r>
        <w:t xml:space="preserve"> means the person in charge of the day to day management of the affairs of the Bentley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as defined in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from time to time within lot 4196 on Part Reserve 43211 and lot 7 on Part Reserve 32081;</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[By-law 2 amended in Gazette 8 Jan 2015 p. 173</w:t>
      </w:r>
      <w:r>
        <w:noBreakHyphen/>
        <w:t>4; 14 Apr 2015 p. 1328.]</w:t>
      </w:r>
    </w:p>
    <w:p>
      <w:pPr>
        <w:pStyle w:val="Heading5"/>
      </w:pPr>
      <w:bookmarkStart w:id="14" w:name="_Toc417551331"/>
      <w:bookmarkStart w:id="15" w:name="_Toc408567543"/>
      <w:bookmarkStart w:id="16" w:name="_Toc408568336"/>
      <w:bookmarkStart w:id="17" w:name="_Toc414961870"/>
      <w:bookmarkStart w:id="18" w:name="_Toc414961907"/>
      <w:r>
        <w:rPr>
          <w:rStyle w:val="CharSectno"/>
        </w:rPr>
        <w:t>3A</w:t>
      </w:r>
      <w:r>
        <w:t>.</w:t>
      </w:r>
      <w:r>
        <w:tab/>
        <w:t>Appointment of authorised persons</w:t>
      </w:r>
      <w:bookmarkEnd w:id="14"/>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[By-law 3A inserted in Gazette 14 Apr 2015 p. 1328</w:t>
      </w:r>
      <w:r>
        <w:noBreakHyphen/>
        <w:t>9.]</w:t>
      </w:r>
    </w:p>
    <w:p>
      <w:pPr>
        <w:pStyle w:val="Heading2"/>
      </w:pPr>
      <w:bookmarkStart w:id="19" w:name="_Toc416707772"/>
      <w:bookmarkStart w:id="20" w:name="_Toc416711428"/>
      <w:bookmarkStart w:id="21" w:name="_Toc417551332"/>
      <w:r>
        <w:rPr>
          <w:rStyle w:val="CharPartNo"/>
        </w:rPr>
        <w:t>Part 2</w:t>
      </w:r>
      <w:r>
        <w:rPr>
          <w:rStyle w:val="CharDivText"/>
        </w:rPr>
        <w:t xml:space="preserve"> </w:t>
      </w:r>
      <w:r>
        <w:t>—</w:t>
      </w:r>
      <w:r>
        <w:rPr>
          <w:rStyle w:val="CharDivText"/>
        </w:rPr>
        <w:t xml:space="preserve"> </w:t>
      </w:r>
      <w:r>
        <w:rPr>
          <w:rStyle w:val="CharPartText"/>
        </w:rPr>
        <w:t>Trespass and order</w:t>
      </w:r>
      <w:bookmarkEnd w:id="15"/>
      <w:bookmarkEnd w:id="16"/>
      <w:bookmarkEnd w:id="17"/>
      <w:bookmarkEnd w:id="18"/>
      <w:bookmarkEnd w:id="19"/>
      <w:bookmarkEnd w:id="20"/>
      <w:bookmarkEnd w:id="21"/>
    </w:p>
    <w:p>
      <w:pPr>
        <w:pStyle w:val="Heading5"/>
        <w:rPr>
          <w:snapToGrid w:val="0"/>
        </w:rPr>
      </w:pPr>
      <w:bookmarkStart w:id="22" w:name="_Toc408568337"/>
      <w:bookmarkStart w:id="23" w:name="_Toc417551333"/>
      <w:r>
        <w:rPr>
          <w:rStyle w:val="CharSectno"/>
        </w:rPr>
        <w:t>3.</w:t>
      </w:r>
      <w:r>
        <w:rPr>
          <w:rStyle w:val="CharSectno"/>
        </w:rPr>
        <w:tab/>
      </w:r>
      <w:r>
        <w:rPr>
          <w:snapToGrid w:val="0"/>
        </w:rPr>
        <w:t>No entry without cause</w:t>
      </w:r>
      <w:bookmarkEnd w:id="22"/>
      <w:bookmarkEnd w:id="23"/>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24" w:name="_Toc408568338"/>
      <w:r>
        <w:tab/>
        <w:t>[By-law 3 amended in Gazette 14 Apr 2015 p. 1330.]</w:t>
      </w:r>
    </w:p>
    <w:p>
      <w:pPr>
        <w:pStyle w:val="Heading5"/>
        <w:rPr>
          <w:snapToGrid w:val="0"/>
        </w:rPr>
      </w:pPr>
      <w:bookmarkStart w:id="25" w:name="_Toc417551334"/>
      <w:r>
        <w:rPr>
          <w:rStyle w:val="CharSectno"/>
        </w:rPr>
        <w:t>4.</w:t>
      </w:r>
      <w:r>
        <w:rPr>
          <w:rStyle w:val="CharSectno"/>
        </w:rPr>
        <w:tab/>
      </w:r>
      <w:r>
        <w:rPr>
          <w:snapToGrid w:val="0"/>
        </w:rPr>
        <w:t>Directions as to use of certain areas</w:t>
      </w:r>
      <w:bookmarkEnd w:id="24"/>
      <w:bookmarkEnd w:id="25"/>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26" w:name="_Toc408568339"/>
      <w:r>
        <w:tab/>
        <w:t>[By-law 4 amended in Gazette 14 Apr 2015 p. 1330.]</w:t>
      </w:r>
    </w:p>
    <w:p>
      <w:pPr>
        <w:pStyle w:val="Heading5"/>
      </w:pPr>
      <w:bookmarkStart w:id="27" w:name="_Toc417551335"/>
      <w:r>
        <w:rPr>
          <w:rStyle w:val="CharSectno"/>
        </w:rPr>
        <w:t>5</w:t>
      </w:r>
      <w:r>
        <w:t>.</w:t>
      </w:r>
      <w:r>
        <w:tab/>
        <w:t>Prohibited items</w:t>
      </w:r>
      <w:bookmarkEnd w:id="27"/>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5 inserted in Gazette 14 Apr 2015 p. 1329.]</w:t>
      </w:r>
    </w:p>
    <w:p>
      <w:pPr>
        <w:pStyle w:val="Heading5"/>
      </w:pPr>
      <w:bookmarkStart w:id="28" w:name="_Toc408568340"/>
      <w:bookmarkStart w:id="29" w:name="_Toc417551336"/>
      <w:bookmarkEnd w:id="26"/>
      <w:r>
        <w:rPr>
          <w:rStyle w:val="CharSectno"/>
        </w:rPr>
        <w:t>6</w:t>
      </w:r>
      <w:r>
        <w:t>.</w:t>
      </w:r>
      <w:r>
        <w:tab/>
        <w:t>Smoking</w:t>
      </w:r>
      <w:bookmarkEnd w:id="28"/>
      <w:bookmarkEnd w:id="29"/>
    </w:p>
    <w:p>
      <w:pPr>
        <w:pStyle w:val="Subsection"/>
        <w:rPr>
          <w:snapToGrid w:val="0"/>
        </w:rPr>
      </w:pPr>
      <w:r>
        <w:tab/>
      </w:r>
      <w:r>
        <w:tab/>
      </w:r>
      <w:r>
        <w:rPr>
          <w:snapToGrid w:val="0"/>
        </w:rPr>
        <w:t>A person must not smoke on the site.</w:t>
      </w:r>
    </w:p>
    <w:p>
      <w:pPr>
        <w:pStyle w:val="Penstart"/>
      </w:pPr>
      <w:r>
        <w:tab/>
        <w:t>Penalty: a fine of $50.</w:t>
      </w:r>
    </w:p>
    <w:p>
      <w:pPr>
        <w:pStyle w:val="Footnotesection"/>
      </w:pPr>
      <w:r>
        <w:tab/>
        <w:t>[By-law 6 inserted in Gazette 12 Feb 2008 p. 339</w:t>
      </w:r>
      <w:r>
        <w:noBreakHyphen/>
        <w:t>40; amended in Gazette 14 Apr 2015 p. 1330.]</w:t>
      </w:r>
    </w:p>
    <w:p>
      <w:pPr>
        <w:pStyle w:val="Heading5"/>
      </w:pPr>
      <w:bookmarkStart w:id="30" w:name="_Toc417551337"/>
      <w:bookmarkStart w:id="31" w:name="_Toc408568341"/>
      <w:r>
        <w:rPr>
          <w:rStyle w:val="CharSectno"/>
        </w:rPr>
        <w:t>7</w:t>
      </w:r>
      <w:r>
        <w:t>.</w:t>
      </w:r>
      <w:r>
        <w:tab/>
        <w:t>Persons may be directed to leave site</w:t>
      </w:r>
      <w:bookmarkEnd w:id="30"/>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[By-law 7 inserted in Gazette 14 Apr 2015 p. 1329</w:t>
      </w:r>
      <w:r>
        <w:noBreakHyphen/>
        <w:t>30.]</w:t>
      </w:r>
    </w:p>
    <w:p>
      <w:pPr>
        <w:pStyle w:val="Heading2"/>
      </w:pPr>
      <w:bookmarkStart w:id="32" w:name="_Toc408567549"/>
      <w:bookmarkStart w:id="33" w:name="_Toc408568342"/>
      <w:bookmarkStart w:id="34" w:name="_Toc414961876"/>
      <w:bookmarkStart w:id="35" w:name="_Toc414961913"/>
      <w:bookmarkStart w:id="36" w:name="_Toc416707778"/>
      <w:bookmarkStart w:id="37" w:name="_Toc416711434"/>
      <w:bookmarkStart w:id="38" w:name="_Toc417551338"/>
      <w:bookmarkEnd w:id="31"/>
      <w:r>
        <w:rPr>
          <w:rStyle w:val="CharPartNo"/>
        </w:rPr>
        <w:t>Part 3</w:t>
      </w:r>
      <w:r>
        <w:t xml:space="preserve"> — </w:t>
      </w:r>
      <w:r>
        <w:rPr>
          <w:rStyle w:val="CharPartText"/>
        </w:rPr>
        <w:t>Traffic control</w:t>
      </w:r>
      <w:bookmarkEnd w:id="32"/>
      <w:bookmarkEnd w:id="33"/>
      <w:bookmarkEnd w:id="34"/>
      <w:bookmarkEnd w:id="35"/>
      <w:bookmarkEnd w:id="36"/>
      <w:bookmarkEnd w:id="37"/>
      <w:bookmarkEnd w:id="38"/>
    </w:p>
    <w:p>
      <w:pPr>
        <w:pStyle w:val="Heading3"/>
      </w:pPr>
      <w:bookmarkStart w:id="39" w:name="_Toc408567550"/>
      <w:bookmarkStart w:id="40" w:name="_Toc408568343"/>
      <w:bookmarkStart w:id="41" w:name="_Toc414961877"/>
      <w:bookmarkStart w:id="42" w:name="_Toc414961914"/>
      <w:bookmarkStart w:id="43" w:name="_Toc416707779"/>
      <w:bookmarkStart w:id="44" w:name="_Toc416711435"/>
      <w:bookmarkStart w:id="45" w:name="_Toc417551339"/>
      <w:r>
        <w:rPr>
          <w:rStyle w:val="CharDivNo"/>
        </w:rPr>
        <w:t>Division 1</w:t>
      </w:r>
      <w:r>
        <w:t xml:space="preserve"> — </w:t>
      </w:r>
      <w:r>
        <w:rPr>
          <w:rStyle w:val="CharDivText"/>
        </w:rPr>
        <w:t>Driving and use of vehicles</w:t>
      </w:r>
      <w:bookmarkEnd w:id="39"/>
      <w:bookmarkEnd w:id="40"/>
      <w:bookmarkEnd w:id="41"/>
      <w:bookmarkEnd w:id="42"/>
      <w:bookmarkEnd w:id="43"/>
      <w:bookmarkEnd w:id="44"/>
      <w:bookmarkEnd w:id="45"/>
    </w:p>
    <w:p>
      <w:pPr>
        <w:pStyle w:val="Heading5"/>
        <w:rPr>
          <w:snapToGrid w:val="0"/>
        </w:rPr>
      </w:pPr>
      <w:bookmarkStart w:id="46" w:name="_Toc408568344"/>
      <w:bookmarkStart w:id="47" w:name="_Toc417551340"/>
      <w:r>
        <w:rPr>
          <w:rStyle w:val="CharSectno"/>
        </w:rPr>
        <w:t>8.</w:t>
      </w:r>
      <w:r>
        <w:rPr>
          <w:rStyle w:val="CharSectno"/>
        </w:rPr>
        <w:tab/>
      </w:r>
      <w:r>
        <w:rPr>
          <w:snapToGrid w:val="0"/>
        </w:rPr>
        <w:t>Driving of vehicles</w:t>
      </w:r>
      <w:bookmarkEnd w:id="46"/>
      <w:bookmarkEnd w:id="47"/>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 a fine of</w:t>
      </w:r>
      <w:r>
        <w:rPr>
          <w:snapToGrid w:val="0"/>
        </w:rPr>
        <w:t xml:space="preserve"> $50.</w:t>
      </w:r>
    </w:p>
    <w:p>
      <w:pPr>
        <w:pStyle w:val="Footnotesection"/>
      </w:pPr>
      <w:bookmarkStart w:id="48" w:name="_Toc408568345"/>
      <w:r>
        <w:tab/>
        <w:t>[By-law 8 amended in Gazette 14 Apr 2015 p. 1330.]</w:t>
      </w:r>
    </w:p>
    <w:p>
      <w:pPr>
        <w:pStyle w:val="Heading5"/>
        <w:rPr>
          <w:snapToGrid w:val="0"/>
        </w:rPr>
      </w:pPr>
      <w:bookmarkStart w:id="49" w:name="_Toc417551341"/>
      <w:r>
        <w:rPr>
          <w:rStyle w:val="CharSectno"/>
        </w:rPr>
        <w:t>9.</w:t>
      </w:r>
      <w:r>
        <w:rPr>
          <w:rStyle w:val="CharSectno"/>
        </w:rPr>
        <w:tab/>
      </w:r>
      <w:r>
        <w:rPr>
          <w:snapToGrid w:val="0"/>
        </w:rPr>
        <w:t>Driver to obey reasonable direction</w:t>
      </w:r>
      <w:bookmarkEnd w:id="48"/>
      <w:bookmarkEnd w:id="49"/>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0" w:name="_Toc408568346"/>
      <w:r>
        <w:tab/>
        <w:t>[By-law 9 amended in Gazette 14 Apr 2015 p. 1330.]</w:t>
      </w:r>
    </w:p>
    <w:p>
      <w:pPr>
        <w:pStyle w:val="Heading5"/>
        <w:rPr>
          <w:snapToGrid w:val="0"/>
        </w:rPr>
      </w:pPr>
      <w:bookmarkStart w:id="51" w:name="_Toc417551342"/>
      <w:r>
        <w:rPr>
          <w:rStyle w:val="CharSectno"/>
        </w:rPr>
        <w:t>10.</w:t>
      </w:r>
      <w:r>
        <w:rPr>
          <w:rStyle w:val="CharSectno"/>
        </w:rPr>
        <w:tab/>
      </w:r>
      <w:r>
        <w:rPr>
          <w:snapToGrid w:val="0"/>
        </w:rPr>
        <w:t>Speed limits</w:t>
      </w:r>
      <w:bookmarkEnd w:id="50"/>
      <w:bookmarkEnd w:id="51"/>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Footnotesection"/>
      </w:pPr>
      <w:bookmarkStart w:id="52" w:name="_Toc408568347"/>
      <w:r>
        <w:tab/>
        <w:t>[By-law 10 amended in Gazette 14 Apr 2015 p. 1330.]</w:t>
      </w:r>
    </w:p>
    <w:p>
      <w:pPr>
        <w:pStyle w:val="Heading5"/>
        <w:spacing w:before="160"/>
        <w:rPr>
          <w:snapToGrid w:val="0"/>
        </w:rPr>
      </w:pPr>
      <w:bookmarkStart w:id="53" w:name="_Toc417551343"/>
      <w:r>
        <w:rPr>
          <w:rStyle w:val="CharSectno"/>
        </w:rPr>
        <w:t>11.</w:t>
      </w:r>
      <w:r>
        <w:rPr>
          <w:rStyle w:val="CharSectno"/>
        </w:rPr>
        <w:tab/>
      </w:r>
      <w:r>
        <w:rPr>
          <w:snapToGrid w:val="0"/>
        </w:rPr>
        <w:t>Giving way</w:t>
      </w:r>
      <w:bookmarkEnd w:id="52"/>
      <w:bookmarkEnd w:id="53"/>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4" w:name="_Toc408568348"/>
      <w:r>
        <w:tab/>
        <w:t>[By-law 11 amended in Gazette 14 Apr 2015 p. 1330.]</w:t>
      </w:r>
    </w:p>
    <w:p>
      <w:pPr>
        <w:pStyle w:val="Heading5"/>
        <w:spacing w:before="160"/>
        <w:rPr>
          <w:snapToGrid w:val="0"/>
        </w:rPr>
      </w:pPr>
      <w:bookmarkStart w:id="55" w:name="_Toc417551344"/>
      <w:r>
        <w:rPr>
          <w:rStyle w:val="CharSectno"/>
        </w:rPr>
        <w:t>12.</w:t>
      </w:r>
      <w:r>
        <w:rPr>
          <w:rStyle w:val="CharSectno"/>
        </w:rPr>
        <w:tab/>
      </w:r>
      <w:r>
        <w:rPr>
          <w:snapToGrid w:val="0"/>
        </w:rPr>
        <w:t>No instruction or repairs on site</w:t>
      </w:r>
      <w:bookmarkEnd w:id="54"/>
      <w:bookmarkEnd w:id="55"/>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6" w:name="_Toc408567556"/>
      <w:bookmarkStart w:id="57" w:name="_Toc408568349"/>
      <w:bookmarkStart w:id="58" w:name="_Toc414961883"/>
      <w:bookmarkStart w:id="59" w:name="_Toc414961920"/>
      <w:r>
        <w:tab/>
        <w:t>[By-law 12 amended in Gazette 14 Apr 2015 p. 1330.]</w:t>
      </w:r>
    </w:p>
    <w:p>
      <w:pPr>
        <w:pStyle w:val="Heading3"/>
      </w:pPr>
      <w:bookmarkStart w:id="60" w:name="_Toc416707785"/>
      <w:bookmarkStart w:id="61" w:name="_Toc416711441"/>
      <w:bookmarkStart w:id="62" w:name="_Toc417551345"/>
      <w:r>
        <w:rPr>
          <w:rStyle w:val="CharDivNo"/>
        </w:rPr>
        <w:t>Division 2</w:t>
      </w:r>
      <w:r>
        <w:rPr>
          <w:snapToGrid w:val="0"/>
        </w:rPr>
        <w:t xml:space="preserve"> — </w:t>
      </w:r>
      <w:r>
        <w:rPr>
          <w:rStyle w:val="CharDivText"/>
        </w:rPr>
        <w:t>Parking</w:t>
      </w:r>
      <w:bookmarkEnd w:id="56"/>
      <w:bookmarkEnd w:id="57"/>
      <w:bookmarkEnd w:id="58"/>
      <w:bookmarkEnd w:id="59"/>
      <w:bookmarkEnd w:id="60"/>
      <w:bookmarkEnd w:id="61"/>
      <w:bookmarkEnd w:id="62"/>
    </w:p>
    <w:p>
      <w:pPr>
        <w:pStyle w:val="Heading5"/>
        <w:rPr>
          <w:snapToGrid w:val="0"/>
        </w:rPr>
      </w:pPr>
      <w:bookmarkStart w:id="63" w:name="_Toc408568350"/>
      <w:bookmarkStart w:id="64" w:name="_Toc417551346"/>
      <w:r>
        <w:rPr>
          <w:rStyle w:val="CharSectno"/>
        </w:rPr>
        <w:t>13.</w:t>
      </w:r>
      <w:r>
        <w:rPr>
          <w:rStyle w:val="CharSectno"/>
        </w:rPr>
        <w:tab/>
      </w:r>
      <w:r>
        <w:rPr>
          <w:snapToGrid w:val="0"/>
        </w:rPr>
        <w:t>Parking to be in parking spaces only</w:t>
      </w:r>
      <w:bookmarkEnd w:id="63"/>
      <w:bookmarkEnd w:id="64"/>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65" w:name="_Toc408568351"/>
      <w:r>
        <w:tab/>
        <w:t>[By-law 13 amended in Gazette 14 Apr 2015 p. 1330.]</w:t>
      </w:r>
    </w:p>
    <w:p>
      <w:pPr>
        <w:pStyle w:val="Heading5"/>
        <w:rPr>
          <w:snapToGrid w:val="0"/>
        </w:rPr>
      </w:pPr>
      <w:bookmarkStart w:id="66" w:name="_Toc417551347"/>
      <w:r>
        <w:rPr>
          <w:rStyle w:val="CharSectno"/>
        </w:rPr>
        <w:t>14.</w:t>
      </w:r>
      <w:r>
        <w:rPr>
          <w:rStyle w:val="CharSectno"/>
        </w:rPr>
        <w:tab/>
      </w:r>
      <w:r>
        <w:rPr>
          <w:snapToGrid w:val="0"/>
        </w:rPr>
        <w:t>Signs to be obeyed</w:t>
      </w:r>
      <w:bookmarkEnd w:id="65"/>
      <w:bookmarkEnd w:id="66"/>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67" w:name="_Toc408568352"/>
      <w:r>
        <w:tab/>
        <w:t>[By-law 14 amended in Gazette 14 Apr 2015 p. 1330</w:t>
      </w:r>
      <w:r>
        <w:noBreakHyphen/>
        <w:t>1.]</w:t>
      </w:r>
    </w:p>
    <w:p>
      <w:pPr>
        <w:pStyle w:val="Heading5"/>
        <w:rPr>
          <w:snapToGrid w:val="0"/>
        </w:rPr>
      </w:pPr>
      <w:bookmarkStart w:id="68" w:name="_Toc417551348"/>
      <w:r>
        <w:rPr>
          <w:rStyle w:val="CharSectno"/>
        </w:rPr>
        <w:t>15.</w:t>
      </w:r>
      <w:r>
        <w:rPr>
          <w:rStyle w:val="CharSectno"/>
        </w:rPr>
        <w:tab/>
      </w:r>
      <w:r>
        <w:rPr>
          <w:snapToGrid w:val="0"/>
        </w:rPr>
        <w:t>Parking in parking spaces</w:t>
      </w:r>
      <w:bookmarkEnd w:id="67"/>
      <w:bookmarkEnd w:id="68"/>
      <w:r>
        <w:rPr>
          <w:snapToGrid w:val="0"/>
        </w:rPr>
        <w:t xml:space="preserve"> </w:t>
      </w:r>
    </w:p>
    <w:p>
      <w:pPr>
        <w:pStyle w:val="Subsection"/>
        <w:spacing w:before="120"/>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parking of vehicles for a specified period of time;</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spacing w:before="120"/>
        <w:rPr>
          <w:snapToGrid w:val="0"/>
        </w:rPr>
      </w:pPr>
      <w:r>
        <w:rPr>
          <w:snapToGrid w:val="0"/>
        </w:rPr>
        <w:tab/>
        <w:t>(2)</w:t>
      </w:r>
      <w:r>
        <w:rPr>
          <w:snapToGrid w:val="0"/>
        </w:rPr>
        <w:tab/>
        <w:t>In this by</w:t>
      </w:r>
      <w:r>
        <w:rPr>
          <w:snapToGrid w:val="0"/>
        </w:rPr>
        <w:noBreakHyphen/>
        <w:t xml:space="preserve">law, </w:t>
      </w:r>
      <w:r>
        <w:rPr>
          <w:b/>
          <w:snapToGrid w:val="0"/>
        </w:rPr>
        <w:t>“specified”</w:t>
      </w:r>
      <w:r>
        <w:rPr>
          <w:snapToGrid w:val="0"/>
        </w:rPr>
        <w:t xml:space="preserve"> means specified in a sign.</w:t>
      </w:r>
    </w:p>
    <w:p>
      <w:pPr>
        <w:pStyle w:val="Subsection"/>
        <w:spacing w:before="120"/>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spacing w:before="120"/>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69" w:name="_Toc408568353"/>
      <w:r>
        <w:tab/>
        <w:t>[By-law 15 amended in Gazette 14 Apr 2015 p. 1330</w:t>
      </w:r>
      <w:r>
        <w:noBreakHyphen/>
        <w:t>1.]</w:t>
      </w:r>
    </w:p>
    <w:p>
      <w:pPr>
        <w:pStyle w:val="Heading5"/>
        <w:spacing w:before="160"/>
        <w:rPr>
          <w:snapToGrid w:val="0"/>
        </w:rPr>
      </w:pPr>
      <w:bookmarkStart w:id="70" w:name="_Toc417551349"/>
      <w:r>
        <w:rPr>
          <w:rStyle w:val="CharSectno"/>
        </w:rPr>
        <w:t>16.</w:t>
      </w:r>
      <w:r>
        <w:rPr>
          <w:rStyle w:val="CharSectno"/>
        </w:rPr>
        <w:tab/>
      </w:r>
      <w:r>
        <w:rPr>
          <w:snapToGrid w:val="0"/>
        </w:rPr>
        <w:t>Permit</w:t>
      </w:r>
      <w:bookmarkEnd w:id="69"/>
      <w:bookmarkEnd w:id="70"/>
      <w:r>
        <w:rPr>
          <w:snapToGrid w:val="0"/>
        </w:rPr>
        <w:t xml:space="preserve"> </w:t>
      </w:r>
    </w:p>
    <w:p>
      <w:pPr>
        <w:pStyle w:val="Subsection"/>
        <w:spacing w:before="120"/>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spacing w:before="120"/>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 a fine of</w:t>
      </w:r>
      <w:r>
        <w:rPr>
          <w:snapToGrid w:val="0"/>
        </w:rPr>
        <w:t xml:space="preserve"> $50.</w:t>
      </w:r>
    </w:p>
    <w:p>
      <w:pPr>
        <w:pStyle w:val="Footnotesection"/>
      </w:pPr>
      <w:r>
        <w:tab/>
        <w:t>[By-law 16 amended in Gazette 26 Nov 2010 p. 5936; 14 Apr 2015 p. 1330.]</w:t>
      </w:r>
    </w:p>
    <w:p>
      <w:pPr>
        <w:pStyle w:val="Heading2"/>
      </w:pPr>
      <w:bookmarkStart w:id="71" w:name="_Toc408567561"/>
      <w:bookmarkStart w:id="72" w:name="_Toc408568354"/>
      <w:bookmarkStart w:id="73" w:name="_Toc414961888"/>
      <w:bookmarkStart w:id="74" w:name="_Toc414961925"/>
      <w:bookmarkStart w:id="75" w:name="_Toc416707790"/>
      <w:bookmarkStart w:id="76" w:name="_Toc416711446"/>
      <w:bookmarkStart w:id="77" w:name="_Toc417551350"/>
      <w:r>
        <w:rPr>
          <w:rStyle w:val="CharPartNo"/>
        </w:rPr>
        <w:t>Part 4</w:t>
      </w:r>
      <w:r>
        <w:rPr>
          <w:rStyle w:val="CharDivNo"/>
        </w:rPr>
        <w:t xml:space="preserve"> </w:t>
      </w:r>
      <w:r>
        <w:t>—</w:t>
      </w:r>
      <w:r>
        <w:rPr>
          <w:rStyle w:val="CharDivText"/>
        </w:rPr>
        <w:t xml:space="preserve"> </w:t>
      </w:r>
      <w:r>
        <w:rPr>
          <w:rStyle w:val="CharPartText"/>
        </w:rPr>
        <w:t>Infringement notices</w:t>
      </w:r>
      <w:bookmarkEnd w:id="71"/>
      <w:bookmarkEnd w:id="72"/>
      <w:bookmarkEnd w:id="73"/>
      <w:bookmarkEnd w:id="74"/>
      <w:bookmarkEnd w:id="75"/>
      <w:bookmarkEnd w:id="76"/>
      <w:bookmarkEnd w:id="77"/>
    </w:p>
    <w:p>
      <w:pPr>
        <w:pStyle w:val="Heading5"/>
        <w:rPr>
          <w:snapToGrid w:val="0"/>
        </w:rPr>
      </w:pPr>
      <w:bookmarkStart w:id="78" w:name="_Toc408568355"/>
      <w:bookmarkStart w:id="79" w:name="_Toc417551351"/>
      <w:r>
        <w:rPr>
          <w:rStyle w:val="CharSectno"/>
        </w:rPr>
        <w:t>17.</w:t>
      </w:r>
      <w:r>
        <w:rPr>
          <w:rStyle w:val="CharSectno"/>
        </w:rPr>
        <w:tab/>
      </w:r>
      <w:r>
        <w:rPr>
          <w:snapToGrid w:val="0"/>
        </w:rPr>
        <w:t>Interpretation</w:t>
      </w:r>
      <w:bookmarkEnd w:id="78"/>
      <w:bookmarkEnd w:id="79"/>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80" w:name="endcomma"/>
      <w:bookmarkEnd w:id="80"/>
      <w:r>
        <w:t xml:space="preserve"> </w:t>
      </w:r>
      <w:bookmarkStart w:id="81" w:name="comma"/>
      <w:bookmarkEnd w:id="81"/>
      <w:r>
        <w:t>means a penalty prescribed in Schedule 1 for an offence under Part 3 or 4.</w:t>
      </w:r>
    </w:p>
    <w:p>
      <w:pPr>
        <w:pStyle w:val="Footnotesection"/>
      </w:pPr>
      <w:bookmarkStart w:id="82" w:name="_Toc408568356"/>
      <w:r>
        <w:tab/>
        <w:t>[By-law 17 amended in Gazette 8 Jan 2015 p. 174.]</w:t>
      </w:r>
    </w:p>
    <w:p>
      <w:pPr>
        <w:pStyle w:val="Heading5"/>
        <w:rPr>
          <w:snapToGrid w:val="0"/>
        </w:rPr>
      </w:pPr>
      <w:bookmarkStart w:id="83" w:name="_Toc417551352"/>
      <w:r>
        <w:rPr>
          <w:rStyle w:val="CharSectno"/>
        </w:rPr>
        <w:t>18.</w:t>
      </w:r>
      <w:r>
        <w:rPr>
          <w:rStyle w:val="CharSectno"/>
        </w:rPr>
        <w:tab/>
      </w:r>
      <w:r>
        <w:rPr>
          <w:snapToGrid w:val="0"/>
        </w:rPr>
        <w:t>Infringement notices</w:t>
      </w:r>
      <w:bookmarkEnd w:id="82"/>
      <w:bookmarkEnd w:id="83"/>
      <w:r>
        <w:rPr>
          <w:snapToGrid w:val="0"/>
        </w:rPr>
        <w:t xml:space="preserve"> </w:t>
      </w:r>
    </w:p>
    <w:p>
      <w:pPr>
        <w:pStyle w:val="Subsection"/>
        <w:spacing w:before="120"/>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Bentley Hospital or an authorised person,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18 amended in Gazette 26 Nov 2010 p. 5936.]</w:t>
      </w:r>
    </w:p>
    <w:p>
      <w:pPr>
        <w:pStyle w:val="Heading5"/>
        <w:rPr>
          <w:snapToGrid w:val="0"/>
        </w:rPr>
      </w:pPr>
      <w:bookmarkStart w:id="84" w:name="_Toc408568357"/>
      <w:bookmarkStart w:id="85" w:name="_Toc417551353"/>
      <w:r>
        <w:rPr>
          <w:rStyle w:val="CharSectno"/>
        </w:rPr>
        <w:t>19.</w:t>
      </w:r>
      <w:r>
        <w:rPr>
          <w:rStyle w:val="CharSectno"/>
        </w:rPr>
        <w:tab/>
      </w:r>
      <w:r>
        <w:rPr>
          <w:snapToGrid w:val="0"/>
        </w:rPr>
        <w:t>Withdrawal of infringement notice</w:t>
      </w:r>
      <w:bookmarkEnd w:id="84"/>
      <w:bookmarkEnd w:id="85"/>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86" w:name="_Toc417551354"/>
      <w:bookmarkStart w:id="87" w:name="_Toc408568358"/>
      <w:r>
        <w:rPr>
          <w:rStyle w:val="CharSectno"/>
        </w:rPr>
        <w:t>20</w:t>
      </w:r>
      <w:r>
        <w:t>.</w:t>
      </w:r>
      <w:r>
        <w:tab/>
        <w:t>Authorised persons to produce certificate</w:t>
      </w:r>
      <w:bookmarkEnd w:id="86"/>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pPr>
      <w:r>
        <w:tab/>
        <w:t>(2)</w:t>
      </w:r>
      <w:r>
        <w:tab/>
        <w:t>The authorised person must comply with a request under sub</w:t>
      </w:r>
      <w:r>
        <w:noBreakHyphen/>
        <w:t>bylaw (1).</w:t>
      </w:r>
    </w:p>
    <w:p>
      <w:pPr>
        <w:pStyle w:val="Footnotesection"/>
      </w:pPr>
      <w:r>
        <w:tab/>
        <w:t>[By-law 20 inserted in Gazette 14 Apr 2015 p. 1330.]</w:t>
      </w:r>
    </w:p>
    <w:p>
      <w:pPr>
        <w:pStyle w:val="Heading5"/>
        <w:rPr>
          <w:snapToGrid w:val="0"/>
        </w:rPr>
      </w:pPr>
      <w:bookmarkStart w:id="88" w:name="_Toc408568359"/>
      <w:bookmarkStart w:id="89" w:name="_Toc417551355"/>
      <w:bookmarkEnd w:id="87"/>
      <w:r>
        <w:rPr>
          <w:rStyle w:val="CharSectno"/>
        </w:rPr>
        <w:t>21.</w:t>
      </w:r>
      <w:r>
        <w:rPr>
          <w:rStyle w:val="CharSectno"/>
        </w:rPr>
        <w:tab/>
      </w:r>
      <w:r>
        <w:rPr>
          <w:snapToGrid w:val="0"/>
        </w:rPr>
        <w:t>Authorised persons only to endorse and alter infringement notices</w:t>
      </w:r>
      <w:bookmarkEnd w:id="88"/>
      <w:bookmarkEnd w:id="89"/>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90" w:name="_Toc408568360"/>
      <w:r>
        <w:tab/>
        <w:t>[By-law 21 amended in Gazette 14 Apr 2015 p. 1330</w:t>
      </w:r>
      <w:r>
        <w:noBreakHyphen/>
        <w:t>1.]</w:t>
      </w:r>
    </w:p>
    <w:p>
      <w:pPr>
        <w:pStyle w:val="Heading5"/>
        <w:rPr>
          <w:snapToGrid w:val="0"/>
        </w:rPr>
      </w:pPr>
      <w:bookmarkStart w:id="91" w:name="_Toc417551356"/>
      <w:r>
        <w:rPr>
          <w:rStyle w:val="CharSectno"/>
        </w:rPr>
        <w:t>22.</w:t>
      </w:r>
      <w:r>
        <w:rPr>
          <w:rStyle w:val="CharSectno"/>
        </w:rPr>
        <w:tab/>
      </w:r>
      <w:r>
        <w:rPr>
          <w:snapToGrid w:val="0"/>
        </w:rPr>
        <w:t>Restriction on removal of infringement notices</w:t>
      </w:r>
      <w:bookmarkEnd w:id="90"/>
      <w:bookmarkEnd w:id="91"/>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92" w:name="_Toc408567568"/>
      <w:bookmarkStart w:id="93" w:name="_Toc408568361"/>
      <w:bookmarkStart w:id="94" w:name="_Toc414961895"/>
      <w:bookmarkStart w:id="95" w:name="_Toc414961932"/>
      <w:r>
        <w:tab/>
        <w:t>[By-law 22 amended in Gazette 8 Jan 2015 p. 174; 14 Apr 2015 p. 1330</w:t>
      </w:r>
      <w:r>
        <w:noBreakHyphen/>
        <w:t>1.]</w:t>
      </w:r>
    </w:p>
    <w:p>
      <w:pPr>
        <w:pStyle w:val="Heading2"/>
      </w:pPr>
      <w:bookmarkStart w:id="96" w:name="_Toc416707797"/>
      <w:bookmarkStart w:id="97" w:name="_Toc416711453"/>
      <w:bookmarkStart w:id="98" w:name="_Toc417551357"/>
      <w:r>
        <w:rPr>
          <w:rStyle w:val="CharPartNo"/>
        </w:rPr>
        <w:t>Part 5</w:t>
      </w:r>
      <w:r>
        <w:rPr>
          <w:rStyle w:val="CharDivNo"/>
        </w:rPr>
        <w:t xml:space="preserve"> </w:t>
      </w:r>
      <w:r>
        <w:t>—</w:t>
      </w:r>
      <w:r>
        <w:rPr>
          <w:rStyle w:val="CharDivText"/>
        </w:rPr>
        <w:t xml:space="preserve"> </w:t>
      </w:r>
      <w:r>
        <w:rPr>
          <w:rStyle w:val="CharPartText"/>
        </w:rPr>
        <w:t>General</w:t>
      </w:r>
      <w:bookmarkEnd w:id="92"/>
      <w:bookmarkEnd w:id="93"/>
      <w:bookmarkEnd w:id="94"/>
      <w:bookmarkEnd w:id="95"/>
      <w:bookmarkEnd w:id="96"/>
      <w:bookmarkEnd w:id="97"/>
      <w:bookmarkEnd w:id="98"/>
    </w:p>
    <w:p>
      <w:pPr>
        <w:pStyle w:val="Heading5"/>
        <w:rPr>
          <w:snapToGrid w:val="0"/>
        </w:rPr>
      </w:pPr>
      <w:bookmarkStart w:id="99" w:name="_Toc408568362"/>
      <w:bookmarkStart w:id="100" w:name="_Toc417551358"/>
      <w:r>
        <w:rPr>
          <w:rStyle w:val="CharSectno"/>
        </w:rPr>
        <w:t>23.</w:t>
      </w:r>
      <w:r>
        <w:rPr>
          <w:rStyle w:val="CharSectno"/>
        </w:rPr>
        <w:tab/>
      </w:r>
      <w:r>
        <w:rPr>
          <w:snapToGrid w:val="0"/>
        </w:rPr>
        <w:t>Removal of vehicles</w:t>
      </w:r>
      <w:bookmarkEnd w:id="99"/>
      <w:bookmarkEnd w:id="100"/>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is obstructing other vehicles or activities of the Bentley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 xml:space="preserve">law until the </w:t>
      </w:r>
      <w:r>
        <w:t>responsible person for</w:t>
      </w:r>
      <w:r>
        <w:rPr>
          <w:snapToGrid w:val="0"/>
        </w:rPr>
        <w:t xml:space="preserve"> the vehicle has paid to the cashier of the Bentley Hospital or an authorised person, fees to recover the vehicle at the rate of $50 for the first 24 hours or part thereof and $5 for each 7 days or part thereof thereafter.</w:t>
      </w:r>
    </w:p>
    <w:p>
      <w:pPr>
        <w:pStyle w:val="Footnotesection"/>
      </w:pPr>
      <w:bookmarkStart w:id="101" w:name="_Toc408568363"/>
      <w:r>
        <w:tab/>
        <w:t>[By-law 23 amended in Gazette 8 Jan 2015 p. 174.]</w:t>
      </w:r>
    </w:p>
    <w:p>
      <w:pPr>
        <w:pStyle w:val="Heading5"/>
        <w:keepNext w:val="0"/>
        <w:keepLines w:val="0"/>
        <w:rPr>
          <w:snapToGrid w:val="0"/>
        </w:rPr>
      </w:pPr>
      <w:bookmarkStart w:id="102" w:name="_Toc417551359"/>
      <w:r>
        <w:rPr>
          <w:rStyle w:val="CharSectno"/>
        </w:rPr>
        <w:t>24.</w:t>
      </w:r>
      <w:r>
        <w:rPr>
          <w:rStyle w:val="CharSectno"/>
        </w:rPr>
        <w:tab/>
      </w:r>
      <w:r>
        <w:rPr>
          <w:snapToGrid w:val="0"/>
        </w:rPr>
        <w:t>Responsible person may be treated as driver or person in charge of vehicle</w:t>
      </w:r>
      <w:bookmarkEnd w:id="101"/>
      <w:bookmarkEnd w:id="102"/>
    </w:p>
    <w:p>
      <w:pPr>
        <w:pStyle w:val="Subsection"/>
        <w:rPr>
          <w:snapToGrid w:val="0"/>
        </w:rPr>
      </w:pPr>
      <w:r>
        <w:rPr>
          <w:snapToGrid w:val="0"/>
        </w:rP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bookmarkStart w:id="103" w:name="_Toc408568364"/>
      <w:r>
        <w:tab/>
        <w:t>[By-law 24 amended in Gazette 8 Jan 2015 p. 175.]</w:t>
      </w:r>
    </w:p>
    <w:p>
      <w:pPr>
        <w:pStyle w:val="Heading5"/>
        <w:rPr>
          <w:snapToGrid w:val="0"/>
        </w:rPr>
      </w:pPr>
      <w:bookmarkStart w:id="104" w:name="_Toc417551360"/>
      <w:r>
        <w:rPr>
          <w:rStyle w:val="CharSectno"/>
        </w:rPr>
        <w:t>25.</w:t>
      </w:r>
      <w:r>
        <w:rPr>
          <w:rStyle w:val="CharSectno"/>
        </w:rPr>
        <w:tab/>
      </w:r>
      <w:r>
        <w:rPr>
          <w:snapToGrid w:val="0"/>
        </w:rPr>
        <w:t>Other offences</w:t>
      </w:r>
      <w:bookmarkEnd w:id="103"/>
      <w:bookmarkEnd w:id="104"/>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[By-law 25 amended in Gazette 14 Apr 2015 p. 1330</w:t>
      </w:r>
      <w:r>
        <w:noBreakHyphen/>
        <w:t>1.]</w:t>
      </w:r>
    </w:p>
    <w:p>
      <w:pPr>
        <w:pStyle w:val="Defpara"/>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05" w:name="_Toc408567572"/>
      <w:bookmarkStart w:id="106" w:name="_Toc408568365"/>
      <w:bookmarkStart w:id="107" w:name="_Toc414961899"/>
      <w:bookmarkStart w:id="108" w:name="_Toc414961936"/>
      <w:bookmarkStart w:id="109" w:name="_Toc416707801"/>
      <w:bookmarkStart w:id="110" w:name="_Toc416711457"/>
      <w:bookmarkStart w:id="111" w:name="_Toc417551361"/>
      <w:r>
        <w:rPr>
          <w:rStyle w:val="CharSchNo"/>
        </w:rPr>
        <w:t>Schedule 1</w:t>
      </w:r>
      <w:r>
        <w:t xml:space="preserve"> — </w:t>
      </w:r>
      <w:r>
        <w:rPr>
          <w:rStyle w:val="CharSchText"/>
        </w:rPr>
        <w:t>Infringement Notices and Modified Penalties</w:t>
      </w:r>
      <w:bookmarkEnd w:id="105"/>
      <w:bookmarkEnd w:id="106"/>
      <w:bookmarkEnd w:id="107"/>
      <w:bookmarkEnd w:id="108"/>
      <w:bookmarkEnd w:id="109"/>
      <w:bookmarkEnd w:id="110"/>
      <w:bookmarkEnd w:id="111"/>
    </w:p>
    <w:p>
      <w:pPr>
        <w:pStyle w:val="yShoulderClause"/>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onto the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kph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the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Pr>
          <w:p>
            <w:pPr>
              <w:pStyle w:val="yTable"/>
              <w:jc w:val="center"/>
            </w:pPr>
            <w:r>
              <w:t>22</w:t>
            </w:r>
          </w:p>
        </w:tc>
        <w:tc>
          <w:tcPr>
            <w:tcW w:w="3544" w:type="dxa"/>
          </w:tcPr>
          <w:p>
            <w:pPr>
              <w:pStyle w:val="yTable"/>
            </w:pPr>
            <w:r>
              <w:t>Removing an infringement notice when not authorised to do so</w:t>
            </w:r>
          </w:p>
        </w:tc>
        <w:tc>
          <w:tcPr>
            <w:tcW w:w="1559" w:type="dxa"/>
          </w:tcPr>
          <w:p>
            <w:pPr>
              <w:pStyle w:val="yTable"/>
              <w:jc w:val="center"/>
            </w:pPr>
            <w:r>
              <w:br/>
              <w:t>20</w:t>
            </w:r>
          </w:p>
        </w:tc>
      </w:tr>
    </w:tbl>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113" w:name="_Toc408567573"/>
      <w:bookmarkStart w:id="114" w:name="_Toc408568366"/>
      <w:bookmarkStart w:id="115" w:name="_Toc414961900"/>
      <w:bookmarkStart w:id="116" w:name="_Toc414961937"/>
      <w:bookmarkStart w:id="117" w:name="_Toc416707802"/>
      <w:bookmarkStart w:id="118" w:name="_Toc416711458"/>
      <w:bookmarkStart w:id="119" w:name="_Toc417551362"/>
      <w:r>
        <w:rPr>
          <w:rStyle w:val="CharSchNo"/>
        </w:rPr>
        <w:t>Schedule 2</w:t>
      </w:r>
      <w:r>
        <w:t> — </w:t>
      </w:r>
      <w:r>
        <w:rPr>
          <w:rStyle w:val="CharSchText"/>
        </w:rPr>
        <w:t>Forms</w:t>
      </w:r>
      <w:bookmarkEnd w:id="113"/>
      <w:bookmarkEnd w:id="114"/>
      <w:bookmarkEnd w:id="115"/>
      <w:bookmarkEnd w:id="116"/>
      <w:bookmarkEnd w:id="117"/>
      <w:bookmarkEnd w:id="118"/>
      <w:bookmarkEnd w:id="119"/>
    </w:p>
    <w:p>
      <w:pPr>
        <w:pStyle w:val="yShoulderClause"/>
      </w:pPr>
      <w:r>
        <w:t>[bl. 18(3) and 19]</w:t>
      </w:r>
    </w:p>
    <w:p>
      <w:pPr>
        <w:pStyle w:val="yFootnoteheading"/>
      </w:pPr>
      <w:r>
        <w:tab/>
        <w:t>[Heading inserted in Gazette 13 Jun 2014 p. 1886.]</w:t>
      </w:r>
    </w:p>
    <w:p>
      <w:pPr>
        <w:pStyle w:val="yMiscellaneousBody"/>
        <w:jc w:val="center"/>
        <w:rPr>
          <w:b/>
        </w:rPr>
      </w:pPr>
      <w:r>
        <w:rPr>
          <w:rStyle w:val="CharSClsNo"/>
          <w:b/>
        </w:rPr>
        <w:t>Form 1</w:t>
      </w:r>
      <w:r>
        <w:rPr>
          <w:b/>
        </w:rPr>
        <w:t>: Infringement Notice (by</w:t>
      </w:r>
      <w:r>
        <w:rPr>
          <w:b/>
        </w:rPr>
        <w:noBreakHyphen/>
        <w:t>law 18(3))</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rPr>
          <w:i/>
          <w:szCs w:val="22"/>
        </w:rPr>
      </w:pPr>
      <w:r>
        <w:rPr>
          <w:i/>
          <w:szCs w:val="22"/>
        </w:rPr>
        <w:t>Bentley Hospital By</w:t>
      </w:r>
      <w:r>
        <w:rPr>
          <w:i/>
          <w:szCs w:val="22"/>
        </w:rPr>
        <w:noBreakHyphen/>
        <w:t>laws 2001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keepNext/>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keepNext/>
            </w:pPr>
            <w:r>
              <w:t>Reg No.</w:t>
            </w:r>
          </w:p>
        </w:tc>
        <w:tc>
          <w:tcPr>
            <w:tcW w:w="3168" w:type="dxa"/>
            <w:gridSpan w:val="3"/>
            <w:tcBorders>
              <w:top w:val="single" w:sz="4" w:space="0" w:color="auto"/>
              <w:bottom w:val="single" w:sz="4" w:space="0" w:color="auto"/>
            </w:tcBorders>
          </w:tcPr>
          <w:p>
            <w:pPr>
              <w:pStyle w:val="yTableNAm"/>
              <w:keepNext/>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1886</w:t>
      </w:r>
      <w:r>
        <w:noBreakHyphen/>
        <w:t>8; amended in Gazette 8 Jan 2015 p. 175</w:t>
      </w:r>
      <w:r>
        <w:noBreakHyphen/>
        <w:t>6.]</w:t>
      </w:r>
    </w:p>
    <w:p>
      <w:pPr>
        <w:pStyle w:val="yMiscellaneousBody"/>
        <w:keepNext/>
        <w:jc w:val="center"/>
        <w:rPr>
          <w:b/>
        </w:rPr>
      </w:pPr>
      <w:r>
        <w:rPr>
          <w:rStyle w:val="CharSClsNo"/>
          <w:b/>
        </w:rPr>
        <w:t>Form 2</w:t>
      </w:r>
      <w:r>
        <w:rPr>
          <w:b/>
        </w:rPr>
        <w:t>: Withdrawal of Infringement Notice (by</w:t>
      </w:r>
      <w:r>
        <w:rPr>
          <w:b/>
        </w:rPr>
        <w:noBreakHyphen/>
        <w:t>law 19)</w:t>
      </w:r>
    </w:p>
    <w:p>
      <w:pPr>
        <w:pStyle w:val="yMiscellaneousBody"/>
        <w:keepNext/>
        <w:jc w:val="center"/>
      </w:pPr>
      <w:r>
        <w:t>Government of Western Australia</w:t>
      </w:r>
    </w:p>
    <w:p>
      <w:pPr>
        <w:pStyle w:val="yMiscellaneousBody"/>
        <w:keepNext/>
        <w:jc w:val="center"/>
      </w:pPr>
      <w:r>
        <w:t>Department of Health</w:t>
      </w:r>
    </w:p>
    <w:p>
      <w:pPr>
        <w:pStyle w:val="yMiscellaneousBody"/>
        <w:jc w:val="center"/>
      </w:pPr>
      <w: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1888</w:t>
      </w:r>
      <w:r>
        <w:noBreakHyphen/>
        <w:t>9.]</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20" w:name="_Toc408567574"/>
      <w:bookmarkStart w:id="121" w:name="_Toc408568367"/>
      <w:bookmarkStart w:id="122" w:name="_Toc414961901"/>
      <w:bookmarkStart w:id="123" w:name="_Toc414961938"/>
      <w:bookmarkStart w:id="124" w:name="_Toc416707803"/>
      <w:bookmarkStart w:id="125" w:name="_Toc416711459"/>
      <w:bookmarkStart w:id="126" w:name="_Toc417551363"/>
      <w:r>
        <w:t>Notes</w:t>
      </w:r>
      <w:bookmarkEnd w:id="120"/>
      <w:bookmarkEnd w:id="121"/>
      <w:bookmarkEnd w:id="122"/>
      <w:bookmarkEnd w:id="123"/>
      <w:bookmarkEnd w:id="124"/>
      <w:bookmarkEnd w:id="125"/>
      <w:bookmarkEnd w:id="126"/>
    </w:p>
    <w:p>
      <w:pPr>
        <w:pStyle w:val="nSubsection"/>
        <w:rPr>
          <w:snapToGrid w:val="0"/>
        </w:rPr>
      </w:pPr>
      <w:r>
        <w:rPr>
          <w:snapToGrid w:val="0"/>
          <w:vertAlign w:val="superscript"/>
        </w:rPr>
        <w:t>1</w:t>
      </w:r>
      <w:r>
        <w:rPr>
          <w:snapToGrid w:val="0"/>
        </w:rPr>
        <w:tab/>
        <w:t xml:space="preserve">This is a compilation of the </w:t>
      </w:r>
      <w:r>
        <w:rPr>
          <w:i/>
          <w:snapToGrid w:val="0"/>
        </w:rPr>
        <w:t xml:space="preserve">Bentley Hospital By-laws </w:t>
      </w:r>
      <w:r>
        <w:rPr>
          <w:i/>
        </w:rPr>
        <w:t>2001</w:t>
      </w:r>
      <w:r>
        <w:t xml:space="preserve"> and</w:t>
      </w:r>
      <w:r>
        <w:rPr>
          <w:snapToGrid w:val="0"/>
        </w:rPr>
        <w:t xml:space="preserve"> includes the amendments made by the other written laws referred to in the following table.</w:t>
      </w:r>
    </w:p>
    <w:p>
      <w:pPr>
        <w:pStyle w:val="nHeading3"/>
      </w:pPr>
      <w:bookmarkStart w:id="127" w:name="_Toc408568368"/>
      <w:bookmarkStart w:id="128" w:name="_Toc417551364"/>
      <w:r>
        <w:t>Compilation table</w:t>
      </w:r>
      <w:bookmarkEnd w:id="127"/>
      <w:bookmarkEnd w:id="1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snapToGrid w:val="0"/>
              </w:rPr>
              <w:t xml:space="preserve">Bentley Hospital By-laws </w:t>
            </w:r>
            <w:r>
              <w:rPr>
                <w:i/>
              </w:rPr>
              <w:t>2001</w:t>
            </w:r>
          </w:p>
        </w:tc>
        <w:tc>
          <w:tcPr>
            <w:tcW w:w="1276" w:type="dxa"/>
            <w:tcBorders>
              <w:top w:val="single" w:sz="8" w:space="0" w:color="auto"/>
            </w:tcBorders>
          </w:tcPr>
          <w:p>
            <w:pPr>
              <w:pStyle w:val="nTable"/>
            </w:pPr>
            <w:r>
              <w:t>21 Dec 2001 p. 6521-39</w:t>
            </w:r>
          </w:p>
        </w:tc>
        <w:tc>
          <w:tcPr>
            <w:tcW w:w="2693" w:type="dxa"/>
            <w:tcBorders>
              <w:top w:val="single" w:sz="8" w:space="0" w:color="auto"/>
            </w:tcBorders>
          </w:tcPr>
          <w:p>
            <w:pPr>
              <w:pStyle w:val="nTable"/>
            </w:pPr>
            <w:r>
              <w:t>21 Dec 2001</w:t>
            </w:r>
          </w:p>
        </w:tc>
      </w:tr>
      <w:tr>
        <w:tc>
          <w:tcPr>
            <w:tcW w:w="3119" w:type="dxa"/>
          </w:tcPr>
          <w:p>
            <w:pPr>
              <w:pStyle w:val="nTable"/>
              <w:rPr>
                <w:i/>
                <w:snapToGrid w:val="0"/>
              </w:rPr>
            </w:pPr>
            <w:r>
              <w:rPr>
                <w:i/>
                <w:snapToGrid w:val="0"/>
              </w:rPr>
              <w:t>Bentley Hospital Amendment By</w:t>
            </w:r>
            <w:r>
              <w:rPr>
                <w:i/>
                <w:snapToGrid w:val="0"/>
              </w:rPr>
              <w:noBreakHyphen/>
              <w:t>laws </w:t>
            </w:r>
            <w:r>
              <w:rPr>
                <w:i/>
              </w:rPr>
              <w:t>2008</w:t>
            </w:r>
          </w:p>
        </w:tc>
        <w:tc>
          <w:tcPr>
            <w:tcW w:w="1276" w:type="dxa"/>
          </w:tcPr>
          <w:p>
            <w:pPr>
              <w:pStyle w:val="nTable"/>
            </w:pPr>
            <w:r>
              <w:t>12 Feb 2008 p. 339</w:t>
            </w:r>
            <w:r>
              <w:noBreakHyphen/>
              <w:t>40</w:t>
            </w:r>
          </w:p>
        </w:tc>
        <w:tc>
          <w:tcPr>
            <w:tcW w:w="2693" w:type="dxa"/>
          </w:tcPr>
          <w:p>
            <w:pPr>
              <w:pStyle w:val="nTable"/>
            </w:pPr>
            <w:r>
              <w:rPr>
                <w:snapToGrid w:val="0"/>
              </w:rPr>
              <w:t>bl. 1 and 2: 12 Feb 2008 (see bl. 2(a));</w:t>
            </w:r>
            <w:r>
              <w:rPr>
                <w:snapToGrid w:val="0"/>
              </w:rPr>
              <w:br/>
              <w:t>By-laws other than bl. 1 and 2: 13 Feb 2008 (see bl. 2(b))</w:t>
            </w:r>
          </w:p>
        </w:tc>
      </w:tr>
      <w:tr>
        <w:tc>
          <w:tcPr>
            <w:tcW w:w="3119" w:type="dxa"/>
          </w:tcPr>
          <w:p>
            <w:pPr>
              <w:pStyle w:val="nTable"/>
              <w:rPr>
                <w:i/>
                <w:snapToGrid w:val="0"/>
              </w:rPr>
            </w:pPr>
            <w:r>
              <w:rPr>
                <w:i/>
                <w:snapToGrid w:val="0"/>
              </w:rPr>
              <w:t>Bentley Hospital Amendment By</w:t>
            </w:r>
            <w:r>
              <w:rPr>
                <w:i/>
                <w:snapToGrid w:val="0"/>
              </w:rPr>
              <w:noBreakHyphen/>
              <w:t>laws </w:t>
            </w:r>
            <w:r>
              <w:rPr>
                <w:i/>
              </w:rPr>
              <w:t>2010</w:t>
            </w:r>
            <w:r>
              <w:rPr>
                <w:iCs/>
              </w:rPr>
              <w:t xml:space="preserve"> </w:t>
            </w:r>
          </w:p>
        </w:tc>
        <w:tc>
          <w:tcPr>
            <w:tcW w:w="1276" w:type="dxa"/>
          </w:tcPr>
          <w:p>
            <w:pPr>
              <w:pStyle w:val="nTable"/>
            </w:pPr>
            <w:r>
              <w:t>26 Nov 2010 p. 5935-6</w:t>
            </w:r>
          </w:p>
        </w:tc>
        <w:tc>
          <w:tcPr>
            <w:tcW w:w="2693" w:type="dxa"/>
          </w:tcPr>
          <w:p>
            <w:pPr>
              <w:pStyle w:val="nTable"/>
              <w:rPr>
                <w:snapToGrid w:val="0"/>
              </w:rPr>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9" w:type="dxa"/>
          </w:tcPr>
          <w:p>
            <w:pPr>
              <w:pStyle w:val="nTable"/>
              <w:rPr>
                <w:i/>
                <w:snapToGrid w:val="0"/>
              </w:rPr>
            </w:pPr>
            <w:r>
              <w:rPr>
                <w:i/>
                <w:snapToGrid w:val="0"/>
              </w:rPr>
              <w:t>Bentley Hospital Amendment By</w:t>
            </w:r>
            <w:r>
              <w:rPr>
                <w:i/>
                <w:snapToGrid w:val="0"/>
              </w:rPr>
              <w:noBreakHyphen/>
              <w:t xml:space="preserve">laws (No. 2) 2014 </w:t>
            </w:r>
          </w:p>
        </w:tc>
        <w:tc>
          <w:tcPr>
            <w:tcW w:w="1276" w:type="dxa"/>
          </w:tcPr>
          <w:p>
            <w:pPr>
              <w:pStyle w:val="nTable"/>
            </w:pPr>
            <w:r>
              <w:t>13 Jun 2014 p. 1886</w:t>
            </w:r>
            <w:r>
              <w:noBreakHyphen/>
              <w:t>9</w:t>
            </w:r>
          </w:p>
        </w:tc>
        <w:tc>
          <w:tcPr>
            <w:tcW w:w="2693" w:type="dxa"/>
          </w:tcPr>
          <w:p>
            <w:pPr>
              <w:pStyle w:val="nTable"/>
              <w:rPr>
                <w:snapToGrid w:val="0"/>
                <w:spacing w:val="-2"/>
              </w:rPr>
            </w:pPr>
            <w:r>
              <w:rPr>
                <w:snapToGrid w:val="0"/>
                <w:spacing w:val="-2"/>
              </w:rPr>
              <w:t>bl</w:t>
            </w:r>
            <w:r>
              <w:rPr>
                <w:rFonts w:ascii="Times" w:hAnsi="Times"/>
                <w:bCs/>
                <w:snapToGrid w:val="0"/>
                <w:spacing w:val="-2"/>
              </w:rPr>
              <w:t>. 1 and 2: 13 Jun 2014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2014 (see </w:t>
            </w:r>
            <w:r>
              <w:rPr>
                <w:snapToGrid w:val="0"/>
                <w:spacing w:val="-2"/>
              </w:rPr>
              <w:t>bl</w:t>
            </w:r>
            <w:r>
              <w:rPr>
                <w:rFonts w:ascii="Times" w:hAnsi="Times"/>
                <w:bCs/>
                <w:snapToGrid w:val="0"/>
                <w:spacing w:val="-2"/>
              </w:rPr>
              <w:t>. 2(b))</w:t>
            </w:r>
          </w:p>
        </w:tc>
      </w:tr>
      <w:tr>
        <w:tc>
          <w:tcPr>
            <w:tcW w:w="3119" w:type="dxa"/>
          </w:tcPr>
          <w:p>
            <w:pPr>
              <w:pStyle w:val="nTable"/>
              <w:rPr>
                <w:i/>
                <w:snapToGrid w:val="0"/>
              </w:rPr>
            </w:pPr>
            <w:r>
              <w:rPr>
                <w:i/>
              </w:rPr>
              <w:t>Bentley Hospital Amendment By</w:t>
            </w:r>
            <w:r>
              <w:rPr>
                <w:i/>
              </w:rPr>
              <w:noBreakHyphen/>
              <w:t>laws 2014</w:t>
            </w:r>
          </w:p>
        </w:tc>
        <w:tc>
          <w:tcPr>
            <w:tcW w:w="1276" w:type="dxa"/>
          </w:tcPr>
          <w:p>
            <w:pPr>
              <w:pStyle w:val="nTable"/>
            </w:pPr>
            <w:r>
              <w:t>8 Jan 2015 p. 173</w:t>
            </w:r>
            <w:r>
              <w:noBreakHyphen/>
              <w:t>6</w:t>
            </w:r>
          </w:p>
        </w:tc>
        <w:tc>
          <w:tcPr>
            <w:tcW w:w="2693" w:type="dxa"/>
          </w:tcPr>
          <w:p>
            <w:pPr>
              <w:pStyle w:val="nTable"/>
              <w:rPr>
                <w:snapToGrid w:val="0"/>
                <w:spacing w:val="-2"/>
              </w:rPr>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9" w:type="dxa"/>
            <w:tcBorders>
              <w:bottom w:val="single" w:sz="4" w:space="0" w:color="auto"/>
            </w:tcBorders>
          </w:tcPr>
          <w:p>
            <w:pPr>
              <w:pStyle w:val="nTable"/>
              <w:rPr>
                <w:i/>
                <w:snapToGrid w:val="0"/>
              </w:rPr>
            </w:pPr>
            <w:r>
              <w:rPr>
                <w:i/>
                <w:snapToGrid w:val="0"/>
              </w:rPr>
              <w:t>Bentley Hospital Amendment By</w:t>
            </w:r>
            <w:r>
              <w:rPr>
                <w:i/>
                <w:snapToGrid w:val="0"/>
              </w:rPr>
              <w:noBreakHyphen/>
              <w:t>laws </w:t>
            </w:r>
            <w:r>
              <w:rPr>
                <w:i/>
              </w:rPr>
              <w:t>2015</w:t>
            </w:r>
          </w:p>
        </w:tc>
        <w:tc>
          <w:tcPr>
            <w:tcW w:w="1276" w:type="dxa"/>
            <w:tcBorders>
              <w:bottom w:val="single" w:sz="4" w:space="0" w:color="auto"/>
            </w:tcBorders>
          </w:tcPr>
          <w:p>
            <w:pPr>
              <w:pStyle w:val="nTable"/>
            </w:pPr>
            <w:r>
              <w:t>14 Apr 2015 p. 1328</w:t>
            </w:r>
            <w:r>
              <w:noBreakHyphen/>
              <w:t>31</w:t>
            </w:r>
          </w:p>
        </w:tc>
        <w:tc>
          <w:tcPr>
            <w:tcW w:w="2693" w:type="dxa"/>
            <w:tcBorders>
              <w:bottom w:val="single" w:sz="4" w:space="0" w:color="auto"/>
            </w:tcBorders>
          </w:tcPr>
          <w:p>
            <w:pPr>
              <w:pStyle w:val="nTable"/>
              <w:rPr>
                <w:snapToGrid w:val="0"/>
                <w:spacing w:val="-2"/>
              </w:rPr>
            </w:pPr>
            <w:r>
              <w:rPr>
                <w:snapToGrid w:val="0"/>
                <w:spacing w:val="-2"/>
              </w:rPr>
              <w:t>bl</w:t>
            </w:r>
            <w:r>
              <w:rPr>
                <w:rFonts w:ascii="Times" w:hAnsi="Times"/>
                <w:bCs/>
                <w:snapToGrid w:val="0"/>
                <w:spacing w:val="-2"/>
              </w:rPr>
              <w:t>. 1 and 2: 14 Apr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15 Apr 2015 (see </w:t>
            </w:r>
            <w:r>
              <w:rPr>
                <w:snapToGrid w:val="0"/>
                <w:spacing w:val="-2"/>
              </w:rPr>
              <w:t>bl</w:t>
            </w:r>
            <w:r>
              <w:rPr>
                <w:rFonts w:ascii="Times" w:hAnsi="Times"/>
                <w:bCs/>
                <w:snapToGrid w:val="0"/>
                <w:spacing w:val="-2"/>
              </w:rPr>
              <w:t>. 2(b))</w:t>
            </w:r>
          </w:p>
        </w:tc>
      </w:tr>
    </w:tbl>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130" w:name="_Toc417551365"/>
      <w:r>
        <w:rPr>
          <w:sz w:val="28"/>
        </w:rPr>
        <w:t>Defined terms</w:t>
      </w:r>
      <w:bookmarkEnd w:id="1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17</w:t>
      </w:r>
    </w:p>
    <w:p>
      <w:pPr>
        <w:pStyle w:val="DefinedTerms"/>
      </w:pPr>
      <w:r>
        <w:t>authorised person</w:t>
      </w:r>
      <w:r>
        <w:tab/>
        <w:t>2(1)</w:t>
      </w:r>
    </w:p>
    <w:p>
      <w:pPr>
        <w:pStyle w:val="DefinedTerms"/>
      </w:pPr>
      <w:r>
        <w:t>board</w:t>
      </w:r>
      <w:r>
        <w:tab/>
        <w:t>2(1)</w:t>
      </w:r>
    </w:p>
    <w:p>
      <w:pPr>
        <w:pStyle w:val="DefinedTerms"/>
      </w:pPr>
      <w:r>
        <w:t>chief executive officer</w:t>
      </w:r>
      <w:r>
        <w:tab/>
        <w:t>2(1)</w:t>
      </w:r>
    </w:p>
    <w:p>
      <w:pPr>
        <w:pStyle w:val="DefinedTerms"/>
      </w:pPr>
      <w:r>
        <w:t>driver</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space</w:t>
      </w:r>
      <w:r>
        <w:tab/>
        <w:t>2(1)</w:t>
      </w:r>
    </w:p>
    <w:p>
      <w:pPr>
        <w:pStyle w:val="DefinedTerms"/>
      </w:pPr>
      <w:r>
        <w:t>permission</w:t>
      </w:r>
      <w:r>
        <w:tab/>
        <w:t>2(2)</w:t>
      </w:r>
    </w:p>
    <w:p>
      <w:pPr>
        <w:pStyle w:val="DefinedTerms"/>
      </w:pPr>
      <w:r>
        <w:t>permit</w:t>
      </w:r>
      <w:r>
        <w:tab/>
        <w:t>2(1)</w:t>
      </w:r>
    </w:p>
    <w:p>
      <w:pPr>
        <w:pStyle w:val="DefinedTerms"/>
      </w:pPr>
      <w:r>
        <w:t>prohibited item</w:t>
      </w:r>
      <w:r>
        <w:tab/>
        <w:t>5(1)</w:t>
      </w:r>
    </w:p>
    <w:p>
      <w:pPr>
        <w:pStyle w:val="DefinedTerms"/>
      </w:pPr>
      <w:r>
        <w:t>registered owner</w:t>
      </w:r>
      <w:r>
        <w:tab/>
        <w:t>2(1)</w:t>
      </w:r>
    </w:p>
    <w:p>
      <w:pPr>
        <w:pStyle w:val="DefinedTerms"/>
      </w:pPr>
      <w:r>
        <w:t>responsible person</w:t>
      </w:r>
      <w:r>
        <w:tab/>
        <w:t>2(1)</w:t>
      </w:r>
    </w:p>
    <w:p>
      <w:pPr>
        <w:pStyle w:val="DefinedTerms"/>
      </w:pPr>
      <w:r>
        <w:t>roadway</w:t>
      </w:r>
      <w:r>
        <w:tab/>
        <w:t>2(1)</w:t>
      </w:r>
    </w:p>
    <w:p>
      <w:pPr>
        <w:pStyle w:val="DefinedTerms"/>
      </w:pPr>
      <w:r>
        <w:t>sign</w:t>
      </w:r>
      <w:r>
        <w:tab/>
        <w:t>2(1)</w:t>
      </w:r>
    </w:p>
    <w:p>
      <w:pPr>
        <w:pStyle w:val="DefinedTerms"/>
      </w:pPr>
      <w:r>
        <w:t>specified</w:t>
      </w:r>
      <w:r>
        <w:tab/>
        <w:t>4(4), 16(7)</w:t>
      </w:r>
    </w:p>
    <w:p>
      <w:pPr>
        <w:pStyle w:val="DefinedTerms"/>
      </w:pPr>
      <w:r>
        <w:t>speed restriction sign</w:t>
      </w:r>
      <w:r>
        <w:tab/>
        <w:t>2(1)</w:t>
      </w:r>
    </w:p>
    <w:p>
      <w:pPr>
        <w:pStyle w:val="DefinedTerms"/>
      </w:pPr>
      <w:r>
        <w:t>the site</w:t>
      </w:r>
      <w:r>
        <w:tab/>
        <w:t>2(1)</w:t>
      </w:r>
    </w:p>
    <w:p>
      <w:pPr>
        <w:pStyle w:val="DefinedTerms"/>
      </w:pPr>
      <w:r>
        <w:t>vehicle</w:t>
      </w:r>
      <w:r>
        <w:tab/>
        <w:t>2(1)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2" w:name="Schedule"/>
    <w:bookmarkEnd w:id="1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9" w:name="Compilation"/>
    <w:bookmarkEnd w:id="12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Bentley Hospital By-laws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Bentley Hospital By-laws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1" w:name="DefinedTerms"/>
    <w:bookmarkEnd w:id="1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2" w:name="Coversheet"/>
    <w:bookmarkEnd w:id="1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Bentley Hospital By-laws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Bentley Hospital By-laws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66C44A"/>
    <w:lvl w:ilvl="0">
      <w:start w:val="1"/>
      <w:numFmt w:val="decimal"/>
      <w:lvlText w:val="%1."/>
      <w:lvlJc w:val="left"/>
      <w:pPr>
        <w:tabs>
          <w:tab w:val="num" w:pos="1492"/>
        </w:tabs>
        <w:ind w:left="1492" w:hanging="360"/>
      </w:pPr>
    </w:lvl>
  </w:abstractNum>
  <w:abstractNum w:abstractNumId="1">
    <w:nsid w:val="FFFFFF7D"/>
    <w:multiLevelType w:val="singleLevel"/>
    <w:tmpl w:val="05CE29DC"/>
    <w:lvl w:ilvl="0">
      <w:start w:val="1"/>
      <w:numFmt w:val="decimal"/>
      <w:lvlText w:val="%1."/>
      <w:lvlJc w:val="left"/>
      <w:pPr>
        <w:tabs>
          <w:tab w:val="num" w:pos="1209"/>
        </w:tabs>
        <w:ind w:left="1209" w:hanging="360"/>
      </w:pPr>
    </w:lvl>
  </w:abstractNum>
  <w:abstractNum w:abstractNumId="2">
    <w:nsid w:val="FFFFFF7E"/>
    <w:multiLevelType w:val="singleLevel"/>
    <w:tmpl w:val="ACB8AC28"/>
    <w:lvl w:ilvl="0">
      <w:start w:val="1"/>
      <w:numFmt w:val="decimal"/>
      <w:lvlText w:val="%1."/>
      <w:lvlJc w:val="left"/>
      <w:pPr>
        <w:tabs>
          <w:tab w:val="num" w:pos="926"/>
        </w:tabs>
        <w:ind w:left="926" w:hanging="360"/>
      </w:pPr>
    </w:lvl>
  </w:abstractNum>
  <w:abstractNum w:abstractNumId="3">
    <w:nsid w:val="FFFFFF7F"/>
    <w:multiLevelType w:val="singleLevel"/>
    <w:tmpl w:val="028E4918"/>
    <w:lvl w:ilvl="0">
      <w:start w:val="1"/>
      <w:numFmt w:val="decimal"/>
      <w:lvlText w:val="%1."/>
      <w:lvlJc w:val="left"/>
      <w:pPr>
        <w:tabs>
          <w:tab w:val="num" w:pos="643"/>
        </w:tabs>
        <w:ind w:left="643" w:hanging="360"/>
      </w:pPr>
    </w:lvl>
  </w:abstractNum>
  <w:abstractNum w:abstractNumId="4">
    <w:nsid w:val="FFFFFF80"/>
    <w:multiLevelType w:val="singleLevel"/>
    <w:tmpl w:val="5CB62D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4692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568E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7E2B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FA617A"/>
    <w:lvl w:ilvl="0">
      <w:start w:val="1"/>
      <w:numFmt w:val="decimal"/>
      <w:lvlText w:val="%1."/>
      <w:lvlJc w:val="left"/>
      <w:pPr>
        <w:tabs>
          <w:tab w:val="num" w:pos="360"/>
        </w:tabs>
        <w:ind w:left="360" w:hanging="360"/>
      </w:pPr>
    </w:lvl>
  </w:abstractNum>
  <w:abstractNum w:abstractNumId="9">
    <w:nsid w:val="FFFFFF89"/>
    <w:multiLevelType w:val="singleLevel"/>
    <w:tmpl w:val="816A203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A16F68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2227"/>
    <w:docVar w:name="WAFER_20140120161623" w:val="RemoveTocBookmarks,RemoveUnusedBookmarks,RemoveLanguageTags,UsedStyles,ResetPageSize,UpdateArrangement"/>
    <w:docVar w:name="WAFER_20140120161623_GUID" w:val="f4612724-e8ed-45f2-9c66-c927f1c32ce7"/>
    <w:docVar w:name="WAFER_20140120162411" w:val="RemoveTocBookmarks,RunningHeaders"/>
    <w:docVar w:name="WAFER_20140120162411_GUID" w:val="1f32bfb7-8d70-4368-8433-eb01a3bacdb2"/>
    <w:docVar w:name="WAFER_20140612162728" w:val="RemoveTocBookmarks,RemoveUnusedBookmarks,RemoveLanguageTags,UsedStyles,ResetPageSize,UpdateArrangement"/>
    <w:docVar w:name="WAFER_20140612162728_GUID" w:val="89c74f0a-bd2b-4dc9-9c6d-b8679a82f7e8"/>
    <w:docVar w:name="WAFER_20140612162741" w:val="RemoveTocBookmarks,RemoveUnusedBookmarks,RemoveLanguageTags,UsedStyles,ResetPageSize,UpdateArrangement"/>
    <w:docVar w:name="WAFER_20140612162741_GUID" w:val="8d0d7786-4f1e-49bc-9bea-2d85aa509c81"/>
    <w:docVar w:name="WAFER_20140617161159" w:val="RemoveTocBookmarks,RemoveUnusedBookmarks,RemoveLanguageTags,UsedStyles,ResetPageSize,UpdateArrangement"/>
    <w:docVar w:name="WAFER_20140617161159_GUID" w:val="fdf2529f-3568-4a86-a568-9e0c50b883cb"/>
    <w:docVar w:name="WAFER_20140630165632" w:val="RemoveTocBookmarks,RunningHeaders"/>
    <w:docVar w:name="WAFER_20140630165632_GUID" w:val="04ac6499-fb8f-47fb-8fb4-5efa9e0533ab"/>
    <w:docVar w:name="WAFER_20150109114636" w:val="RemoveTocBookmarks,RunningHeaders"/>
    <w:docVar w:name="WAFER_20150109114636_GUID" w:val="2d2ce25a-0390-463c-ae76-bd124e10c086"/>
    <w:docVar w:name="WAFER_20150324113927" w:val="ResetPageSize,UpdateArrangement,UpdateNTable"/>
    <w:docVar w:name="WAFER_20150324113927_GUID" w:val="1bb3db25-5ff1-4b79-ab85-4e1498755041"/>
    <w:docVar w:name="WAFER_20151102122227" w:val="UpdateStyles,UsedStyles"/>
    <w:docVar w:name="WAFER_20151102122227_GUID" w:val="7ebe5d8f-20ed-42e5-8f90-fb7399269e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4734</Words>
  <Characters>22629</Characters>
  <Application>Microsoft Office Word</Application>
  <DocSecurity>0</DocSecurity>
  <Lines>808</Lines>
  <Paragraphs>558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Bentley Hospital By-laws 2001 - 00-i0-01</dc:title>
  <dc:subject/>
  <dc:creator/>
  <cp:keywords/>
  <dc:description/>
  <cp:lastModifiedBy>svcMRProcess</cp:lastModifiedBy>
  <cp:revision>4</cp:revision>
  <cp:lastPrinted>2001-12-21T03:59:00Z</cp:lastPrinted>
  <dcterms:created xsi:type="dcterms:W3CDTF">2018-09-10T02:30:00Z</dcterms:created>
  <dcterms:modified xsi:type="dcterms:W3CDTF">2018-09-10T02:30:00Z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2001 p. 6521-39</vt:lpwstr>
  </property>
  <property fmtid="{D5CDD505-2E9C-101B-9397-08002B2CF9AE}" pid="3" name="DocumentType">
    <vt:lpwstr>Reg</vt:lpwstr>
  </property>
  <property fmtid="{D5CDD505-2E9C-101B-9397-08002B2CF9AE}" pid="4" name="OwlsUID">
    <vt:i4>2535</vt:i4>
  </property>
  <property fmtid="{D5CDD505-2E9C-101B-9397-08002B2CF9AE}" pid="5" name="AsAtDate">
    <vt:lpwstr>27 Apr 2015</vt:lpwstr>
  </property>
  <property fmtid="{D5CDD505-2E9C-101B-9397-08002B2CF9AE}" pid="6" name="Suffix">
    <vt:lpwstr>00-i0-01</vt:lpwstr>
  </property>
  <property fmtid="{D5CDD505-2E9C-101B-9397-08002B2CF9AE}" pid="7" name="CommencementDate">
    <vt:lpwstr>20150427</vt:lpwstr>
  </property>
</Properties>
</file>