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Witness Protection (Western Australia) Act 1996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Witness Protection (Western Australia) Regulations 1996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Witness Protection (Western Australia) Regulations 1996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_Toc417568088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_Toc417568089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Prescribed authorities (s. 3)</w:t>
      </w:r>
      <w:r>
        <w:tab/>
      </w:r>
      <w:r>
        <w:fldChar w:fldCharType="begin"/>
      </w:r>
      <w:r>
        <w:instrText xml:space="preserve"> PAGEREF _Toc417568090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r>
        <w:tab/>
      </w:r>
      <w:r>
        <w:fldChar w:fldCharType="begin"/>
      </w:r>
      <w:r>
        <w:instrText xml:space="preserve"> PAGEREF _Toc417568091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r>
        <w:tab/>
      </w:r>
      <w:r>
        <w:fldChar w:fldCharType="begin"/>
      </w:r>
      <w:r>
        <w:instrText xml:space="preserve"> PAGEREF _Toc417568092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Corresponding laws prescribed (s. 33)</w:t>
      </w:r>
      <w:r>
        <w:tab/>
      </w:r>
      <w:r>
        <w:fldChar w:fldCharType="begin"/>
      </w:r>
      <w:r>
        <w:instrText xml:space="preserve"> PAGEREF _Toc417568093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_Toc417568095 \h </w:instrText>
      </w:r>
      <w:r>
        <w:fldChar w:fldCharType="separate"/>
      </w:r>
      <w:r>
        <w:t>6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Act 1996</w:t>
      </w:r>
    </w:p>
    <w:p>
      <w:pPr>
        <w:pStyle w:val="NameofActReg"/>
      </w:pPr>
      <w:r>
        <w:t>Witness Protection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Regulations 1996</w:t>
      </w:r>
    </w:p>
    <w:p>
      <w:pPr>
        <w:pStyle w:val="Heading5"/>
        <w:rPr>
          <w:snapToGrid w:val="0"/>
        </w:rPr>
      </w:pPr>
      <w:bookmarkStart w:id="3" w:name="_Toc408499018"/>
      <w:bookmarkStart w:id="4" w:name="_Toc417568088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Regulations 1996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408499019"/>
      <w:bookmarkStart w:id="6" w:name="_Toc417568089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day on which the </w:t>
      </w:r>
      <w:r>
        <w:rPr>
          <w:i/>
          <w:snapToGrid w:val="0"/>
        </w:rPr>
        <w:t>Witness Protection (</w:t>
      </w:r>
      <w:smartTag w:uri="urn:schemas-microsoft-com:office:smarttags" w:element="State">
        <w:smartTag w:uri="urn:schemas-microsoft-com:office:smarttags" w:element="place">
          <w:r>
            <w:rPr>
              <w:i/>
              <w:snapToGrid w:val="0"/>
            </w:rPr>
            <w:t>Western Australia</w:t>
          </w:r>
        </w:smartTag>
      </w:smartTag>
      <w:r>
        <w:rPr>
          <w:i/>
          <w:snapToGrid w:val="0"/>
        </w:rPr>
        <w:t>) Act 1996</w:t>
      </w:r>
      <w:r>
        <w:rPr>
          <w:snapToGrid w:val="0"/>
        </w:rPr>
        <w:t xml:space="preserve"> comes into operation</w:t>
      </w:r>
      <w:r>
        <w:rPr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</w:pPr>
      <w:bookmarkStart w:id="7" w:name="_Toc408499020"/>
      <w:bookmarkStart w:id="8" w:name="_Toc417568090"/>
      <w:r>
        <w:rPr>
          <w:rStyle w:val="CharSectno"/>
        </w:rPr>
        <w:t>3</w:t>
      </w:r>
      <w:r>
        <w:t>.</w:t>
      </w:r>
      <w:r>
        <w:tab/>
        <w:t>Prescribed authorities (s. 3)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These persons are prescribed authorities for the purposes of the Act — </w:t>
      </w:r>
    </w:p>
    <w:p>
      <w:pPr>
        <w:pStyle w:val="Indenta"/>
      </w:pPr>
      <w:r>
        <w:tab/>
        <w:t>(a)</w:t>
      </w:r>
      <w:r>
        <w:tab/>
        <w:t xml:space="preserve">the person who, under the </w:t>
      </w:r>
      <w:r>
        <w:rPr>
          <w:i/>
        </w:rPr>
        <w:t>Curriculum Council Act </w:t>
      </w:r>
      <w:r>
        <w:rPr>
          <w:i/>
          <w:iCs/>
        </w:rPr>
        <w:t>1997</w:t>
      </w:r>
      <w:r>
        <w:t>, is empowered to issue a certificate to a student;</w:t>
      </w:r>
    </w:p>
    <w:p>
      <w:pPr>
        <w:pStyle w:val="Indenta"/>
      </w:pPr>
      <w:r>
        <w:tab/>
        <w:t>(b)</w:t>
      </w:r>
      <w:r>
        <w:tab/>
        <w:t xml:space="preserve">the person who, under the </w:t>
      </w:r>
      <w:r>
        <w:rPr>
          <w:i/>
        </w:rPr>
        <w:t>Vocational Education and Training Act </w:t>
      </w:r>
      <w:r>
        <w:rPr>
          <w:i/>
          <w:iCs/>
        </w:rPr>
        <w:t>1996</w:t>
      </w:r>
      <w:r>
        <w:t>, is empowered to confer an approved VET qualification or a prescribed VET qualification;</w:t>
      </w:r>
    </w:p>
    <w:p>
      <w:pPr>
        <w:pStyle w:val="Indenta"/>
      </w:pPr>
      <w:r>
        <w:tab/>
        <w:t>(c)</w:t>
      </w:r>
      <w:r>
        <w:tab/>
        <w:t xml:space="preserve">the person who, under the </w:t>
      </w:r>
      <w:r>
        <w:rPr>
          <w:i/>
          <w:iCs/>
        </w:rPr>
        <w:t>Road Traffic (Authorisation to Drive) Act 2008</w:t>
      </w:r>
      <w:r>
        <w:t>, is empowered to grant or renew a driver’s licence or issue a learner’s permit;</w:t>
      </w:r>
    </w:p>
    <w:p>
      <w:pPr>
        <w:pStyle w:val="Indenta"/>
      </w:pPr>
      <w:r>
        <w:tab/>
        <w:t>(da)</w:t>
      </w:r>
      <w:r>
        <w:tab/>
        <w:t xml:space="preserve">the person who, under the </w:t>
      </w:r>
      <w:r>
        <w:rPr>
          <w:i/>
          <w:iCs/>
        </w:rPr>
        <w:t>Road Traffic (Vehicles) Act 2012</w:t>
      </w:r>
      <w:r>
        <w:t>, is empowered to grant or renew a vehicle licence;</w:t>
      </w:r>
    </w:p>
    <w:p>
      <w:pPr>
        <w:pStyle w:val="Indenta"/>
      </w:pPr>
      <w:r>
        <w:tab/>
        <w:t>(d)</w:t>
      </w:r>
      <w:r>
        <w:tab/>
        <w:t>the person who, under an Act that establishes a University, is empowered to award, confer or grant a degree, diploma or other qualification;</w:t>
      </w:r>
    </w:p>
    <w:p>
      <w:pPr>
        <w:pStyle w:val="Indenta"/>
      </w:pPr>
      <w:r>
        <w:tab/>
        <w:t>(e)</w:t>
      </w:r>
      <w:r>
        <w:tab/>
        <w:t xml:space="preserve">the person who, under the </w:t>
      </w:r>
      <w:r>
        <w:rPr>
          <w:i/>
        </w:rPr>
        <w:t>Western Australian Photo Card Act 2014</w:t>
      </w:r>
      <w:r>
        <w:t>, is empowered to issue a photo card (as defined in section 3 of that Act).</w:t>
      </w:r>
    </w:p>
    <w:p>
      <w:pPr>
        <w:pStyle w:val="Footnotesection"/>
      </w:pPr>
      <w:r>
        <w:tab/>
        <w:t>[Regulation 3 inserted: Gazette 25 Sep 2009 p. 3749-50; amended: Gazette 5 Aug 2014 p. 2835; 8 Jan 2015 p. 155</w:t>
      </w:r>
      <w:r>
        <w:noBreakHyphen/>
        <w:t>6.]</w:t>
      </w:r>
    </w:p>
    <w:p>
      <w:pPr>
        <w:pStyle w:val="Heading5"/>
        <w:rPr>
          <w:snapToGrid w:val="0"/>
        </w:rPr>
      </w:pPr>
      <w:bookmarkStart w:id="9" w:name="_Toc408499021"/>
      <w:bookmarkStart w:id="10" w:name="_Toc417568091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Prescribed registers (s. 3)</w:t>
      </w:r>
      <w:bookmarkEnd w:id="9"/>
      <w:bookmarkEnd w:id="10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These records or registers of information are prescribed as prescribed registers for the purposes of the Act: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any record or register of information as to the matters referred to in regulation 3 and required to be kept under an Act referred to in that regulation;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any record or register of the names of persons that is required to be kept under an Act referred to in that regulation.</w:t>
      </w:r>
    </w:p>
    <w:p>
      <w:pPr>
        <w:pStyle w:val="Heading5"/>
        <w:rPr>
          <w:snapToGrid w:val="0"/>
        </w:rPr>
      </w:pPr>
      <w:bookmarkStart w:id="11" w:name="_Toc408499022"/>
      <w:bookmarkStart w:id="12" w:name="_Toc417568092"/>
      <w:r>
        <w:rPr>
          <w:rStyle w:val="CharSectno"/>
        </w:rPr>
        <w:t>5</w:t>
      </w:r>
      <w:r>
        <w:rPr>
          <w:snapToGrid w:val="0"/>
        </w:rPr>
        <w:t>.</w:t>
      </w:r>
      <w:r>
        <w:rPr>
          <w:snapToGrid w:val="0"/>
        </w:rPr>
        <w:tab/>
        <w:t>Information to be provided (s. 10)</w:t>
      </w:r>
      <w:bookmarkEnd w:id="11"/>
      <w:bookmarkEnd w:id="1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Under section 10 of the Act, a witness must provide this information to the Commissioner: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details of all the witness’s outstanding legal obligations;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(b)</w:t>
      </w:r>
      <w:r>
        <w:rPr>
          <w:snapToGrid w:val="0"/>
        </w:rPr>
        <w:tab/>
        <w:t>details of all the witness’s outstanding debts, including amounts outstanding under any judgment in this State or elsewhere or for any tax, including a tax under the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(c)</w:t>
      </w:r>
      <w:r>
        <w:rPr>
          <w:snapToGrid w:val="0"/>
        </w:rPr>
        <w:tab/>
        <w:t>details of any offences of which the witness has been convicted in this State or elsewhere;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(d)</w:t>
      </w:r>
      <w:r>
        <w:rPr>
          <w:snapToGrid w:val="0"/>
        </w:rPr>
        <w:tab/>
        <w:t>details of any civil proceedings that have been instituted by or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(e)</w:t>
      </w:r>
      <w:r>
        <w:rPr>
          <w:snapToGrid w:val="0"/>
        </w:rPr>
        <w:tab/>
        <w:t>details of any bankruptcy proceedings that have been instituted against the witness and that are pending;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(f)</w:t>
      </w:r>
      <w:r>
        <w:rPr>
          <w:snapToGrid w:val="0"/>
        </w:rPr>
        <w:tab/>
        <w:t xml:space="preserve">whether the witness is an undischarged bankrupt under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 if the witness is, copies of all documents relating to the bankruptcy;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(g)</w:t>
      </w:r>
      <w:r>
        <w:rPr>
          <w:snapToGrid w:val="0"/>
        </w:rPr>
        <w:tab/>
        <w:t xml:space="preserve">whether the witness has entered into or intends to enter into a composition with creditors, a deed of arrangement or a deed of assignment under Part X of the </w:t>
      </w:r>
      <w:r>
        <w:rPr>
          <w:i/>
          <w:snapToGrid w:val="0"/>
        </w:rPr>
        <w:t>Bankruptcy Act 1966</w:t>
      </w:r>
      <w:r>
        <w:rPr>
          <w:snapToGrid w:val="0"/>
        </w:rPr>
        <w:t xml:space="preserve"> of the Commonwealth and, if the witness has or intends to, copies of all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(h)</w:t>
      </w:r>
      <w:r>
        <w:rPr>
          <w:snapToGrid w:val="0"/>
        </w:rPr>
        <w:tab/>
        <w:t>whether the witness is restricted as to holding positions in companies, whether public or private and if so, copies of documents relevant to the restriction;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details of the witness’s immigration status;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(j)</w:t>
      </w:r>
      <w:r>
        <w:rPr>
          <w:snapToGrid w:val="0"/>
        </w:rPr>
        <w:tab/>
        <w:t>details of the witness’s assets (whether real or personal) and financial liabilities in relation to which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a record is kept under a law of the State, another State or a Territory; or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the witness has entered into a contractual arrangement;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(k)</w:t>
      </w:r>
      <w:r>
        <w:rPr>
          <w:snapToGrid w:val="0"/>
        </w:rPr>
        <w:tab/>
        <w:t>details of any cash held by the witness or any of the witness’s dependants, whether in accounts or otherwise;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(l)</w:t>
      </w:r>
      <w:r>
        <w:rPr>
          <w:snapToGrid w:val="0"/>
        </w:rPr>
        <w:tab/>
        <w:t>details of any reparation order (including any compensation or restitution order) that is in force against or in favour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(m)</w:t>
      </w:r>
      <w:r>
        <w:rPr>
          <w:snapToGrid w:val="0"/>
        </w:rPr>
        <w:tab/>
        <w:t>whether any of the witness’s property (whether real or personal) is liable to forfeiture or confiscation or is subject to restraint under a law of the State, another State, a Territory or the Commonwealth;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(n)</w:t>
      </w:r>
      <w:r>
        <w:rPr>
          <w:snapToGrid w:val="0"/>
        </w:rPr>
        <w:tab/>
        <w:t>the witness’s general medical and mental condition;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(o)</w:t>
      </w:r>
      <w:r>
        <w:rPr>
          <w:snapToGrid w:val="0"/>
        </w:rPr>
        <w:tab/>
        <w:t>the general medical and mental condition of the witness’s dependants;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(p)</w:t>
      </w:r>
      <w:r>
        <w:rPr>
          <w:snapToGrid w:val="0"/>
        </w:rPr>
        <w:tab/>
        <w:t>details of any relevant court orders or arrangements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relating to custody of or access to children;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restraining the activities of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(q)</w:t>
      </w:r>
      <w:r>
        <w:rPr>
          <w:snapToGrid w:val="0"/>
        </w:rPr>
        <w:tab/>
        <w:t>details of any business dealings in which the witness is involved;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(r)</w:t>
      </w:r>
      <w:r>
        <w:rPr>
          <w:snapToGrid w:val="0"/>
        </w:rPr>
        <w:tab/>
        <w:t>details of any sentence or other order imposed on the witness for an offence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(s)</w:t>
      </w:r>
      <w:r>
        <w:rPr>
          <w:snapToGrid w:val="0"/>
        </w:rPr>
        <w:tab/>
        <w:t>details of any order releasing the witness from custody such as an order as to bail or a parole order and to which the witness is subject, together with copies of any relevant documents;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(t)</w:t>
      </w:r>
      <w:r>
        <w:rPr>
          <w:snapToGrid w:val="0"/>
        </w:rPr>
        <w:tab/>
        <w:t>details of any arrangements that the witness has made for — 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(i)</w:t>
      </w:r>
      <w:r>
        <w:rPr>
          <w:snapToGrid w:val="0"/>
        </w:rPr>
        <w:tab/>
        <w:t>the service of documents on the witness;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(ii)</w:t>
      </w:r>
      <w:r>
        <w:rPr>
          <w:snapToGrid w:val="0"/>
        </w:rPr>
        <w:tab/>
        <w:t>representation in court proceedings;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(iii)</w:t>
      </w:r>
      <w:r>
        <w:rPr>
          <w:snapToGrid w:val="0"/>
        </w:rPr>
        <w:tab/>
        <w:t>enforcement of judgments in the witness’s favour;</w:t>
      </w:r>
    </w:p>
    <w:p>
      <w:pPr>
        <w:pStyle w:val="Indenti"/>
        <w:rPr>
          <w:snapToGrid w:val="0"/>
        </w:rPr>
      </w:pPr>
      <w:r>
        <w:rPr>
          <w:snapToGrid w:val="0"/>
        </w:rPr>
        <w:tab/>
        <w:t>(iv)</w:t>
      </w:r>
      <w:r>
        <w:rPr>
          <w:snapToGrid w:val="0"/>
        </w:rPr>
        <w:tab/>
        <w:t>compliance with the enforcement of any judgments against the witness;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(u)</w:t>
      </w:r>
      <w:r>
        <w:rPr>
          <w:snapToGrid w:val="0"/>
        </w:rPr>
        <w:tab/>
        <w:t xml:space="preserve">details of any threats or incidents, whether real or perceived, that could be regarded as a danger to the witness or to a person related to </w:t>
      </w:r>
      <w:r>
        <w:t xml:space="preserve">(including a de facto partner of the witness) </w:t>
      </w:r>
      <w:r>
        <w:rPr>
          <w:snapToGrid w:val="0"/>
        </w:rPr>
        <w:t>or associated with the witness.</w:t>
      </w:r>
    </w:p>
    <w:p>
      <w:pPr>
        <w:pStyle w:val="Footnotesection"/>
      </w:pPr>
      <w:r>
        <w:tab/>
        <w:t>[Regulation 5 amended: Gazette 30 Jun 2003 p. 2636.]</w:t>
      </w:r>
    </w:p>
    <w:p>
      <w:pPr>
        <w:pStyle w:val="Heading5"/>
      </w:pPr>
      <w:bookmarkStart w:id="13" w:name="_Toc408499023"/>
      <w:bookmarkStart w:id="14" w:name="_Toc417568093"/>
      <w:r>
        <w:rPr>
          <w:rStyle w:val="CharSectno"/>
        </w:rPr>
        <w:t>6</w:t>
      </w:r>
      <w:r>
        <w:t>.</w:t>
      </w:r>
      <w:r>
        <w:tab/>
        <w:t>Corresponding laws prescribed (s. 33)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i/>
        </w:rPr>
        <w:t>corresponding law</w:t>
      </w:r>
      <w:r>
        <w:t xml:space="preserve"> in section 33 of the Act, these laws are prescribed laws — </w:t>
      </w:r>
    </w:p>
    <w:p>
      <w:pPr>
        <w:pStyle w:val="Indenta"/>
      </w:pPr>
      <w:r>
        <w:tab/>
        <w:t>(a)</w:t>
      </w:r>
      <w:r>
        <w:tab/>
        <w:t xml:space="preserve">the </w:t>
      </w:r>
      <w:r>
        <w:rPr>
          <w:i/>
        </w:rPr>
        <w:t>Witness Protection Act 2000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Queensland</w:t>
          </w:r>
        </w:smartTag>
      </w:smartTag>
      <w:r>
        <w:t>) Part 3 Division 2;</w:t>
      </w:r>
    </w:p>
    <w:p>
      <w:pPr>
        <w:pStyle w:val="Indenta"/>
      </w:pPr>
      <w:r>
        <w:tab/>
        <w:t>(b)</w:t>
      </w:r>
      <w:r>
        <w:tab/>
        <w:t xml:space="preserve">the </w:t>
      </w:r>
      <w:r>
        <w:rPr>
          <w:i/>
        </w:rPr>
        <w:t>Witness (Identity Protection) Act 2006</w:t>
      </w:r>
      <w:r>
        <w:t xml:space="preserve"> (</w:t>
      </w:r>
      <w:smartTag w:uri="urn:schemas-microsoft-com:office:smarttags" w:element="place">
        <w:smartTag w:uri="urn:schemas-microsoft-com:office:smarttags" w:element="State">
          <w:r>
            <w:t>Tasmania</w:t>
          </w:r>
        </w:smartTag>
      </w:smartTag>
      <w:r>
        <w:t>) Part 3.</w:t>
      </w:r>
    </w:p>
    <w:p>
      <w:pPr>
        <w:pStyle w:val="Footnotesection"/>
      </w:pPr>
      <w:r>
        <w:tab/>
        <w:t>[Regulation 6 inserted: Gazette 25 Jan 2013 p. 281.]</w:t>
      </w:r>
    </w:p>
    <w:p>
      <w:pPr>
        <w:pStyle w:val="yEdnoteschedule"/>
      </w:pPr>
      <w:r>
        <w:t>[Schedule 1 deleted: Gazette 25 Jan 2013 p. 281.]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5" w:name="_Toc408499024"/>
      <w:bookmarkStart w:id="16" w:name="_Toc416966827"/>
      <w:bookmarkStart w:id="17" w:name="_Toc416966858"/>
      <w:bookmarkStart w:id="18" w:name="_Toc417568094"/>
      <w:r>
        <w:t>Notes</w:t>
      </w:r>
      <w:bookmarkEnd w:id="15"/>
      <w:bookmarkEnd w:id="16"/>
      <w:bookmarkEnd w:id="17"/>
      <w:bookmarkEnd w:id="18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Witness Protection (</w:t>
      </w:r>
      <w:smartTag w:uri="urn:schemas-microsoft-com:office:smarttags" w:element="place">
        <w:smartTag w:uri="urn:schemas-microsoft-com:office:smarttags" w:element="Stat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Regulations 1996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9" w:name="_Toc408499025"/>
      <w:bookmarkStart w:id="20" w:name="_Toc417568095"/>
      <w:r>
        <w:rPr>
          <w:snapToGrid w:val="0"/>
        </w:rPr>
        <w:t>Compilation table</w:t>
      </w:r>
      <w:bookmarkEnd w:id="19"/>
      <w:bookmarkEnd w:id="20"/>
    </w:p>
    <w:tbl>
      <w:tblPr>
        <w:tblW w:w="0" w:type="auto"/>
        <w:tblInd w:w="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 Regulations 1996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6 Dec 1996 p. 6779</w:t>
            </w:r>
            <w:r>
              <w:noBreakHyphen/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7 Dec 1996 (see r. 2 and </w:t>
            </w:r>
            <w:r>
              <w:rPr>
                <w:i/>
              </w:rPr>
              <w:t>Gazette</w:t>
            </w:r>
            <w:r>
              <w:t xml:space="preserve"> 6 Dec 1996 p. 6699)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 41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30 Jun 2003 p. 2581</w:t>
            </w:r>
            <w:r>
              <w:noBreakHyphen/>
              <w:t>638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 xml:space="preserve">1 Jul 2003 (see r. 2 and </w:t>
            </w:r>
            <w:r>
              <w:rPr>
                <w:i/>
              </w:rPr>
              <w:t xml:space="preserve">Gazette </w:t>
            </w:r>
            <w:r>
              <w:t>30 Jun 2003 p. 2579)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b/>
                    <w:i/>
                  </w:rPr>
                  <w:t>Western Australia</w:t>
                </w:r>
              </w:smartTag>
            </w:smartTag>
            <w:r>
              <w:rPr>
                <w:b/>
                <w:i/>
              </w:rPr>
              <w:t>) Regulations 1996</w:t>
            </w:r>
            <w:r>
              <w:rPr>
                <w:b/>
              </w:rPr>
              <w:t xml:space="preserve"> as at 16 Jan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Witness Protection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 Amendment Regulations 2009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Sep 2009 p. 3749-50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25 Sep 2009 (see r. 2(a));</w:t>
            </w:r>
            <w:r>
              <w:rPr>
                <w:snapToGrid w:val="0"/>
              </w:rPr>
              <w:br/>
              <w:t>Regulations other than r. 1 and 2: 26 Sep 2009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Witness Protection (Western Australia) Amendment Regulations 2013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Jan 2013 p. 280-1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 1 and 2: 25 Jan 2013 (see r. 2(a));</w:t>
            </w:r>
            <w:r>
              <w:rPr>
                <w:snapToGrid w:val="0"/>
              </w:rPr>
              <w:br/>
              <w:t>Regulations other than r. 1 and 2: 1 Mar 2013 (see r. 2(b))</w:t>
            </w:r>
          </w:p>
        </w:tc>
      </w:tr>
      <w:t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Witness Protection (Western Australia) Amendment Regulations (No. 2) 2014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5 Aug 2014 p. 2835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5 Aug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6 Aug 2014 (see r. 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Witness Protection (Western Australia) Amendment Regulations 2014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8 Jan 2015 p. 155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rFonts w:ascii="Times" w:hAnsi="Times"/>
                <w:bCs/>
                <w:snapToGrid w:val="0"/>
                <w:spacing w:val="-2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8 Jan 2015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rFonts w:ascii="Times" w:hAnsi="Times"/>
                <w:bCs/>
                <w:i/>
                <w:snapToGrid w:val="0"/>
                <w:spacing w:val="-2"/>
              </w:rPr>
              <w:t>Gazette</w:t>
            </w:r>
            <w:r>
              <w:rPr>
                <w:rFonts w:ascii="Times" w:hAnsi="Times"/>
                <w:bCs/>
                <w:snapToGrid w:val="0"/>
                <w:spacing w:val="-2"/>
              </w:rPr>
              <w:t xml:space="preserve"> 17 Apr 2015 p. 1371)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76" w:right="2404" w:bottom="3544" w:left="2404" w:header="720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27 Apr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01-g0-02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Witness Protection (Western Australia)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Witness Protection (Western Australia)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1" w:name="Compilation"/>
    <w:bookmarkEnd w:id="21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2" w:name="Coversheet"/>
    <w:bookmarkEnd w:id="22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Witness Protection (Western Australia)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Witness Protection (Western Australia)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Witness Protection (Western Australia)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Witness Protection (Western Australia) Regulations 1996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E2EA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B6FE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AAC6A5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40B0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8696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049C0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2B3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3468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1E56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004B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AB84991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13912"/>
    <w:docVar w:name="WAFER_20140204134917" w:val="RemoveTocBookmarks,RemoveUnusedBookmarks,RemoveLanguageTags,UsedStyles,ResetPageSize,UpdateArrangement"/>
    <w:docVar w:name="WAFER_20140204134917_GUID" w:val="da5baf61-981d-4ae0-9b95-1774cda81763"/>
    <w:docVar w:name="WAFER_20140204135708" w:val="RemoveTocBookmarks,RunningHeaders"/>
    <w:docVar w:name="WAFER_20140204135708_GUID" w:val="adeb8d36-28b9-4027-bebb-565d846f5b36"/>
    <w:docVar w:name="WAFER_20140804100711" w:val="RemoveTocBookmarks,RemoveUnusedBookmarks,RemoveLanguageTags,UsedStyles,ResetPageSize,UpdateArrangement"/>
    <w:docVar w:name="WAFER_20140804100711_GUID" w:val="e0159165-a9b0-4d82-baac-3e324a81f3d2"/>
    <w:docVar w:name="WAFER_20150108164306" w:val="RemoveTocBookmarks,RunningHeaders"/>
    <w:docVar w:name="WAFER_20150108164306_GUID" w:val="bf7aaa85-bb82-4870-bfe5-52bd8e19e79c"/>
    <w:docVar w:name="WAFER_20150416164329" w:val="ResetPageSize,UpdateArrangement,UpdateNTable"/>
    <w:docVar w:name="WAFER_20150416164329_GUID" w:val="0fbe4413-9d56-4155-a725-db55c5d4f07b"/>
    <w:docVar w:name="WAFER_20151112113912" w:val="UpdateStyles,UsedStyles"/>
    <w:docVar w:name="WAFER_20151112113912_GUID" w:val="8c75a9bd-4277-46bd-a043-9a13992b136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hText">
    <w:name w:val="CharSchText"/>
    <w:rPr>
      <w:noProof w:val="0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1381</Words>
  <Characters>6869</Characters>
  <Application>Microsoft Office Word</Application>
  <DocSecurity>0</DocSecurity>
  <Lines>221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Protection (Western Australia) Regulations 1996 - 01-g0-02</dc:title>
  <dc:subject/>
  <dc:creator/>
  <cp:keywords/>
  <dc:description/>
  <cp:lastModifiedBy>svcMRProcess</cp:lastModifiedBy>
  <cp:revision>4</cp:revision>
  <cp:lastPrinted>2004-01-20T08:01:00Z</cp:lastPrinted>
  <dcterms:created xsi:type="dcterms:W3CDTF">2019-01-22T02:32:00Z</dcterms:created>
  <dcterms:modified xsi:type="dcterms:W3CDTF">2019-01-22T02:32:00Z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6 December 1996 pp.6779-82</vt:lpwstr>
  </property>
  <property fmtid="{D5CDD505-2E9C-101B-9397-08002B2CF9AE}" pid="3" name="DocumentType">
    <vt:lpwstr>Reg</vt:lpwstr>
  </property>
  <property fmtid="{D5CDD505-2E9C-101B-9397-08002B2CF9AE}" pid="4" name="OwlsUID">
    <vt:i4>4880</vt:i4>
  </property>
  <property fmtid="{D5CDD505-2E9C-101B-9397-08002B2CF9AE}" pid="5" name="CommencementDate">
    <vt:lpwstr>20150427</vt:lpwstr>
  </property>
  <property fmtid="{D5CDD505-2E9C-101B-9397-08002B2CF9AE}" pid="6" name="AsAtDate">
    <vt:lpwstr>27 Apr 2015</vt:lpwstr>
  </property>
  <property fmtid="{D5CDD505-2E9C-101B-9397-08002B2CF9AE}" pid="7" name="Suffix">
    <vt:lpwstr>01-g0-02</vt:lpwstr>
  </property>
</Properties>
</file>