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(Fees)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_Toc139270555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_Toc139270556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_Toc139270557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_Toc139270558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_Toc139270559 \h </w:instrText>
      </w:r>
      <w:r>
        <w:fldChar w:fldCharType="separate"/>
      </w:r>
      <w:r>
        <w:t>2</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_Toc139270560 \h </w:instrText>
      </w:r>
      <w:r>
        <w:fldChar w:fldCharType="separate"/>
      </w:r>
      <w:r>
        <w:t>2</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_Toc139270561 \h </w:instrText>
      </w:r>
      <w:r>
        <w:fldChar w:fldCharType="separate"/>
      </w:r>
      <w:r>
        <w:t>3</w:t>
      </w:r>
      <w:r>
        <w:fldChar w:fldCharType="end"/>
      </w:r>
    </w:p>
    <w:p>
      <w:pPr>
        <w:pStyle w:val="TOC8"/>
        <w:rPr>
          <w:sz w:val="24"/>
          <w:szCs w:val="24"/>
        </w:rPr>
      </w:pPr>
      <w:r>
        <w:rPr>
          <w:szCs w:val="24"/>
        </w:rPr>
        <w:t>8.</w:t>
      </w:r>
      <w:r>
        <w:rPr>
          <w:szCs w:val="24"/>
        </w:rPr>
        <w:tab/>
      </w:r>
      <w:r>
        <w:rPr>
          <w:snapToGrid w:val="0"/>
          <w:szCs w:val="24"/>
        </w:rPr>
        <w:t>Court, registrar or deputy registrar may remit fees</w:t>
      </w:r>
      <w:r>
        <w:tab/>
      </w:r>
      <w:r>
        <w:fldChar w:fldCharType="begin"/>
      </w:r>
      <w:r>
        <w:instrText xml:space="preserve"> PAGEREF _Toc139270562 \h </w:instrText>
      </w:r>
      <w:r>
        <w:fldChar w:fldCharType="separate"/>
      </w:r>
      <w:r>
        <w:t>3</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_Toc139270563 \h </w:instrText>
      </w:r>
      <w:r>
        <w:fldChar w:fldCharType="separate"/>
      </w:r>
      <w:r>
        <w:t>6</w:t>
      </w:r>
      <w:r>
        <w:fldChar w:fldCharType="end"/>
      </w:r>
    </w:p>
    <w:p>
      <w:pPr>
        <w:pStyle w:val="TOC8"/>
        <w:rPr>
          <w:sz w:val="24"/>
          <w:szCs w:val="24"/>
        </w:rPr>
      </w:pPr>
      <w:r>
        <w:rPr>
          <w:szCs w:val="24"/>
        </w:rPr>
        <w:t>10.</w:t>
      </w:r>
      <w:r>
        <w:rPr>
          <w:szCs w:val="24"/>
        </w:rPr>
        <w:tab/>
        <w:t>Resolution of disputes as to fees</w:t>
      </w:r>
      <w:r>
        <w:tab/>
      </w:r>
      <w:r>
        <w:fldChar w:fldCharType="begin"/>
      </w:r>
      <w:r>
        <w:instrText xml:space="preserve"> PAGEREF _Toc139270564 \h </w:instrText>
      </w:r>
      <w:r>
        <w:fldChar w:fldCharType="separate"/>
      </w:r>
      <w:r>
        <w:t>6</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_Toc139270565 \h </w:instrText>
      </w:r>
      <w:r>
        <w:fldChar w:fldCharType="separate"/>
      </w:r>
      <w:r>
        <w:t>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Application to remit fees</w:t>
      </w:r>
      <w:r>
        <w:tab/>
      </w:r>
      <w:r>
        <w:fldChar w:fldCharType="begin"/>
      </w:r>
      <w:r>
        <w:instrText xml:space="preserve"> PAGEREF _Toc139270571 \h </w:instrText>
      </w:r>
      <w:r>
        <w:fldChar w:fldCharType="separate"/>
      </w:r>
      <w:r>
        <w:t>11</w:t>
      </w:r>
      <w:r>
        <w:fldChar w:fldCharType="end"/>
      </w:r>
    </w:p>
    <w:p>
      <w:pPr>
        <w:pStyle w:val="TOC8"/>
        <w:rPr>
          <w:sz w:val="24"/>
          <w:szCs w:val="24"/>
        </w:rPr>
      </w:pPr>
      <w:r>
        <w:rPr>
          <w:szCs w:val="22"/>
        </w:rPr>
        <w:t>2.</w:t>
      </w:r>
      <w:r>
        <w:rPr>
          <w:szCs w:val="22"/>
        </w:rPr>
        <w:tab/>
        <w:t>Application for determination of dispute about fees</w:t>
      </w:r>
      <w:r>
        <w:tab/>
      </w:r>
      <w:r>
        <w:fldChar w:fldCharType="begin"/>
      </w:r>
      <w:r>
        <w:instrText xml:space="preserve"> PAGEREF _Toc139270572 \h </w:instrText>
      </w:r>
      <w:r>
        <w:fldChar w:fldCharType="separate"/>
      </w:r>
      <w:r>
        <w:t>14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_Toc139270574 \h </w:instrText>
      </w:r>
      <w:r>
        <w:fldChar w:fldCharType="separate"/>
      </w:r>
      <w:r>
        <w:t>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Children’s Court of Western Australia Act 1988</w:t>
      </w:r>
    </w:p>
    <w:p>
      <w:pPr>
        <w:pStyle w:val="NameofActReg"/>
      </w:pPr>
      <w:r>
        <w:t>Children’s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4711"/>
      <w:bookmarkStart w:id="8" w:name="_Toc138836650"/>
      <w:bookmarkStart w:id="9" w:name="_Toc139270555"/>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4712"/>
      <w:bookmarkStart w:id="17" w:name="_Toc138836651"/>
      <w:bookmarkStart w:id="18" w:name="_Toc139270556"/>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19" w:name="_Toc96402830"/>
      <w:bookmarkStart w:id="20" w:name="_Toc100634713"/>
      <w:bookmarkStart w:id="21" w:name="_Toc138836652"/>
      <w:bookmarkStart w:id="22" w:name="_Toc139270557"/>
      <w:r>
        <w:rPr>
          <w:rStyle w:val="CharSectno"/>
        </w:rPr>
        <w:t>3</w:t>
      </w:r>
      <w:r>
        <w:t>.</w:t>
      </w:r>
      <w:r>
        <w:tab/>
        <w:t>Terms used in these regulations</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t>“</w:t>
      </w:r>
      <w:r>
        <w:rPr>
          <w:rStyle w:val="CharDefText"/>
        </w:rPr>
        <w:t>civil jurisdiction</w:t>
      </w:r>
      <w:r>
        <w:rPr>
          <w:b/>
        </w:rPr>
        <w:t>”</w:t>
      </w:r>
      <w:r>
        <w:t xml:space="preserve"> means the Court’s jurisdiction other than criminal jurisdiction;</w:t>
      </w:r>
    </w:p>
    <w:p>
      <w:pPr>
        <w:pStyle w:val="Defstart"/>
      </w:pPr>
      <w:r>
        <w:rPr>
          <w:b/>
        </w:rPr>
        <w:tab/>
        <w:t>“</w:t>
      </w:r>
      <w:r>
        <w:rPr>
          <w:rStyle w:val="CharDefText"/>
        </w:rPr>
        <w:t>criminal jurisdiction</w:t>
      </w:r>
      <w:r>
        <w:rPr>
          <w:b/>
        </w:rPr>
        <w:t>”</w:t>
      </w:r>
      <w:r>
        <w:t xml:space="preserve"> means the Court’s jurisdiction under the Act section 19;</w:t>
      </w:r>
    </w:p>
    <w:p>
      <w:pPr>
        <w:pStyle w:val="Defstart"/>
      </w:pPr>
      <w:r>
        <w:rPr>
          <w:b/>
        </w:rPr>
        <w:tab/>
        <w:t>“</w:t>
      </w:r>
      <w:r>
        <w:rPr>
          <w:rStyle w:val="CharDefText"/>
        </w:rPr>
        <w:t>deputy registrar</w:t>
      </w:r>
      <w:r>
        <w:rPr>
          <w:b/>
        </w:rPr>
        <w:t>”</w:t>
      </w:r>
      <w:r>
        <w:t xml:space="preserve"> means a deputy registrar appointed under the Act section 16(1);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Footnotesection"/>
      </w:pPr>
      <w:r>
        <w:tab/>
        <w:t>[Regulation 3 amended in Gazette 23 Jun 2006 p. 2182.]</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4714"/>
      <w:bookmarkStart w:id="32" w:name="_Toc138836653"/>
      <w:bookmarkStart w:id="33" w:name="_Toc139270558"/>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Subject to the provisions of these regulations, the fees specified in Schedule </w:t>
      </w:r>
      <w:bookmarkStart w:id="34" w:name="_Hlt533230123"/>
      <w:r>
        <w:rPr>
          <w:snapToGrid w:val="0"/>
        </w:rPr>
        <w:t>1</w:t>
      </w:r>
      <w:bookmarkEnd w:id="34"/>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5" w:name="_Toc437922207"/>
      <w:bookmarkStart w:id="36" w:name="_Toc483972642"/>
      <w:bookmarkStart w:id="37" w:name="_Toc506018773"/>
      <w:bookmarkStart w:id="38" w:name="_Toc519738592"/>
      <w:bookmarkStart w:id="39" w:name="_Toc520868380"/>
      <w:bookmarkStart w:id="40" w:name="_Toc533482757"/>
      <w:bookmarkStart w:id="41" w:name="_Toc61252560"/>
      <w:bookmarkStart w:id="42" w:name="_Toc96402832"/>
      <w:bookmarkStart w:id="43" w:name="_Toc96756225"/>
      <w:bookmarkStart w:id="44" w:name="_Toc100634715"/>
      <w:bookmarkStart w:id="45" w:name="_Toc138836654"/>
      <w:bookmarkStart w:id="46" w:name="_Toc139270559"/>
      <w:r>
        <w:rPr>
          <w:rStyle w:val="CharSectno"/>
        </w:rPr>
        <w:t>5</w:t>
      </w:r>
      <w:r>
        <w:t>.</w:t>
      </w:r>
      <w:r>
        <w:tab/>
      </w:r>
      <w:r>
        <w:rPr>
          <w:snapToGrid w:val="0"/>
        </w:rPr>
        <w:t>Exemptions</w:t>
      </w:r>
      <w:bookmarkEnd w:id="35"/>
      <w:bookmarkEnd w:id="36"/>
      <w:bookmarkEnd w:id="37"/>
      <w:bookmarkEnd w:id="38"/>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7" w:name="_Toc96756226"/>
      <w:bookmarkStart w:id="48" w:name="_Toc100634716"/>
      <w:bookmarkStart w:id="49" w:name="_Toc138836655"/>
      <w:bookmarkStart w:id="50" w:name="_Toc139270560"/>
      <w:r>
        <w:rPr>
          <w:rStyle w:val="CharSectno"/>
        </w:rPr>
        <w:t>6</w:t>
      </w:r>
      <w:r>
        <w:t>.</w:t>
      </w:r>
      <w:r>
        <w:tab/>
        <w:t>Fees subject to conditions or waiver</w:t>
      </w:r>
      <w:bookmarkEnd w:id="47"/>
      <w:bookmarkEnd w:id="48"/>
      <w:bookmarkEnd w:id="49"/>
      <w:bookmarkEnd w:id="50"/>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If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1" w:name="_Toc437922208"/>
      <w:bookmarkStart w:id="52" w:name="_Toc483972643"/>
      <w:bookmarkStart w:id="53" w:name="_Toc506018774"/>
      <w:bookmarkStart w:id="54" w:name="_Toc519738593"/>
      <w:bookmarkStart w:id="55" w:name="_Toc520868381"/>
      <w:bookmarkStart w:id="56" w:name="_Toc533482758"/>
      <w:bookmarkStart w:id="57" w:name="_Toc61252561"/>
      <w:bookmarkStart w:id="58" w:name="_Toc96402833"/>
      <w:bookmarkStart w:id="59" w:name="_Toc100634717"/>
      <w:bookmarkStart w:id="60" w:name="_Toc138836656"/>
      <w:bookmarkStart w:id="61" w:name="_Toc139270561"/>
      <w:r>
        <w:rPr>
          <w:rStyle w:val="CharSectno"/>
        </w:rPr>
        <w:t>7</w:t>
      </w:r>
      <w:r>
        <w:t>.</w:t>
      </w:r>
      <w:r>
        <w:tab/>
      </w:r>
      <w:r>
        <w:rPr>
          <w:rStyle w:val="CharSectno"/>
        </w:rPr>
        <w:t>F</w:t>
      </w:r>
      <w:r>
        <w:rPr>
          <w:snapToGrid w:val="0"/>
        </w:rPr>
        <w:t>ees to be paid before documents etc. filed</w:t>
      </w:r>
      <w:bookmarkEnd w:id="51"/>
      <w:bookmarkEnd w:id="52"/>
      <w:bookmarkEnd w:id="53"/>
      <w:bookmarkEnd w:id="54"/>
      <w:bookmarkEnd w:id="55"/>
      <w:bookmarkEnd w:id="56"/>
      <w:bookmarkEnd w:id="57"/>
      <w:bookmarkEnd w:id="58"/>
      <w:bookmarkEnd w:id="59"/>
      <w:bookmarkEnd w:id="60"/>
      <w:bookmarkEnd w:id="61"/>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rPr>
          <w:snapToGrid w:val="0"/>
        </w:rPr>
      </w:pPr>
      <w:bookmarkStart w:id="62" w:name="_Toc437922210"/>
      <w:bookmarkStart w:id="63" w:name="_Toc483972645"/>
      <w:bookmarkStart w:id="64" w:name="_Toc506018776"/>
      <w:bookmarkStart w:id="65" w:name="_Toc519738594"/>
      <w:bookmarkStart w:id="66" w:name="_Toc520868382"/>
      <w:bookmarkStart w:id="67" w:name="_Toc533482759"/>
      <w:bookmarkStart w:id="68" w:name="_Toc61252562"/>
      <w:bookmarkStart w:id="69" w:name="_Toc96402834"/>
      <w:bookmarkStart w:id="70" w:name="_Toc100634718"/>
      <w:bookmarkStart w:id="71" w:name="_Toc138836657"/>
      <w:bookmarkStart w:id="72" w:name="_Toc139270562"/>
      <w:r>
        <w:rPr>
          <w:rStyle w:val="CharSectno"/>
        </w:rPr>
        <w:t>8</w:t>
      </w:r>
      <w:r>
        <w:t>.</w:t>
      </w:r>
      <w:r>
        <w:tab/>
      </w:r>
      <w:r>
        <w:rPr>
          <w:snapToGrid w:val="0"/>
        </w:rPr>
        <w:t>Court, registrar or deputy registrar may remit fees</w:t>
      </w:r>
      <w:bookmarkEnd w:id="62"/>
      <w:bookmarkEnd w:id="63"/>
      <w:bookmarkEnd w:id="64"/>
      <w:bookmarkEnd w:id="65"/>
      <w:bookmarkEnd w:id="66"/>
      <w:bookmarkEnd w:id="67"/>
      <w:bookmarkEnd w:id="68"/>
      <w:bookmarkEnd w:id="69"/>
      <w:bookmarkEnd w:id="70"/>
      <w:bookmarkEnd w:id="71"/>
      <w:bookmarkEnd w:id="72"/>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73" w:name="_Toc437922211"/>
      <w:bookmarkStart w:id="74" w:name="_Toc483972646"/>
      <w:bookmarkStart w:id="75" w:name="_Toc506018777"/>
      <w:bookmarkStart w:id="76" w:name="_Toc519738595"/>
      <w:bookmarkStart w:id="77" w:name="_Toc520868383"/>
      <w:bookmarkStart w:id="78" w:name="_Toc533482760"/>
      <w:r>
        <w:tab/>
        <w:t>(12)</w:t>
      </w:r>
      <w:r>
        <w:tab/>
        <w:t>Despite the provisions of these regulations, a fee is not to be charged in respect of an application under subregulation (2).</w:t>
      </w:r>
    </w:p>
    <w:p>
      <w:pPr>
        <w:pStyle w:val="Heading5"/>
        <w:rPr>
          <w:snapToGrid w:val="0"/>
        </w:rPr>
      </w:pPr>
      <w:bookmarkStart w:id="79" w:name="_Toc61252563"/>
      <w:bookmarkStart w:id="80" w:name="_Toc96402835"/>
      <w:bookmarkStart w:id="81" w:name="_Toc100634719"/>
      <w:bookmarkStart w:id="82" w:name="_Toc138836658"/>
      <w:bookmarkStart w:id="83" w:name="_Toc139270563"/>
      <w:r>
        <w:rPr>
          <w:rStyle w:val="CharSectno"/>
        </w:rPr>
        <w:t>9</w:t>
      </w:r>
      <w:r>
        <w:t>.</w:t>
      </w:r>
      <w:r>
        <w:tab/>
      </w:r>
      <w:r>
        <w:rPr>
          <w:snapToGrid w:val="0"/>
        </w:rPr>
        <w:t>Conventions</w:t>
      </w:r>
      <w:bookmarkEnd w:id="73"/>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4" w:name="_Toc96398500"/>
      <w:bookmarkStart w:id="85" w:name="_Toc100634720"/>
      <w:bookmarkStart w:id="86" w:name="_Toc138836659"/>
      <w:bookmarkStart w:id="87" w:name="_Toc139270564"/>
      <w:r>
        <w:rPr>
          <w:rStyle w:val="CharSectno"/>
        </w:rPr>
        <w:t>10</w:t>
      </w:r>
      <w:r>
        <w:t>.</w:t>
      </w:r>
      <w:r>
        <w:tab/>
        <w:t>Resolution of disputes as to fees</w:t>
      </w:r>
      <w:bookmarkEnd w:id="84"/>
      <w:bookmarkEnd w:id="85"/>
      <w:bookmarkEnd w:id="86"/>
      <w:bookmarkEnd w:id="8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8" w:name="_Toc97609766"/>
      <w:bookmarkStart w:id="89" w:name="_Toc100634721"/>
      <w:bookmarkStart w:id="90" w:name="_Toc138836660"/>
      <w:bookmarkStart w:id="91" w:name="_Toc139270565"/>
      <w:r>
        <w:rPr>
          <w:rStyle w:val="CharSectno"/>
        </w:rPr>
        <w:t>11</w:t>
      </w:r>
      <w:r>
        <w:t>.</w:t>
      </w:r>
      <w:r>
        <w:tab/>
        <w:t>Recovery of unpaid fees</w:t>
      </w:r>
      <w:bookmarkEnd w:id="88"/>
      <w:bookmarkEnd w:id="89"/>
      <w:bookmarkEnd w:id="90"/>
      <w:bookmarkEnd w:id="91"/>
    </w:p>
    <w:p>
      <w:pPr>
        <w:pStyle w:val="Subsection"/>
      </w:pPr>
      <w:r>
        <w:tab/>
      </w:r>
      <w:r>
        <w:tab/>
        <w:t>Any unpaid fee is a debt due to the State and may be recovered by action in a court of competent jurisdiction.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2" w:name="_Toc100634722"/>
    </w:p>
    <w:p>
      <w:pPr>
        <w:pStyle w:val="yScheduleHeading"/>
      </w:pPr>
      <w:bookmarkStart w:id="93" w:name="_Toc138836661"/>
      <w:bookmarkStart w:id="94" w:name="_Toc138836729"/>
      <w:bookmarkStart w:id="95" w:name="_Toc139270566"/>
      <w:r>
        <w:rPr>
          <w:rStyle w:val="CharSchNo"/>
        </w:rPr>
        <w:t>Schedule 1</w:t>
      </w:r>
      <w:r>
        <w:t> — </w:t>
      </w:r>
      <w:r>
        <w:rPr>
          <w:rStyle w:val="CharSchText"/>
        </w:rPr>
        <w:t>Fees</w:t>
      </w:r>
      <w:bookmarkEnd w:id="92"/>
      <w:bookmarkEnd w:id="93"/>
      <w:bookmarkEnd w:id="94"/>
      <w:bookmarkEnd w:id="95"/>
    </w:p>
    <w:p>
      <w:pPr>
        <w:pStyle w:val="yShoulderClause"/>
      </w:pPr>
      <w:r>
        <w:t>[r. 4]</w:t>
      </w:r>
    </w:p>
    <w:p>
      <w:pPr>
        <w:pStyle w:val="yHeading3"/>
        <w:spacing w:after="120"/>
      </w:pPr>
      <w:bookmarkStart w:id="96" w:name="_Toc96756237"/>
      <w:bookmarkStart w:id="97" w:name="_Toc100634723"/>
      <w:bookmarkStart w:id="98" w:name="_Toc138836662"/>
      <w:bookmarkStart w:id="99" w:name="_Toc138836730"/>
      <w:bookmarkStart w:id="100" w:name="_Toc139270567"/>
      <w:r>
        <w:rPr>
          <w:rStyle w:val="CharSDivNo"/>
        </w:rPr>
        <w:t>Division 1</w:t>
      </w:r>
      <w:r>
        <w:rPr>
          <w:b w:val="0"/>
        </w:rPr>
        <w:t> — </w:t>
      </w:r>
      <w:r>
        <w:rPr>
          <w:rStyle w:val="CharSDivText"/>
        </w:rPr>
        <w:t>General</w:t>
      </w:r>
      <w:bookmarkEnd w:id="96"/>
      <w:bookmarkEnd w:id="97"/>
      <w:bookmarkEnd w:id="98"/>
      <w:bookmarkEnd w:id="99"/>
      <w:bookmarkEnd w:id="100"/>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175"/>
              <w:jc w:val="center"/>
              <w:rPr>
                <w:sz w:val="20"/>
              </w:rPr>
            </w:pPr>
            <w:r>
              <w:rPr>
                <w:sz w:val="20"/>
              </w:rPr>
              <w:br/>
            </w:r>
            <w:r>
              <w:rPr>
                <w:sz w:val="20"/>
              </w:rPr>
              <w:br/>
            </w:r>
          </w:p>
          <w:p>
            <w:pPr>
              <w:pStyle w:val="yTable"/>
              <w:ind w:right="33"/>
              <w:jc w:val="center"/>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jc w:val="center"/>
              <w:rPr>
                <w:sz w:val="20"/>
              </w:rPr>
            </w:pPr>
            <w:r>
              <w:rPr>
                <w:sz w:val="20"/>
              </w:rPr>
              <w:br/>
            </w:r>
            <w:r>
              <w:rPr>
                <w:sz w:val="20"/>
              </w:rPr>
              <w:br/>
              <w:t>39.50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rPr>
                <w:sz w:val="20"/>
              </w:rPr>
            </w:pPr>
            <w:r>
              <w:rPr>
                <w:sz w:val="20"/>
              </w:rPr>
              <w:br/>
            </w:r>
            <w:r>
              <w:rPr>
                <w:sz w:val="20"/>
              </w:rPr>
              <w:br/>
            </w:r>
            <w:r>
              <w:rPr>
                <w:sz w:val="20"/>
              </w:rPr>
              <w:br/>
            </w:r>
            <w:r>
              <w:rPr>
                <w:sz w:val="20"/>
              </w:rPr>
              <w:br/>
            </w:r>
            <w:r>
              <w:rPr>
                <w:sz w:val="20"/>
              </w:rPr>
              <w:br/>
            </w:r>
            <w:r>
              <w:rPr>
                <w:sz w:val="20"/>
              </w:rPr>
              <w:br/>
            </w:r>
          </w:p>
          <w:p>
            <w:pPr>
              <w:pStyle w:val="yTable"/>
              <w:spacing w:before="0"/>
              <w:jc w:val="center"/>
              <w:rPr>
                <w:sz w:val="20"/>
              </w:rPr>
            </w:pPr>
            <w:r>
              <w:rPr>
                <w:sz w:val="20"/>
              </w:rPr>
              <w:br/>
              <w:t>1.00</w:t>
            </w:r>
            <w:r>
              <w:rPr>
                <w:sz w:val="20"/>
              </w:rPr>
              <w:br/>
            </w:r>
            <w:r>
              <w:rPr>
                <w:sz w:val="20"/>
              </w:rPr>
              <w:br/>
              <w:t>1.10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jc w:val="center"/>
              <w:rPr>
                <w:sz w:val="20"/>
              </w:rPr>
            </w:pPr>
            <w:r>
              <w:rPr>
                <w:sz w:val="20"/>
              </w:rPr>
              <w:br/>
            </w:r>
            <w:r>
              <w:rPr>
                <w:sz w:val="20"/>
              </w:rPr>
              <w:br/>
            </w:r>
            <w:r>
              <w:rPr>
                <w:sz w:val="20"/>
              </w:rPr>
              <w:br/>
            </w:r>
            <w:r>
              <w:rPr>
                <w:sz w:val="20"/>
              </w:rPr>
              <w:br/>
              <w:t>23.00</w:t>
            </w:r>
          </w:p>
          <w:p>
            <w:pPr>
              <w:pStyle w:val="yTable"/>
              <w:spacing w:before="0"/>
              <w:jc w:val="center"/>
              <w:rPr>
                <w:sz w:val="20"/>
              </w:rPr>
            </w:pPr>
            <w:r>
              <w:rPr>
                <w:sz w:val="20"/>
              </w:rPr>
              <w:br/>
            </w:r>
            <w:r>
              <w:rPr>
                <w:sz w:val="20"/>
              </w:rPr>
              <w:br/>
            </w:r>
            <w:r>
              <w:rPr>
                <w:sz w:val="20"/>
              </w:rPr>
              <w:br/>
              <w:t>23.00</w:t>
            </w:r>
          </w:p>
          <w:p>
            <w:pPr>
              <w:pStyle w:val="yTable"/>
              <w:jc w:val="center"/>
              <w:rPr>
                <w:sz w:val="20"/>
              </w:rPr>
            </w:pPr>
            <w:r>
              <w:rPr>
                <w:sz w:val="20"/>
              </w:rPr>
              <w:br/>
              <w:t>57.00</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jc w:val="center"/>
              <w:rPr>
                <w:sz w:val="20"/>
              </w:rPr>
            </w:pPr>
            <w:r>
              <w:rPr>
                <w:sz w:val="20"/>
              </w:rPr>
              <w:br/>
            </w:r>
            <w:r>
              <w:rPr>
                <w:sz w:val="20"/>
              </w:rPr>
              <w:br/>
            </w:r>
            <w:r>
              <w:rPr>
                <w:sz w:val="20"/>
              </w:rPr>
              <w:br/>
            </w:r>
            <w:r>
              <w:rPr>
                <w:sz w:val="20"/>
              </w:rPr>
              <w:br/>
              <w:t>34.00</w:t>
            </w:r>
          </w:p>
          <w:p>
            <w:pPr>
              <w:pStyle w:val="yTable"/>
              <w:jc w:val="center"/>
              <w:rPr>
                <w:sz w:val="20"/>
              </w:rPr>
            </w:pPr>
            <w:r>
              <w:rPr>
                <w:sz w:val="20"/>
              </w:rPr>
              <w:br/>
            </w:r>
            <w:r>
              <w:rPr>
                <w:sz w:val="20"/>
              </w:rPr>
              <w:br/>
            </w:r>
            <w:r>
              <w:rPr>
                <w:sz w:val="20"/>
              </w:rPr>
              <w:br/>
            </w:r>
            <w:r>
              <w:rPr>
                <w:sz w:val="20"/>
              </w:rPr>
              <w:br/>
            </w:r>
            <w:r>
              <w:rPr>
                <w:sz w:val="20"/>
              </w:rPr>
              <w:br/>
            </w:r>
            <w:r>
              <w:rPr>
                <w:sz w:val="20"/>
              </w:rPr>
              <w:br/>
              <w:t>57.00</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r>
            <w:r>
              <w:rPr>
                <w:sz w:val="20"/>
              </w:rPr>
              <w:br/>
            </w:r>
            <w:r>
              <w:rPr>
                <w:sz w:val="20"/>
              </w:rPr>
              <w:br/>
              <w:t>8.00</w:t>
            </w:r>
          </w:p>
          <w:p>
            <w:pPr>
              <w:pStyle w:val="yTable"/>
              <w:jc w:val="center"/>
              <w:rPr>
                <w:sz w:val="20"/>
              </w:rPr>
            </w:pPr>
            <w:r>
              <w:rPr>
                <w:sz w:val="20"/>
              </w:rPr>
              <w:br/>
            </w:r>
            <w:r>
              <w:rPr>
                <w:sz w:val="20"/>
              </w:rPr>
              <w:br/>
              <w:t>1.00</w:t>
            </w:r>
          </w:p>
          <w:p>
            <w:pPr>
              <w:pStyle w:val="yTable"/>
              <w:jc w:val="center"/>
              <w:rPr>
                <w:sz w:val="20"/>
              </w:rPr>
            </w:pPr>
            <w:r>
              <w:rPr>
                <w:sz w:val="20"/>
              </w:rPr>
              <w:br/>
              <w:t>11.00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jc w:val="center"/>
              <w:rPr>
                <w:sz w:val="20"/>
              </w:rPr>
            </w:pPr>
            <w:r>
              <w:rPr>
                <w:sz w:val="20"/>
              </w:rPr>
              <w:br/>
            </w:r>
            <w:r>
              <w:rPr>
                <w:sz w:val="20"/>
              </w:rPr>
              <w:br/>
              <w:t>4.50</w:t>
            </w:r>
          </w:p>
          <w:p>
            <w:pPr>
              <w:pStyle w:val="yTable"/>
              <w:jc w:val="center"/>
              <w:rPr>
                <w:sz w:val="20"/>
              </w:rPr>
            </w:pPr>
            <w:r>
              <w:rPr>
                <w:sz w:val="20"/>
              </w:rPr>
              <w:br/>
            </w:r>
            <w:r>
              <w:rPr>
                <w:sz w:val="20"/>
              </w:rPr>
              <w:br/>
            </w:r>
            <w:r>
              <w:rPr>
                <w:sz w:val="20"/>
              </w:rPr>
              <w:br/>
            </w:r>
            <w:r>
              <w:rPr>
                <w:sz w:val="20"/>
              </w:rPr>
              <w:br/>
              <w:t>11.00</w:t>
            </w:r>
          </w:p>
          <w:p>
            <w:pPr>
              <w:pStyle w:val="yTable"/>
              <w:jc w:val="center"/>
              <w:rPr>
                <w:sz w:val="20"/>
              </w:rPr>
            </w:pPr>
            <w:r>
              <w:rPr>
                <w:sz w:val="20"/>
              </w:rPr>
              <w:br/>
            </w:r>
            <w:r>
              <w:rPr>
                <w:sz w:val="20"/>
              </w:rPr>
              <w:br/>
            </w:r>
            <w:r>
              <w:rPr>
                <w:sz w:val="20"/>
              </w:rPr>
              <w:br/>
            </w:r>
            <w:r>
              <w:rPr>
                <w:sz w:val="20"/>
              </w:rPr>
              <w:br/>
              <w:t>1.50</w:t>
            </w:r>
          </w:p>
        </w:tc>
      </w:tr>
      <w:tr>
        <w:trPr>
          <w:cantSplit/>
        </w:trPr>
        <w:tc>
          <w:tcPr>
            <w:tcW w:w="652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$16.00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01" w:name="_Toc96756238"/>
      <w:bookmarkStart w:id="102" w:name="_Toc100634724"/>
      <w:r>
        <w:tab/>
        <w:t>[Division 1 amended in Gazette 23 Jun 2006 p. 2182.]</w:t>
      </w:r>
    </w:p>
    <w:p>
      <w:pPr>
        <w:pStyle w:val="yHeading3"/>
        <w:spacing w:after="240"/>
      </w:pPr>
      <w:bookmarkStart w:id="103" w:name="_Toc138836663"/>
      <w:bookmarkStart w:id="104" w:name="_Toc138836731"/>
      <w:bookmarkStart w:id="105" w:name="_Toc139270568"/>
      <w:r>
        <w:rPr>
          <w:rStyle w:val="CharSDivNo"/>
        </w:rPr>
        <w:t>Division 2</w:t>
      </w:r>
      <w:r>
        <w:rPr>
          <w:b w:val="0"/>
        </w:rPr>
        <w:t> — </w:t>
      </w:r>
      <w:r>
        <w:rPr>
          <w:rStyle w:val="CharSDivText"/>
        </w:rPr>
        <w:t>Civil jurisdiction</w:t>
      </w:r>
      <w:bookmarkEnd w:id="101"/>
      <w:bookmarkEnd w:id="102"/>
      <w:bookmarkEnd w:id="103"/>
      <w:bookmarkEnd w:id="104"/>
      <w:bookmarkEnd w:id="105"/>
    </w:p>
    <w:tbl>
      <w:tblPr>
        <w:tblW w:w="0" w:type="auto"/>
        <w:tblInd w:w="108" w:type="dxa"/>
        <w:tblLayout w:type="fixed"/>
        <w:tblLook w:val="0000" w:firstRow="0" w:lastRow="0" w:firstColumn="0" w:lastColumn="0" w:noHBand="0" w:noVBand="0"/>
      </w:tblPr>
      <w:tblGrid>
        <w:gridCol w:w="28"/>
        <w:gridCol w:w="504"/>
        <w:gridCol w:w="14"/>
        <w:gridCol w:w="21"/>
        <w:gridCol w:w="5670"/>
        <w:gridCol w:w="851"/>
        <w:gridCol w:w="14"/>
      </w:tblGrid>
      <w:tr>
        <w:trPr>
          <w:gridBefore w:val="1"/>
          <w:gridAfter w:val="1"/>
          <w:wBefore w:w="28" w:type="dxa"/>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691" w:type="dxa"/>
            <w:gridSpan w:val="2"/>
            <w:tcBorders>
              <w:top w:val="single" w:sz="4" w:space="0" w:color="auto"/>
              <w:bottom w:val="single" w:sz="4" w:space="0" w:color="auto"/>
            </w:tcBorders>
          </w:tcPr>
          <w:p>
            <w:pPr>
              <w:pStyle w:val="yTable"/>
              <w:jc w:val="center"/>
              <w:rPr>
                <w:b/>
                <w:sz w:val="20"/>
              </w:rPr>
            </w:pPr>
            <w:r>
              <w:rPr>
                <w:b/>
                <w:sz w:val="20"/>
              </w:rPr>
              <w:t>Matter</w:t>
            </w:r>
          </w:p>
        </w:tc>
        <w:tc>
          <w:tcPr>
            <w:tcW w:w="851"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567" w:type="dxa"/>
            <w:gridSpan w:val="4"/>
          </w:tcPr>
          <w:p>
            <w:pPr>
              <w:pStyle w:val="yTable"/>
            </w:pPr>
            <w:r>
              <w:rPr>
                <w:sz w:val="20"/>
              </w:rPr>
              <w:t>1.</w:t>
            </w:r>
          </w:p>
        </w:tc>
        <w:tc>
          <w:tcPr>
            <w:tcW w:w="567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851" w:type="dxa"/>
          </w:tcPr>
          <w:p>
            <w:pPr>
              <w:pStyle w:val="yTable"/>
            </w:pPr>
            <w:r>
              <w:rPr>
                <w:sz w:val="20"/>
              </w:rPr>
              <w:br/>
              <w:t>66.00</w:t>
            </w:r>
          </w:p>
        </w:tc>
      </w:tr>
      <w:tr>
        <w:trPr>
          <w:gridAfter w:val="1"/>
          <w:wAfter w:w="14" w:type="dxa"/>
        </w:trPr>
        <w:tc>
          <w:tcPr>
            <w:tcW w:w="567" w:type="dxa"/>
            <w:gridSpan w:val="4"/>
          </w:tcPr>
          <w:p>
            <w:pPr>
              <w:pStyle w:val="yTable"/>
            </w:pPr>
            <w:r>
              <w:rPr>
                <w:sz w:val="20"/>
              </w:rPr>
              <w:t>2.</w:t>
            </w:r>
          </w:p>
        </w:tc>
        <w:tc>
          <w:tcPr>
            <w:tcW w:w="5670" w:type="dxa"/>
          </w:tcPr>
          <w:p>
            <w:pPr>
              <w:pStyle w:val="yTable"/>
            </w:pPr>
            <w:r>
              <w:rPr>
                <w:sz w:val="20"/>
              </w:rPr>
              <w:t xml:space="preserve">On the execution of an arrest warrant of any kind — </w:t>
            </w:r>
          </w:p>
        </w:tc>
        <w:tc>
          <w:tcPr>
            <w:tcW w:w="851" w:type="dxa"/>
          </w:tcPr>
          <w:p>
            <w:pPr>
              <w:pStyle w:val="yTable"/>
            </w:pP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(a)</w:t>
            </w:r>
            <w:r>
              <w:rPr>
                <w:sz w:val="20"/>
              </w:rPr>
              <w:tab/>
              <w:t>for arresting the person …………………………………...</w:t>
            </w:r>
          </w:p>
        </w:tc>
        <w:tc>
          <w:tcPr>
            <w:tcW w:w="851" w:type="dxa"/>
          </w:tcPr>
          <w:p>
            <w:pPr>
              <w:pStyle w:val="yTable"/>
            </w:pPr>
            <w:r>
              <w:rPr>
                <w:sz w:val="20"/>
              </w:rPr>
              <w:t>72.50</w:t>
            </w: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851" w:type="dxa"/>
          </w:tcPr>
          <w:p>
            <w:pPr>
              <w:pStyle w:val="yTable"/>
            </w:pPr>
            <w:r>
              <w:rPr>
                <w:sz w:val="20"/>
              </w:rPr>
              <w:br/>
              <w:t>72.50</w:t>
            </w: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851" w:type="dxa"/>
          </w:tcPr>
          <w:p>
            <w:pPr>
              <w:pStyle w:val="yTable"/>
            </w:pPr>
            <w:r>
              <w:rPr>
                <w:sz w:val="20"/>
              </w:rPr>
              <w:br/>
            </w:r>
            <w:r>
              <w:rPr>
                <w:sz w:val="20"/>
              </w:rPr>
              <w:br/>
              <w:t>19.25</w:t>
            </w:r>
          </w:p>
        </w:tc>
      </w:tr>
      <w:tr>
        <w:trPr>
          <w:gridAfter w:val="1"/>
          <w:wAfter w:w="14" w:type="dxa"/>
          <w:cantSplit/>
        </w:trPr>
        <w:tc>
          <w:tcPr>
            <w:tcW w:w="7088" w:type="dxa"/>
            <w:gridSpan w:val="6"/>
          </w:tcPr>
          <w:p>
            <w:pPr>
              <w:pStyle w:val="yTable"/>
              <w:rPr>
                <w:sz w:val="16"/>
              </w:rPr>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6"/>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rPr>
                <w:sz w:val="16"/>
              </w:rPr>
            </w:pPr>
            <w:r>
              <w:rPr>
                <w:sz w:val="16"/>
              </w:rPr>
              <w:t>(d)</w:t>
            </w:r>
            <w:r>
              <w:rPr>
                <w:sz w:val="16"/>
              </w:rPr>
              <w:tab/>
              <w:t>making any report.</w:t>
            </w:r>
          </w:p>
        </w:tc>
      </w:tr>
      <w:tr>
        <w:trPr>
          <w:cantSplit/>
        </w:trPr>
        <w:tc>
          <w:tcPr>
            <w:tcW w:w="532" w:type="dxa"/>
            <w:gridSpan w:val="2"/>
            <w:tcBorders>
              <w:bottom w:val="single" w:sz="4" w:space="0" w:color="auto"/>
            </w:tcBorders>
          </w:tcPr>
          <w:p>
            <w:pPr>
              <w:pStyle w:val="yTable"/>
              <w:rPr>
                <w:sz w:val="20"/>
              </w:rPr>
            </w:pPr>
            <w:r>
              <w:rPr>
                <w:sz w:val="20"/>
              </w:rPr>
              <w:t>3.</w:t>
            </w:r>
          </w:p>
        </w:tc>
        <w:tc>
          <w:tcPr>
            <w:tcW w:w="5705" w:type="dxa"/>
            <w:gridSpan w:val="3"/>
            <w:tcBorders>
              <w:bottom w:val="single" w:sz="4" w:space="0" w:color="auto"/>
            </w:tcBorders>
          </w:tcPr>
          <w:p>
            <w:pPr>
              <w:pStyle w:val="yTable"/>
              <w:ind w:right="-29"/>
              <w:rPr>
                <w:sz w:val="20"/>
              </w:rPr>
            </w:pPr>
            <w:r>
              <w:rPr>
                <w:sz w:val="20"/>
              </w:rPr>
              <w:t>For an application for an extraordinary drivers licence ……………..</w:t>
            </w:r>
          </w:p>
        </w:tc>
        <w:tc>
          <w:tcPr>
            <w:tcW w:w="865" w:type="dxa"/>
            <w:gridSpan w:val="2"/>
            <w:tcBorders>
              <w:bottom w:val="single" w:sz="4" w:space="0" w:color="auto"/>
            </w:tcBorders>
          </w:tcPr>
          <w:p>
            <w:pPr>
              <w:pStyle w:val="yTable"/>
              <w:jc w:val="center"/>
              <w:rPr>
                <w:sz w:val="20"/>
              </w:rPr>
            </w:pPr>
            <w:r>
              <w:rPr>
                <w:sz w:val="20"/>
              </w:rPr>
              <w:t>169.00</w:t>
            </w:r>
          </w:p>
        </w:tc>
      </w:tr>
    </w:tbl>
    <w:p>
      <w:pPr>
        <w:pStyle w:val="yFootnotesection"/>
      </w:pPr>
      <w:bookmarkStart w:id="106" w:name="_Toc96756239"/>
      <w:bookmarkStart w:id="107" w:name="_Toc100634725"/>
      <w:r>
        <w:tab/>
        <w:t>[Division 2 amended in Gazette 30 Aug 2005 p. 4054; 23 Jun 2006 p. 2183.]</w:t>
      </w:r>
    </w:p>
    <w:p>
      <w:pPr>
        <w:pStyle w:val="yHeading3"/>
        <w:spacing w:after="240"/>
      </w:pPr>
      <w:bookmarkStart w:id="108" w:name="_Toc138836664"/>
      <w:bookmarkStart w:id="109" w:name="_Toc138836732"/>
      <w:bookmarkStart w:id="110" w:name="_Toc139270569"/>
      <w:r>
        <w:rPr>
          <w:rStyle w:val="CharSDivNo"/>
        </w:rPr>
        <w:t>Division 3</w:t>
      </w:r>
      <w:r>
        <w:rPr>
          <w:b w:val="0"/>
        </w:rPr>
        <w:t> — </w:t>
      </w:r>
      <w:r>
        <w:rPr>
          <w:rStyle w:val="CharSDivText"/>
        </w:rPr>
        <w:t>Criminal jurisdiction</w:t>
      </w:r>
      <w:bookmarkEnd w:id="106"/>
      <w:bookmarkEnd w:id="107"/>
      <w:bookmarkEnd w:id="108"/>
      <w:bookmarkEnd w:id="109"/>
      <w:bookmarkEnd w:id="110"/>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55.50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10.50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55.50</w:t>
            </w:r>
          </w:p>
          <w:p>
            <w:pPr>
              <w:pStyle w:val="yTable"/>
              <w:jc w:val="center"/>
              <w:rPr>
                <w:sz w:val="20"/>
              </w:rPr>
            </w:pPr>
            <w:r>
              <w:rPr>
                <w:sz w:val="20"/>
              </w:rPr>
              <w:t>72.50</w:t>
            </w:r>
          </w:p>
        </w:tc>
      </w:tr>
    </w:tbl>
    <w:p>
      <w:pPr>
        <w:pStyle w:val="yFootnotesection"/>
      </w:pPr>
      <w:bookmarkStart w:id="111" w:name="_Toc100634726"/>
      <w:r>
        <w:tab/>
        <w:t>[Division 3 amended in Gazette 23 Jun 2006 p. 2183.]</w:t>
      </w:r>
    </w:p>
    <w:p>
      <w:pPr>
        <w:pStyle w:val="yScheduleHeading"/>
      </w:pPr>
      <w:bookmarkStart w:id="112" w:name="_Toc138836665"/>
      <w:bookmarkStart w:id="113" w:name="_Toc138836733"/>
      <w:bookmarkStart w:id="114" w:name="_Toc139270570"/>
      <w:r>
        <w:rPr>
          <w:rStyle w:val="CharSchNo"/>
        </w:rPr>
        <w:t>Schedule 2</w:t>
      </w:r>
      <w:r>
        <w:rPr>
          <w:rStyle w:val="CharSDivNo"/>
        </w:rPr>
        <w:t> </w:t>
      </w:r>
      <w:r>
        <w:t>—</w:t>
      </w:r>
      <w:r>
        <w:rPr>
          <w:rStyle w:val="CharSDivText"/>
        </w:rPr>
        <w:t> </w:t>
      </w:r>
      <w:r>
        <w:rPr>
          <w:rStyle w:val="CharSchText"/>
        </w:rPr>
        <w:t>Forms</w:t>
      </w:r>
      <w:bookmarkEnd w:id="111"/>
      <w:bookmarkEnd w:id="112"/>
      <w:bookmarkEnd w:id="113"/>
      <w:bookmarkEnd w:id="114"/>
    </w:p>
    <w:p>
      <w:pPr>
        <w:pStyle w:val="yShoulderClause"/>
      </w:pPr>
      <w:r>
        <w:t>[r. 8(6), 10(2)]</w:t>
      </w:r>
    </w:p>
    <w:p>
      <w:pPr>
        <w:pStyle w:val="yHeading5"/>
        <w:spacing w:after="120"/>
      </w:pPr>
      <w:bookmarkStart w:id="115" w:name="_Toc96398511"/>
      <w:bookmarkStart w:id="116" w:name="_Toc100634727"/>
      <w:bookmarkStart w:id="117" w:name="_Toc138836666"/>
      <w:bookmarkStart w:id="118" w:name="_Toc139270571"/>
      <w:r>
        <w:rPr>
          <w:rStyle w:val="CharSClsNo"/>
        </w:rPr>
        <w:t>1</w:t>
      </w:r>
      <w:r>
        <w:t>.</w:t>
      </w:r>
      <w:r>
        <w:tab/>
        <w:t>Application to remit fees</w:t>
      </w:r>
      <w:bookmarkEnd w:id="115"/>
      <w:bookmarkEnd w:id="116"/>
      <w:bookmarkEnd w:id="117"/>
      <w:bookmarkEnd w:id="11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 . Their business address is ...................................................................... .</w:t>
            </w:r>
          </w:p>
        </w:tc>
      </w:tr>
      <w:tr>
        <w:trPr>
          <w:cantSplit/>
          <w:trHeight w:val="429"/>
        </w:trPr>
        <w:tc>
          <w:tcPr>
            <w:tcW w:w="6804" w:type="dxa"/>
            <w:gridSpan w:val="7"/>
          </w:tcPr>
          <w:p>
            <w:pPr>
              <w:pStyle w:val="yTable"/>
            </w:pPr>
            <w:r>
              <w:t>I am unemployed/ a pensioner* and registered with the Department of Social Security at .....................................................................................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19" w:name="_Toc97609776"/>
      <w:bookmarkStart w:id="120" w:name="_Toc100634728"/>
      <w:bookmarkStart w:id="121" w:name="_Toc138836667"/>
      <w:bookmarkStart w:id="122" w:name="_Toc139270572"/>
      <w:r>
        <w:rPr>
          <w:rStyle w:val="CharSClsNo"/>
        </w:rPr>
        <w:t>2</w:t>
      </w:r>
      <w:r>
        <w:t>.</w:t>
      </w:r>
      <w:r>
        <w:tab/>
        <w:t>Application for determination of dispute about fees</w:t>
      </w:r>
      <w:bookmarkEnd w:id="119"/>
      <w:bookmarkEnd w:id="120"/>
      <w:bookmarkEnd w:id="121"/>
      <w:bookmarkEnd w:id="12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 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23" w:name="_Toc102453637"/>
      <w:bookmarkStart w:id="124" w:name="_Toc102453907"/>
      <w:bookmarkStart w:id="125" w:name="_Toc113162208"/>
      <w:bookmarkStart w:id="126" w:name="_Toc138836668"/>
      <w:bookmarkStart w:id="127" w:name="_Toc138836736"/>
      <w:bookmarkStart w:id="128" w:name="_Toc139270573"/>
      <w:r>
        <w:t>Notes</w:t>
      </w:r>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rPr>
        <w:t>Children’s Court (Fees) Regulations 2005</w:t>
      </w:r>
      <w:r>
        <w:t xml:space="preserve"> and includes the amendments made by the other written laws referred to in the following table</w:t>
      </w:r>
      <w:r>
        <w:rPr>
          <w:snapToGrid w:val="0"/>
        </w:rPr>
        <w:t>.</w:t>
      </w:r>
    </w:p>
    <w:p>
      <w:pPr>
        <w:pStyle w:val="nHeading3"/>
      </w:pPr>
      <w:bookmarkStart w:id="129" w:name="_Toc70311430"/>
      <w:bookmarkStart w:id="130" w:name="_Toc138836669"/>
      <w:bookmarkStart w:id="131" w:name="_Toc139270574"/>
      <w:r>
        <w:t>Compilation table</w:t>
      </w:r>
      <w:bookmarkEnd w:id="129"/>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Children’s Court (Fees) Regulations 2005</w:t>
            </w:r>
          </w:p>
        </w:tc>
        <w:tc>
          <w:tcPr>
            <w:tcW w:w="1276" w:type="dxa"/>
            <w:tcBorders>
              <w:top w:val="single" w:sz="8" w:space="0" w:color="auto"/>
            </w:tcBorders>
          </w:tcPr>
          <w:p>
            <w:pPr>
              <w:pStyle w:val="nTable"/>
              <w:rPr>
                <w:sz w:val="19"/>
              </w:rPr>
            </w:pPr>
            <w:r>
              <w:rPr>
                <w:sz w:val="19"/>
              </w:rPr>
              <w:t>28 Apr 2005 p. 1415-33</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rPr>
                <w:i/>
                <w:sz w:val="19"/>
              </w:rPr>
            </w:pPr>
            <w:r>
              <w:rPr>
                <w:i/>
                <w:sz w:val="19"/>
              </w:rPr>
              <w:t>Children’s Court (Fees) Amendment Regulations 2005</w:t>
            </w:r>
          </w:p>
        </w:tc>
        <w:tc>
          <w:tcPr>
            <w:tcW w:w="1276" w:type="dxa"/>
          </w:tcPr>
          <w:p>
            <w:pPr>
              <w:pStyle w:val="nTable"/>
              <w:rPr>
                <w:sz w:val="19"/>
              </w:rPr>
            </w:pPr>
            <w:r>
              <w:rPr>
                <w:sz w:val="19"/>
              </w:rPr>
              <w:t>30 Aug 2005 p. 4054</w:t>
            </w:r>
          </w:p>
        </w:tc>
        <w:tc>
          <w:tcPr>
            <w:tcW w:w="2693" w:type="dxa"/>
          </w:tcPr>
          <w:p>
            <w:pPr>
              <w:pStyle w:val="nTable"/>
              <w:rPr>
                <w:sz w:val="19"/>
              </w:rPr>
            </w:pPr>
            <w:r>
              <w:rPr>
                <w:sz w:val="19"/>
              </w:rPr>
              <w:t>30 Aug 2005</w:t>
            </w:r>
          </w:p>
        </w:tc>
      </w:tr>
      <w:tr>
        <w:tc>
          <w:tcPr>
            <w:tcW w:w="3118" w:type="dxa"/>
            <w:tcBorders>
              <w:bottom w:val="single" w:sz="4" w:space="0" w:color="auto"/>
            </w:tcBorders>
          </w:tcPr>
          <w:p>
            <w:pPr>
              <w:pStyle w:val="nTable"/>
              <w:rPr>
                <w:i/>
                <w:sz w:val="19"/>
              </w:rPr>
            </w:pPr>
            <w:r>
              <w:rPr>
                <w:i/>
                <w:sz w:val="19"/>
              </w:rPr>
              <w:t>Children’s Court (Fees) Amendment Regulations 2006</w:t>
            </w:r>
          </w:p>
        </w:tc>
        <w:tc>
          <w:tcPr>
            <w:tcW w:w="1276" w:type="dxa"/>
            <w:tcBorders>
              <w:bottom w:val="single" w:sz="4" w:space="0" w:color="auto"/>
            </w:tcBorders>
          </w:tcPr>
          <w:p>
            <w:pPr>
              <w:pStyle w:val="nTable"/>
              <w:rPr>
                <w:sz w:val="19"/>
              </w:rPr>
            </w:pPr>
            <w:r>
              <w:rPr>
                <w:sz w:val="19"/>
              </w:rPr>
              <w:t>23 Jun 2006 p. 2181</w:t>
            </w:r>
            <w:r>
              <w:rPr>
                <w:sz w:val="19"/>
              </w:rPr>
              <w:noBreakHyphen/>
              <w:t>3</w:t>
            </w:r>
          </w:p>
        </w:tc>
        <w:tc>
          <w:tcPr>
            <w:tcW w:w="2693" w:type="dxa"/>
            <w:tcBorders>
              <w:bottom w:val="single" w:sz="4" w:space="0" w:color="auto"/>
            </w:tcBorders>
          </w:tcPr>
          <w:p>
            <w:pPr>
              <w:pStyle w:val="nTable"/>
              <w:rPr>
                <w:sz w:val="19"/>
              </w:rPr>
            </w:pPr>
            <w:r>
              <w:rPr>
                <w:sz w:val="19"/>
              </w:rPr>
              <w:t>1 Jul 2006 (see r. 2)</w:t>
            </w:r>
          </w:p>
        </w:tc>
      </w:tr>
    </w:tbl>
    <w:p>
      <w:bookmarkStart w:id="132" w:name="UpToHere"/>
      <w:bookmarkEnd w:id="132"/>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1</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1</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4C5E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D458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5C18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6288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6A25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AE35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B8BB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D2E0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DA7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F70C14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DF2B7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9AE18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3302</Words>
  <Characters>17834</Characters>
  <Application>Microsoft Office Word</Application>
  <DocSecurity>0</DocSecurity>
  <Lines>743</Lines>
  <Paragraphs>480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20656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2005 - 00-c0-03</dc:title>
  <dc:subject/>
  <dc:creator/>
  <cp:keywords/>
  <dc:description/>
  <cp:lastModifiedBy>svcMRProcess</cp:lastModifiedBy>
  <cp:revision>4</cp:revision>
  <cp:lastPrinted>2005-04-07T02:11:00Z</cp:lastPrinted>
  <dcterms:created xsi:type="dcterms:W3CDTF">2018-09-10T05:41:00Z</dcterms:created>
  <dcterms:modified xsi:type="dcterms:W3CDTF">2018-09-10T05:41:00Z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34705</vt:i4>
  </property>
  <property fmtid="{D5CDD505-2E9C-101B-9397-08002B2CF9AE}" pid="6" name="AsAtDate">
    <vt:lpwstr>01 Jul 2006</vt:lpwstr>
  </property>
  <property fmtid="{D5CDD505-2E9C-101B-9397-08002B2CF9AE}" pid="7" name="Suffix">
    <vt:lpwstr>00-c0-03</vt:lpwstr>
  </property>
</Properties>
</file>