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_Toc417651109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_Toc417651110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_Toc417651111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_Toc417651112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_Toc417651113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_Toc417651114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_Toc417651116 \h </w:instrText>
      </w:r>
      <w:r>
        <w:fldChar w:fldCharType="separate"/>
      </w:r>
      <w:r>
        <w:t>25</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_Toc417651117 \h </w:instrText>
      </w:r>
      <w:r>
        <w:fldChar w:fldCharType="separate"/>
      </w:r>
      <w:r>
        <w:t>26</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_Toc417651118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_Toc417651119 \h </w:instrText>
      </w:r>
      <w:r>
        <w:fldChar w:fldCharType="separate"/>
      </w:r>
      <w:r>
        <w:t>27</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_Toc417651120 \h </w:instrText>
      </w:r>
      <w:r>
        <w:fldChar w:fldCharType="separate"/>
      </w:r>
      <w:r>
        <w:t>27</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_Toc417651121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_Toc417651123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_Toc417651124 \h </w:instrText>
      </w:r>
      <w:r>
        <w:fldChar w:fldCharType="separate"/>
      </w:r>
      <w:r>
        <w:t>29</w:t>
      </w:r>
      <w:r>
        <w:fldChar w:fldCharType="end"/>
      </w:r>
    </w:p>
    <w:p>
      <w:pPr>
        <w:pStyle w:val="TOC2"/>
        <w:tabs>
          <w:tab w:val="right" w:leader="dot" w:pos="7087"/>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_Toc417651126 \h </w:instrText>
      </w:r>
      <w:r>
        <w:fldChar w:fldCharType="separate"/>
      </w:r>
      <w:r>
        <w:t>38</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_Toc417651127 \h </w:instrText>
      </w:r>
      <w:r>
        <w:fldChar w:fldCharType="separate"/>
      </w:r>
      <w:r>
        <w:t>40</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_Toc417651128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_Toc417651130 \h </w:instrText>
      </w:r>
      <w:r>
        <w:fldChar w:fldCharType="separate"/>
      </w:r>
      <w:r>
        <w:t>41</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_Toc417651131 \h </w:instrText>
      </w:r>
      <w:r>
        <w:fldChar w:fldCharType="separate"/>
      </w:r>
      <w:r>
        <w:t>41</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_Toc417651132 \h </w:instrText>
      </w:r>
      <w:r>
        <w:fldChar w:fldCharType="separate"/>
      </w:r>
      <w:r>
        <w:t>42</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_Toc417651133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sz w:val="22"/>
          <w:szCs w:val="22"/>
        </w:rPr>
      </w:pPr>
      <w:r>
        <w:t>Schedule 1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_Toc417651136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3" w:name="_Toc41765110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17651109"/>
      <w:r>
        <w:rPr>
          <w:rStyle w:val="CharSectno"/>
        </w:rPr>
        <w:t>1</w:t>
      </w:r>
      <w:r>
        <w:t>.</w:t>
      </w:r>
      <w:r>
        <w:tab/>
        <w:t>Citation</w:t>
      </w:r>
      <w:bookmarkEnd w:id="4"/>
    </w:p>
    <w:p>
      <w:pPr>
        <w:pStyle w:val="Subsection"/>
        <w:spacing w:before="120"/>
        <w:rPr>
          <w:i/>
        </w:rPr>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417651110"/>
      <w:r>
        <w:rPr>
          <w:rStyle w:val="CharSectno"/>
        </w:rPr>
        <w:t>2</w:t>
      </w:r>
      <w:r>
        <w:rPr>
          <w:spacing w:val="-2"/>
        </w:rPr>
        <w:t>.</w:t>
      </w:r>
      <w:r>
        <w:rPr>
          <w:spacing w:val="-2"/>
        </w:rPr>
        <w:tab/>
        <w:t>Commencement</w:t>
      </w:r>
      <w:bookmarkEnd w:id="6"/>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 w:name="_Toc417651111"/>
      <w:r>
        <w:rPr>
          <w:rStyle w:val="CharSectno"/>
        </w:rPr>
        <w:t>3</w:t>
      </w:r>
      <w:r>
        <w:t>.</w:t>
      </w:r>
      <w:r>
        <w:tab/>
        <w:t>Terms used</w:t>
      </w:r>
      <w:bookmarkEnd w:id="7"/>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8" w:name="_Toc417651112"/>
      <w:r>
        <w:rPr>
          <w:rStyle w:val="CharSectno"/>
        </w:rPr>
        <w:t>4</w:t>
      </w:r>
      <w:r>
        <w:t>.</w:t>
      </w:r>
      <w:r>
        <w:tab/>
        <w:t>Exclusions from definition of motor vehicle</w:t>
      </w:r>
      <w:bookmarkEnd w:id="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 w:name="_Toc417651113"/>
      <w:r>
        <w:rPr>
          <w:rStyle w:val="CharSectno"/>
        </w:rPr>
        <w:t>5</w:t>
      </w:r>
      <w:r>
        <w:t>.</w:t>
      </w:r>
      <w:r>
        <w:tab/>
        <w:t>Classes of repair work prescribed (Act s. 5)</w:t>
      </w:r>
      <w:bookmarkEnd w:id="9"/>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0" w:name="_Toc417651114"/>
      <w:r>
        <w:rPr>
          <w:rStyle w:val="CharSectno"/>
        </w:rPr>
        <w:t>6</w:t>
      </w:r>
      <w:r>
        <w:t>.</w:t>
      </w:r>
      <w:r>
        <w:tab/>
        <w:t>Work that is not repair work prescribed (Act s. 5)</w:t>
      </w:r>
      <w:bookmarkEnd w:id="1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1" w:name="_Toc417651115"/>
      <w:r>
        <w:rPr>
          <w:rStyle w:val="CharPartNo"/>
        </w:rPr>
        <w:t>Part 2A</w:t>
      </w:r>
      <w:r>
        <w:rPr>
          <w:b w:val="0"/>
        </w:rPr>
        <w:t> </w:t>
      </w:r>
      <w:r>
        <w:t>—</w:t>
      </w:r>
      <w:r>
        <w:rPr>
          <w:b w:val="0"/>
        </w:rPr>
        <w:t> </w:t>
      </w:r>
      <w:r>
        <w:rPr>
          <w:rStyle w:val="CharPartText"/>
        </w:rPr>
        <w:t>Licensing of motor vehicle repair businesses</w:t>
      </w:r>
      <w:bookmarkEnd w:id="11"/>
    </w:p>
    <w:p>
      <w:pPr>
        <w:pStyle w:val="Footnoteheading"/>
      </w:pPr>
      <w:r>
        <w:tab/>
        <w:t>[Heading inserted in Gazette 24 Jun 2008 p. 2812.]</w:t>
      </w:r>
    </w:p>
    <w:p>
      <w:pPr>
        <w:pStyle w:val="Heading5"/>
      </w:pPr>
      <w:bookmarkStart w:id="12" w:name="_Toc417651116"/>
      <w:r>
        <w:rPr>
          <w:rStyle w:val="CharSectno"/>
        </w:rPr>
        <w:t>7A</w:t>
      </w:r>
      <w:r>
        <w:t>.</w:t>
      </w:r>
      <w:r>
        <w:tab/>
        <w:t>Fees prescribed (Act s. 13)</w:t>
      </w:r>
      <w:bookmarkEnd w:id="12"/>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w:t>
      </w:r>
    </w:p>
    <w:p>
      <w:pPr>
        <w:pStyle w:val="Ednotesection"/>
      </w:pPr>
      <w:r>
        <w:t>[</w:t>
      </w:r>
      <w:r>
        <w:rPr>
          <w:b/>
        </w:rPr>
        <w:t>7B.</w:t>
      </w:r>
      <w:r>
        <w:tab/>
        <w:t>Deleted in Gazette 18 Nov 2014 p. 4320.]</w:t>
      </w:r>
    </w:p>
    <w:p>
      <w:pPr>
        <w:pStyle w:val="Heading5"/>
        <w:spacing w:before="180"/>
      </w:pPr>
      <w:bookmarkStart w:id="13" w:name="_Toc417651117"/>
      <w:r>
        <w:rPr>
          <w:rStyle w:val="CharSectno"/>
        </w:rPr>
        <w:t>7C</w:t>
      </w:r>
      <w:r>
        <w:t>.</w:t>
      </w:r>
      <w:r>
        <w:tab/>
        <w:t>Duplicate business licence, fee for (Act s. 25)</w:t>
      </w:r>
      <w:bookmarkEnd w:id="13"/>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4" w:name="_Toc417651118"/>
      <w:r>
        <w:rPr>
          <w:rStyle w:val="CharSectno"/>
        </w:rPr>
        <w:t>7D</w:t>
      </w:r>
      <w:r>
        <w:t>.</w:t>
      </w:r>
      <w:r>
        <w:tab/>
        <w:t>Conditions and restrictions attached to business licences (Act s. 28)</w:t>
      </w:r>
      <w:bookmarkEnd w:id="1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15" w:name="_Toc417651119"/>
      <w:r>
        <w:rPr>
          <w:rStyle w:val="CharSectno"/>
        </w:rPr>
        <w:t>7E</w:t>
      </w:r>
      <w:r>
        <w:t>.</w:t>
      </w:r>
      <w:r>
        <w:tab/>
        <w:t>Duration of business licence (Act s. 30)</w:t>
      </w:r>
      <w:bookmarkEnd w:id="15"/>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16" w:name="_Toc417651120"/>
      <w:r>
        <w:rPr>
          <w:rStyle w:val="CharSectno"/>
        </w:rPr>
        <w:t>7F</w:t>
      </w:r>
      <w:r>
        <w:t>.</w:t>
      </w:r>
      <w:r>
        <w:tab/>
        <w:t>Renewal of licence, fees for (Act s. 31(3)(b))</w:t>
      </w:r>
      <w:bookmarkEnd w:id="16"/>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w:t>
      </w:r>
    </w:p>
    <w:p>
      <w:pPr>
        <w:pStyle w:val="Heading5"/>
      </w:pPr>
      <w:bookmarkStart w:id="17" w:name="_Toc417651121"/>
      <w:r>
        <w:rPr>
          <w:rStyle w:val="CharSectno"/>
        </w:rPr>
        <w:t>7G</w:t>
      </w:r>
      <w:r>
        <w:t>.</w:t>
      </w:r>
      <w:r>
        <w:tab/>
        <w:t>Change of certain information, licensee to notify Commissioner of</w:t>
      </w:r>
      <w:bookmarkEnd w:id="1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18" w:name="_Toc417651122"/>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417651123"/>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0" w:name="_Toc417651124"/>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417651125"/>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417651126"/>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23" w:name="_Toc417651127"/>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4" w:name="_Toc417651128"/>
      <w:r>
        <w:rPr>
          <w:rStyle w:val="CharSectno"/>
        </w:rPr>
        <w:t>11</w:t>
      </w:r>
      <w:r>
        <w:t>.</w:t>
      </w:r>
      <w:r>
        <w:tab/>
        <w:t>Certified copy of certificate, fee for (Act s. 54(1))</w:t>
      </w:r>
      <w:bookmarkEnd w:id="24"/>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5" w:name="_Toc417651129"/>
      <w:r>
        <w:rPr>
          <w:rStyle w:val="CharPartNo"/>
        </w:rPr>
        <w:t>Part 4</w:t>
      </w:r>
      <w:r>
        <w:rPr>
          <w:b w:val="0"/>
        </w:rPr>
        <w:t> </w:t>
      </w:r>
      <w:r>
        <w:t>—</w:t>
      </w:r>
      <w:r>
        <w:rPr>
          <w:b w:val="0"/>
        </w:rPr>
        <w:t> </w:t>
      </w:r>
      <w:r>
        <w:rPr>
          <w:rStyle w:val="CharPartText"/>
        </w:rPr>
        <w:t>Miscellaneous</w:t>
      </w:r>
      <w:bookmarkEnd w:id="25"/>
    </w:p>
    <w:p>
      <w:pPr>
        <w:pStyle w:val="Footnoteheading"/>
      </w:pPr>
      <w:r>
        <w:tab/>
        <w:t>[Heading inserted in Gazette 24 Jun 2008 p. 2822.]</w:t>
      </w:r>
    </w:p>
    <w:p>
      <w:pPr>
        <w:pStyle w:val="Heading5"/>
      </w:pPr>
      <w:bookmarkStart w:id="26" w:name="_Toc417651130"/>
      <w:r>
        <w:rPr>
          <w:rStyle w:val="CharSectno"/>
        </w:rPr>
        <w:t>12</w:t>
      </w:r>
      <w:r>
        <w:rPr>
          <w:color w:val="000000"/>
        </w:rPr>
        <w:t>.</w:t>
      </w:r>
      <w:r>
        <w:rPr>
          <w:color w:val="000000"/>
        </w:rPr>
        <w:tab/>
        <w:t>Changes of authorised premises, fees for (Act s. 61(1)(c))</w:t>
      </w:r>
      <w:bookmarkEnd w:id="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27" w:name="_Toc417651131"/>
      <w:r>
        <w:rPr>
          <w:rStyle w:val="CharSectno"/>
        </w:rPr>
        <w:t>13</w:t>
      </w:r>
      <w:r>
        <w:t>.</w:t>
      </w:r>
      <w:r>
        <w:tab/>
        <w:t>Infringement notice offences and modified penalties (Act s. 98 and 99(1))</w:t>
      </w:r>
      <w:bookmarkEnd w:id="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 w:name="_Toc417651132"/>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417651133"/>
      <w:r>
        <w:rPr>
          <w:rStyle w:val="CharSectno"/>
        </w:rPr>
        <w:t>15</w:t>
      </w:r>
      <w:r>
        <w:t>.</w:t>
      </w:r>
      <w:r>
        <w:tab/>
        <w:t>Refund of fee on withdrawal or refusal of certain applications</w:t>
      </w:r>
      <w:bookmarkEnd w:id="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417651134"/>
      <w:r>
        <w:rPr>
          <w:rStyle w:val="CharSchNo"/>
        </w:rPr>
        <w:t>Schedule 1</w:t>
      </w:r>
      <w:r>
        <w:t> — </w:t>
      </w:r>
      <w:r>
        <w:rPr>
          <w:rStyle w:val="CharSchText"/>
        </w:rPr>
        <w:t>Forms</w:t>
      </w:r>
      <w:bookmarkEnd w:id="30"/>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17651135"/>
      <w:r>
        <w:t>Notes</w:t>
      </w:r>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3" w:name="_Toc417651136"/>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nil"/>
            </w:tcBorders>
            <w:shd w:val="clear" w:color="auto" w:fill="auto"/>
          </w:tcPr>
          <w:p>
            <w:pPr>
              <w:pStyle w:val="nTable"/>
              <w:spacing w:before="60" w:after="60"/>
            </w:pPr>
            <w:r>
              <w:t>18 Nov 2014 p. 4319-22</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(No. 2) 2014</w:t>
            </w:r>
          </w:p>
        </w:tc>
        <w:tc>
          <w:tcPr>
            <w:tcW w:w="1276" w:type="dxa"/>
            <w:tcBorders>
              <w:top w:val="nil"/>
              <w:bottom w:val="single" w:sz="4" w:space="0" w:color="auto"/>
            </w:tcBorders>
            <w:shd w:val="clear" w:color="auto" w:fill="auto"/>
          </w:tcPr>
          <w:p>
            <w:pPr>
              <w:pStyle w:val="nTable"/>
              <w:spacing w:before="60" w:after="60"/>
            </w:pPr>
            <w:r>
              <w:t>8 Jan 2015 p. 91</w:t>
            </w:r>
            <w:r>
              <w:noBreakHyphen/>
              <w:t>3</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 w:name="_Toc417651137"/>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 w:name="DefinedTerms"/>
      <w:bookmarkEnd w:id="36"/>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10269</Words>
  <Characters>50938</Characters>
  <Application>Microsoft Office Word</Application>
  <DocSecurity>0</DocSecurity>
  <Lines>2122</Lines>
  <Paragraphs>1423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2007 - 02-j0-01</dc:title>
  <dc:subject/>
  <dc:creator/>
  <cp:keywords/>
  <dc:description/>
  <cp:lastModifiedBy>svcMRProcess</cp:lastModifiedBy>
  <cp:revision>4</cp:revision>
  <cp:lastPrinted>2012-01-17T04:19:00Z</cp:lastPrinted>
  <dcterms:created xsi:type="dcterms:W3CDTF">2020-02-26T03:45:00Z</dcterms:created>
  <dcterms:modified xsi:type="dcterms:W3CDTF">2020-02-26T03:45:00Z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AsAtDate">
    <vt:lpwstr>27 Apr 2015</vt:lpwstr>
  </property>
  <property fmtid="{D5CDD505-2E9C-101B-9397-08002B2CF9AE}" pid="5" name="Suffix">
    <vt:lpwstr>02-j0-01</vt:lpwstr>
  </property>
  <property fmtid="{D5CDD505-2E9C-101B-9397-08002B2CF9AE}" pid="6" name="ReprintNo">
    <vt:lpwstr>2</vt:lpwstr>
  </property>
  <property fmtid="{D5CDD505-2E9C-101B-9397-08002B2CF9AE}" pid="7" name="ReprintedAsAt">
    <vt:filetime>2012-01-05T16:00:00Z</vt:filetime>
  </property>
  <property fmtid="{D5CDD505-2E9C-101B-9397-08002B2CF9AE}" pid="8" name="CommencementDate">
    <vt:lpwstr>20150427</vt:lpwstr>
  </property>
  <property fmtid="{D5CDD505-2E9C-101B-9397-08002B2CF9AE}" pid="9" name="DocumentType">
    <vt:lpwstr>Reg</vt:lpwstr>
  </property>
</Properties>
</file>