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Finance Brokers Control Act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Finance Brokers Control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_Toc416875711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_Toc416875712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_Toc416875713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Exceptions to “finance broker”</w:t>
      </w:r>
      <w:r>
        <w:tab/>
      </w:r>
      <w:r>
        <w:fldChar w:fldCharType="begin"/>
      </w:r>
      <w:r>
        <w:instrText xml:space="preserve"> PAGEREF _Toc416875714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w:t>
      </w:r>
      <w:r>
        <w:rPr>
          <w:b w:val="0"/>
        </w:rPr>
        <w:t> — </w:t>
      </w:r>
      <w:r>
        <w:t>The Commissioner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w:t>
      </w:r>
      <w:r>
        <w:tab/>
        <w:t>Commissioner</w:t>
      </w:r>
      <w:r>
        <w:tab/>
      </w:r>
      <w:r>
        <w:fldChar w:fldCharType="begin"/>
      </w:r>
      <w:r>
        <w:instrText xml:space="preserve"> PAGEREF _Toc416875717 \h </w:instrText>
      </w:r>
      <w:r>
        <w:fldChar w:fldCharType="separate"/>
      </w:r>
      <w:r>
        <w:t>6</w:t>
      </w:r>
      <w:r>
        <w:fldChar w:fldCharType="end"/>
      </w:r>
    </w:p>
    <w:p>
      <w:pPr>
        <w:pStyle w:val="TOC8"/>
        <w:rPr>
          <w:rFonts w:asciiTheme="minorHAnsi" w:eastAsiaTheme="minorEastAsia" w:hAnsiTheme="minorHAnsi" w:cstheme="minorBidi"/>
          <w:szCs w:val="22"/>
        </w:rPr>
      </w:pPr>
      <w:r>
        <w:t>7.</w:t>
      </w:r>
      <w:r>
        <w:tab/>
        <w:t>General functions of the Commissioner</w:t>
      </w:r>
      <w:r>
        <w:tab/>
      </w:r>
      <w:r>
        <w:fldChar w:fldCharType="begin"/>
      </w:r>
      <w:r>
        <w:instrText xml:space="preserve"> PAGEREF _Toc416875718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Commissioner may delegate</w:t>
      </w:r>
      <w:r>
        <w:tab/>
      </w:r>
      <w:r>
        <w:fldChar w:fldCharType="begin"/>
      </w:r>
      <w:r>
        <w:instrText xml:space="preserve"> PAGEREF _Toc416875719 \h </w:instrText>
      </w:r>
      <w:r>
        <w:fldChar w:fldCharType="separate"/>
      </w:r>
      <w:r>
        <w:t>7</w:t>
      </w:r>
      <w:r>
        <w:fldChar w:fldCharType="end"/>
      </w:r>
    </w:p>
    <w:p>
      <w:pPr>
        <w:pStyle w:val="TOC8"/>
        <w:rPr>
          <w:rFonts w:asciiTheme="minorHAnsi" w:eastAsiaTheme="minorEastAsia" w:hAnsiTheme="minorHAnsi" w:cstheme="minorBidi"/>
          <w:szCs w:val="22"/>
        </w:rPr>
      </w:pPr>
      <w:r>
        <w:t>9A.</w:t>
      </w:r>
      <w:r>
        <w:tab/>
        <w:t>Arrangements with ASIC</w:t>
      </w:r>
      <w:r>
        <w:tab/>
      </w:r>
      <w:r>
        <w:fldChar w:fldCharType="begin"/>
      </w:r>
      <w:r>
        <w:instrText xml:space="preserve"> PAGEREF _Toc416875720 \h </w:instrText>
      </w:r>
      <w:r>
        <w:fldChar w:fldCharType="separate"/>
      </w:r>
      <w:r>
        <w:t>8</w:t>
      </w:r>
      <w:r>
        <w:fldChar w:fldCharType="end"/>
      </w:r>
    </w:p>
    <w:p>
      <w:pPr>
        <w:pStyle w:val="TOC8"/>
        <w:rPr>
          <w:rFonts w:asciiTheme="minorHAnsi" w:eastAsiaTheme="minorEastAsia" w:hAnsiTheme="minorHAnsi" w:cstheme="minorBidi"/>
          <w:szCs w:val="22"/>
        </w:rPr>
      </w:pPr>
      <w:r>
        <w:t>9B.</w:t>
      </w:r>
      <w:r>
        <w:tab/>
        <w:t>Information</w:t>
      </w:r>
      <w:r>
        <w:tab/>
      </w:r>
      <w:r>
        <w:fldChar w:fldCharType="begin"/>
      </w:r>
      <w:r>
        <w:instrText xml:space="preserve"> PAGEREF _Toc416875721 \h </w:instrText>
      </w:r>
      <w:r>
        <w:fldChar w:fldCharType="separate"/>
      </w:r>
      <w:r>
        <w:t>8</w:t>
      </w:r>
      <w:r>
        <w:fldChar w:fldCharType="end"/>
      </w:r>
    </w:p>
    <w:p>
      <w:pPr>
        <w:pStyle w:val="TOC8"/>
        <w:rPr>
          <w:rFonts w:asciiTheme="minorHAnsi" w:eastAsiaTheme="minorEastAsia" w:hAnsiTheme="minorHAnsi" w:cstheme="minorBidi"/>
          <w:szCs w:val="22"/>
        </w:rPr>
      </w:pPr>
      <w:r>
        <w:t>9.</w:t>
      </w:r>
      <w:r>
        <w:tab/>
        <w:t>Judicial notice</w:t>
      </w:r>
      <w:r>
        <w:tab/>
      </w:r>
      <w:r>
        <w:fldChar w:fldCharType="begin"/>
      </w:r>
      <w:r>
        <w:instrText xml:space="preserve"> PAGEREF _Toc416875722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of investigation and inquiry</w:t>
      </w:r>
    </w:p>
    <w:p>
      <w:pPr>
        <w:pStyle w:val="TOC8"/>
        <w:rPr>
          <w:rFonts w:asciiTheme="minorHAnsi" w:eastAsiaTheme="minorEastAsia" w:hAnsiTheme="minorHAnsi" w:cstheme="minorBidi"/>
          <w:szCs w:val="22"/>
        </w:rPr>
      </w:pPr>
      <w:r>
        <w:t>13</w:t>
      </w:r>
      <w:r>
        <w:rPr>
          <w:snapToGrid w:val="0"/>
        </w:rPr>
        <w:t>.</w:t>
      </w:r>
      <w:r>
        <w:rPr>
          <w:snapToGrid w:val="0"/>
        </w:rPr>
        <w:tab/>
        <w:t>Investigation and inquiry by Commissioner</w:t>
      </w:r>
      <w:r>
        <w:tab/>
      </w:r>
      <w:r>
        <w:fldChar w:fldCharType="begin"/>
      </w:r>
      <w:r>
        <w:instrText xml:space="preserve"> PAGEREF _Toc416875724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Police investigations</w:t>
      </w:r>
      <w:r>
        <w:tab/>
      </w:r>
      <w:r>
        <w:fldChar w:fldCharType="begin"/>
      </w:r>
      <w:r>
        <w:instrText xml:space="preserve"> PAGEREF _Toc416875725 \h </w:instrText>
      </w:r>
      <w:r>
        <w:fldChar w:fldCharType="separate"/>
      </w:r>
      <w:r>
        <w:t>10</w:t>
      </w:r>
      <w:r>
        <w:fldChar w:fldCharType="end"/>
      </w:r>
    </w:p>
    <w:p>
      <w:pPr>
        <w:pStyle w:val="TOC8"/>
        <w:rPr>
          <w:rFonts w:asciiTheme="minorHAnsi" w:eastAsiaTheme="minorEastAsia" w:hAnsiTheme="minorHAnsi" w:cstheme="minorBidi"/>
          <w:szCs w:val="22"/>
        </w:rPr>
      </w:pPr>
      <w:r>
        <w:t>15.</w:t>
      </w:r>
      <w:r>
        <w:tab/>
        <w:t>Investigators</w:t>
      </w:r>
      <w:r>
        <w:tab/>
      </w:r>
      <w:r>
        <w:fldChar w:fldCharType="begin"/>
      </w:r>
      <w:r>
        <w:instrText xml:space="preserve"> PAGEREF _Toc416875726 \h </w:instrText>
      </w:r>
      <w:r>
        <w:fldChar w:fldCharType="separate"/>
      </w:r>
      <w:r>
        <w:t>10</w:t>
      </w:r>
      <w:r>
        <w:fldChar w:fldCharType="end"/>
      </w:r>
    </w:p>
    <w:p>
      <w:pPr>
        <w:pStyle w:val="TOC8"/>
        <w:rPr>
          <w:rFonts w:asciiTheme="minorHAnsi" w:eastAsiaTheme="minorEastAsia" w:hAnsiTheme="minorHAnsi" w:cstheme="minorBidi"/>
          <w:szCs w:val="22"/>
        </w:rPr>
      </w:pPr>
      <w:r>
        <w:t>16.</w:t>
      </w:r>
      <w:r>
        <w:tab/>
        <w:t>Additional investigative powers</w:t>
      </w:r>
      <w:r>
        <w:tab/>
      </w:r>
      <w:r>
        <w:fldChar w:fldCharType="begin"/>
      </w:r>
      <w:r>
        <w:instrText xml:space="preserve"> PAGEREF _Toc416875727 \h </w:instrText>
      </w:r>
      <w:r>
        <w:fldChar w:fldCharType="separate"/>
      </w:r>
      <w:r>
        <w:t>11</w:t>
      </w:r>
      <w:r>
        <w:fldChar w:fldCharType="end"/>
      </w:r>
    </w:p>
    <w:p>
      <w:pPr>
        <w:pStyle w:val="TOC8"/>
        <w:rPr>
          <w:rFonts w:asciiTheme="minorHAnsi" w:eastAsiaTheme="minorEastAsia" w:hAnsiTheme="minorHAnsi" w:cstheme="minorBidi"/>
          <w:szCs w:val="22"/>
        </w:rPr>
      </w:pPr>
      <w:r>
        <w:t>17.</w:t>
      </w:r>
      <w:r>
        <w:tab/>
        <w:t>Compliance checks at licensee’s business premises</w:t>
      </w:r>
      <w:r>
        <w:tab/>
      </w:r>
      <w:r>
        <w:fldChar w:fldCharType="begin"/>
      </w:r>
      <w:r>
        <w:instrText xml:space="preserve"> PAGEREF _Toc416875728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2A — Specific investigatory powers</w:t>
      </w:r>
    </w:p>
    <w:p>
      <w:pPr>
        <w:pStyle w:val="TOC8"/>
        <w:rPr>
          <w:rFonts w:asciiTheme="minorHAnsi" w:eastAsiaTheme="minorEastAsia" w:hAnsiTheme="minorHAnsi" w:cstheme="minorBidi"/>
          <w:szCs w:val="22"/>
        </w:rPr>
      </w:pPr>
      <w:r>
        <w:t>18.</w:t>
      </w:r>
      <w:r>
        <w:tab/>
        <w:t>Powers</w:t>
      </w:r>
      <w:r>
        <w:tab/>
      </w:r>
      <w:r>
        <w:fldChar w:fldCharType="begin"/>
      </w:r>
      <w:r>
        <w:instrText xml:space="preserve"> PAGEREF _Toc416875730 \h </w:instrText>
      </w:r>
      <w:r>
        <w:fldChar w:fldCharType="separate"/>
      </w:r>
      <w:r>
        <w:t>12</w:t>
      </w:r>
      <w:r>
        <w:fldChar w:fldCharType="end"/>
      </w:r>
    </w:p>
    <w:p>
      <w:pPr>
        <w:pStyle w:val="TOC8"/>
        <w:rPr>
          <w:rFonts w:asciiTheme="minorHAnsi" w:eastAsiaTheme="minorEastAsia" w:hAnsiTheme="minorHAnsi" w:cstheme="minorBidi"/>
          <w:szCs w:val="22"/>
        </w:rPr>
      </w:pPr>
      <w:r>
        <w:t>18A.</w:t>
      </w:r>
      <w:r>
        <w:tab/>
        <w:t>Warrant to enter premises</w:t>
      </w:r>
      <w:r>
        <w:tab/>
      </w:r>
      <w:r>
        <w:fldChar w:fldCharType="begin"/>
      </w:r>
      <w:r>
        <w:instrText xml:space="preserve"> PAGEREF _Toc416875731 \h </w:instrText>
      </w:r>
      <w:r>
        <w:fldChar w:fldCharType="separate"/>
      </w:r>
      <w:r>
        <w:t>14</w:t>
      </w:r>
      <w:r>
        <w:fldChar w:fldCharType="end"/>
      </w:r>
    </w:p>
    <w:p>
      <w:pPr>
        <w:pStyle w:val="TOC8"/>
        <w:rPr>
          <w:rFonts w:asciiTheme="minorHAnsi" w:eastAsiaTheme="minorEastAsia" w:hAnsiTheme="minorHAnsi" w:cstheme="minorBidi"/>
          <w:szCs w:val="22"/>
        </w:rPr>
      </w:pPr>
      <w:r>
        <w:t>18B.</w:t>
      </w:r>
      <w:r>
        <w:tab/>
        <w:t>Issue of warrant</w:t>
      </w:r>
      <w:r>
        <w:tab/>
      </w:r>
      <w:r>
        <w:fldChar w:fldCharType="begin"/>
      </w:r>
      <w:r>
        <w:instrText xml:space="preserve"> PAGEREF _Toc416875732 \h </w:instrText>
      </w:r>
      <w:r>
        <w:fldChar w:fldCharType="separate"/>
      </w:r>
      <w:r>
        <w:t>15</w:t>
      </w:r>
      <w:r>
        <w:fldChar w:fldCharType="end"/>
      </w:r>
    </w:p>
    <w:p>
      <w:pPr>
        <w:pStyle w:val="TOC8"/>
        <w:rPr>
          <w:rFonts w:asciiTheme="minorHAnsi" w:eastAsiaTheme="minorEastAsia" w:hAnsiTheme="minorHAnsi" w:cstheme="minorBidi"/>
          <w:szCs w:val="22"/>
        </w:rPr>
      </w:pPr>
      <w:r>
        <w:t>18C.</w:t>
      </w:r>
      <w:r>
        <w:tab/>
        <w:t>Execution of warrant</w:t>
      </w:r>
      <w:r>
        <w:tab/>
      </w:r>
      <w:r>
        <w:fldChar w:fldCharType="begin"/>
      </w:r>
      <w:r>
        <w:instrText xml:space="preserve"> PAGEREF _Toc416875733 \h </w:instrText>
      </w:r>
      <w:r>
        <w:fldChar w:fldCharType="separate"/>
      </w:r>
      <w:r>
        <w:t>15</w:t>
      </w:r>
      <w:r>
        <w:fldChar w:fldCharType="end"/>
      </w:r>
    </w:p>
    <w:p>
      <w:pPr>
        <w:pStyle w:val="TOC8"/>
        <w:rPr>
          <w:rFonts w:asciiTheme="minorHAnsi" w:eastAsiaTheme="minorEastAsia" w:hAnsiTheme="minorHAnsi" w:cstheme="minorBidi"/>
          <w:szCs w:val="22"/>
        </w:rPr>
      </w:pPr>
      <w:r>
        <w:t>18D.</w:t>
      </w:r>
      <w:r>
        <w:tab/>
        <w:t>Seizure</w:t>
      </w:r>
      <w:r>
        <w:tab/>
      </w:r>
      <w:r>
        <w:fldChar w:fldCharType="begin"/>
      </w:r>
      <w:r>
        <w:instrText xml:space="preserve"> PAGEREF _Toc416875734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18E.</w:t>
      </w:r>
      <w:r>
        <w:tab/>
        <w:t>Incriminating information, questions, or documents</w:t>
      </w:r>
      <w:r>
        <w:tab/>
      </w:r>
      <w:r>
        <w:fldChar w:fldCharType="begin"/>
      </w:r>
      <w:r>
        <w:instrText xml:space="preserve"> PAGEREF _Toc416875735 \h </w:instrText>
      </w:r>
      <w:r>
        <w:fldChar w:fldCharType="separate"/>
      </w:r>
      <w:r>
        <w:t>17</w:t>
      </w:r>
      <w:r>
        <w:fldChar w:fldCharType="end"/>
      </w:r>
    </w:p>
    <w:p>
      <w:pPr>
        <w:pStyle w:val="TOC8"/>
        <w:rPr>
          <w:rFonts w:asciiTheme="minorHAnsi" w:eastAsiaTheme="minorEastAsia" w:hAnsiTheme="minorHAnsi" w:cstheme="minorBidi"/>
          <w:szCs w:val="22"/>
        </w:rPr>
      </w:pPr>
      <w:r>
        <w:t>18F.</w:t>
      </w:r>
      <w:r>
        <w:tab/>
        <w:t>Failure to comply with investigation</w:t>
      </w:r>
      <w:r>
        <w:tab/>
      </w:r>
      <w:r>
        <w:fldChar w:fldCharType="begin"/>
      </w:r>
      <w:r>
        <w:instrText xml:space="preserve"> PAGEREF _Toc416875736 \h </w:instrText>
      </w:r>
      <w:r>
        <w:fldChar w:fldCharType="separate"/>
      </w:r>
      <w:r>
        <w:t>18</w:t>
      </w:r>
      <w:r>
        <w:fldChar w:fldCharType="end"/>
      </w:r>
    </w:p>
    <w:p>
      <w:pPr>
        <w:pStyle w:val="TOC8"/>
        <w:rPr>
          <w:rFonts w:asciiTheme="minorHAnsi" w:eastAsiaTheme="minorEastAsia" w:hAnsiTheme="minorHAnsi" w:cstheme="minorBidi"/>
          <w:szCs w:val="22"/>
        </w:rPr>
      </w:pPr>
      <w:r>
        <w:t>18G.</w:t>
      </w:r>
      <w:r>
        <w:tab/>
        <w:t>Obstruction of investigator</w:t>
      </w:r>
      <w:r>
        <w:tab/>
      </w:r>
      <w:r>
        <w:fldChar w:fldCharType="begin"/>
      </w:r>
      <w:r>
        <w:instrText xml:space="preserve"> PAGEREF _Toc416875737 \h </w:instrText>
      </w:r>
      <w:r>
        <w:fldChar w:fldCharType="separate"/>
      </w:r>
      <w:r>
        <w:t>19</w:t>
      </w:r>
      <w:r>
        <w:fldChar w:fldCharType="end"/>
      </w:r>
    </w:p>
    <w:p>
      <w:pPr>
        <w:pStyle w:val="TOC8"/>
        <w:rPr>
          <w:rFonts w:asciiTheme="minorHAnsi" w:eastAsiaTheme="minorEastAsia" w:hAnsiTheme="minorHAnsi" w:cstheme="minorBidi"/>
          <w:szCs w:val="22"/>
        </w:rPr>
      </w:pPr>
      <w:r>
        <w:t>18H.</w:t>
      </w:r>
      <w:r>
        <w:tab/>
        <w:t>Information</w:t>
      </w:r>
      <w:r>
        <w:tab/>
      </w:r>
      <w:r>
        <w:fldChar w:fldCharType="begin"/>
      </w:r>
      <w:r>
        <w:instrText xml:space="preserve"> PAGEREF _Toc416875738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Review of decisions of the Commissioner</w:t>
      </w:r>
    </w:p>
    <w:p>
      <w:pPr>
        <w:pStyle w:val="TOC8"/>
        <w:rPr>
          <w:rFonts w:asciiTheme="minorHAnsi" w:eastAsiaTheme="minorEastAsia" w:hAnsiTheme="minorHAnsi" w:cstheme="minorBidi"/>
          <w:szCs w:val="22"/>
        </w:rPr>
      </w:pPr>
      <w:r>
        <w:t>23.</w:t>
      </w:r>
      <w:r>
        <w:tab/>
      </w:r>
      <w:r>
        <w:rPr>
          <w:snapToGrid w:val="0"/>
        </w:rPr>
        <w:t>Application for review</w:t>
      </w:r>
      <w:r>
        <w:tab/>
      </w:r>
      <w:r>
        <w:fldChar w:fldCharType="begin"/>
      </w:r>
      <w:r>
        <w:instrText xml:space="preserve"> PAGEREF _Toc416875740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24</w:t>
      </w:r>
      <w:r>
        <w:rPr>
          <w:snapToGrid w:val="0"/>
        </w:rPr>
        <w:t>.</w:t>
      </w:r>
      <w:r>
        <w:rPr>
          <w:snapToGrid w:val="0"/>
        </w:rPr>
        <w:tab/>
        <w:t>Application</w:t>
      </w:r>
      <w:r>
        <w:tab/>
      </w:r>
      <w:r>
        <w:fldChar w:fldCharType="begin"/>
      </w:r>
      <w:r>
        <w:instrText xml:space="preserve"> PAGEREF _Toc416875742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Objections</w:t>
      </w:r>
      <w:r>
        <w:tab/>
      </w:r>
      <w:r>
        <w:fldChar w:fldCharType="begin"/>
      </w:r>
      <w:r>
        <w:instrText xml:space="preserve"> PAGEREF _Toc416875743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Finance brokers to be licensed</w:t>
      </w:r>
      <w:r>
        <w:tab/>
      </w:r>
      <w:r>
        <w:fldChar w:fldCharType="begin"/>
      </w:r>
      <w:r>
        <w:instrText xml:space="preserve"> PAGEREF _Toc416875744 \h </w:instrText>
      </w:r>
      <w:r>
        <w:fldChar w:fldCharType="separate"/>
      </w:r>
      <w:r>
        <w:t>22</w:t>
      </w:r>
      <w:r>
        <w:fldChar w:fldCharType="end"/>
      </w:r>
    </w:p>
    <w:p>
      <w:pPr>
        <w:pStyle w:val="TOC8"/>
        <w:rPr>
          <w:rFonts w:asciiTheme="minorHAnsi" w:eastAsiaTheme="minorEastAsia" w:hAnsiTheme="minorHAnsi" w:cstheme="minorBidi"/>
          <w:szCs w:val="22"/>
        </w:rPr>
      </w:pPr>
      <w:r>
        <w:t>27A.</w:t>
      </w:r>
      <w:r>
        <w:tab/>
        <w:t>No further grants of licences</w:t>
      </w:r>
      <w:r>
        <w:tab/>
      </w:r>
      <w:r>
        <w:fldChar w:fldCharType="begin"/>
      </w:r>
      <w:r>
        <w:instrText xml:space="preserve"> PAGEREF _Toc416875745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Grant of licence to a natural person</w:t>
      </w:r>
      <w:r>
        <w:tab/>
      </w:r>
      <w:r>
        <w:fldChar w:fldCharType="begin"/>
      </w:r>
      <w:r>
        <w:instrText xml:space="preserve"> PAGEREF _Toc416875746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Grant of licence to a firm</w:t>
      </w:r>
      <w:r>
        <w:tab/>
      </w:r>
      <w:r>
        <w:fldChar w:fldCharType="begin"/>
      </w:r>
      <w:r>
        <w:instrText xml:space="preserve"> PAGEREF _Toc416875747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 of licence to body corporate</w:t>
      </w:r>
      <w:r>
        <w:tab/>
      </w:r>
      <w:r>
        <w:fldChar w:fldCharType="begin"/>
      </w:r>
      <w:r>
        <w:instrText xml:space="preserve"> PAGEREF _Toc416875748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Effect of licence</w:t>
      </w:r>
      <w:r>
        <w:tab/>
      </w:r>
      <w:r>
        <w:fldChar w:fldCharType="begin"/>
      </w:r>
      <w:r>
        <w:instrText xml:space="preserve"> PAGEREF _Toc416875749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Duration of licence</w:t>
      </w:r>
      <w:r>
        <w:tab/>
      </w:r>
      <w:r>
        <w:fldChar w:fldCharType="begin"/>
      </w:r>
      <w:r>
        <w:instrText xml:space="preserve"> PAGEREF _Toc416875750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Applications for renewals</w:t>
      </w:r>
      <w:r>
        <w:tab/>
      </w:r>
      <w:r>
        <w:fldChar w:fldCharType="begin"/>
      </w:r>
      <w:r>
        <w:instrText xml:space="preserve"> PAGEREF _Toc416875751 \h </w:instrText>
      </w:r>
      <w:r>
        <w:fldChar w:fldCharType="separate"/>
      </w:r>
      <w:r>
        <w:t>26</w:t>
      </w:r>
      <w:r>
        <w:fldChar w:fldCharType="end"/>
      </w:r>
    </w:p>
    <w:p>
      <w:pPr>
        <w:pStyle w:val="TOC8"/>
        <w:rPr>
          <w:rFonts w:asciiTheme="minorHAnsi" w:eastAsiaTheme="minorEastAsia" w:hAnsiTheme="minorHAnsi" w:cstheme="minorBidi"/>
          <w:szCs w:val="22"/>
        </w:rPr>
      </w:pPr>
      <w:r>
        <w:t>33.</w:t>
      </w:r>
      <w:r>
        <w:tab/>
        <w:t>Refusal to renew</w:t>
      </w:r>
      <w:r>
        <w:tab/>
      </w:r>
      <w:r>
        <w:fldChar w:fldCharType="begin"/>
      </w:r>
      <w:r>
        <w:instrText xml:space="preserve"> PAGEREF _Toc416875752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Conditions on licences</w:t>
      </w:r>
      <w:r>
        <w:tab/>
      </w:r>
      <w:r>
        <w:fldChar w:fldCharType="begin"/>
      </w:r>
      <w:r>
        <w:instrText xml:space="preserve"> PAGEREF _Toc416875753 \h </w:instrText>
      </w:r>
      <w:r>
        <w:fldChar w:fldCharType="separate"/>
      </w:r>
      <w:r>
        <w:t>28</w:t>
      </w:r>
      <w:r>
        <w:fldChar w:fldCharType="end"/>
      </w:r>
    </w:p>
    <w:p>
      <w:pPr>
        <w:pStyle w:val="TOC8"/>
        <w:rPr>
          <w:rFonts w:asciiTheme="minorHAnsi" w:eastAsiaTheme="minorEastAsia" w:hAnsiTheme="minorHAnsi" w:cstheme="minorBidi"/>
          <w:szCs w:val="22"/>
        </w:rPr>
      </w:pPr>
      <w:r>
        <w:t>34B.</w:t>
      </w:r>
      <w:r>
        <w:tab/>
        <w:t>Suspension of licence by State Administrative Tribunal</w:t>
      </w:r>
      <w:r>
        <w:tab/>
      </w:r>
      <w:r>
        <w:fldChar w:fldCharType="begin"/>
      </w:r>
      <w:r>
        <w:instrText xml:space="preserve"> PAGEREF _Toc416875754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Bond in respect of licence</w:t>
      </w:r>
      <w:r>
        <w:tab/>
      </w:r>
      <w:r>
        <w:fldChar w:fldCharType="begin"/>
      </w:r>
      <w:r>
        <w:instrText xml:space="preserve"> PAGEREF _Toc416875755 \h </w:instrText>
      </w:r>
      <w:r>
        <w:fldChar w:fldCharType="separate"/>
      </w:r>
      <w:r>
        <w:t>29</w:t>
      </w:r>
      <w:r>
        <w:fldChar w:fldCharType="end"/>
      </w:r>
    </w:p>
    <w:p>
      <w:pPr>
        <w:pStyle w:val="TOC8"/>
        <w:rPr>
          <w:rFonts w:asciiTheme="minorHAnsi" w:eastAsiaTheme="minorEastAsia" w:hAnsiTheme="minorHAnsi" w:cstheme="minorBidi"/>
          <w:szCs w:val="22"/>
        </w:rPr>
      </w:pPr>
      <w:r>
        <w:t>35A.</w:t>
      </w:r>
      <w:r>
        <w:tab/>
        <w:t>Prescribed person exempt from bond requirements</w:t>
      </w:r>
      <w:r>
        <w:tab/>
      </w:r>
      <w:r>
        <w:fldChar w:fldCharType="begin"/>
      </w:r>
      <w:r>
        <w:instrText xml:space="preserve"> PAGEREF _Toc416875756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Licence not transferable</w:t>
      </w:r>
      <w:r>
        <w:tab/>
      </w:r>
      <w:r>
        <w:fldChar w:fldCharType="begin"/>
      </w:r>
      <w:r>
        <w:instrText xml:space="preserve"> PAGEREF _Toc416875757 \h </w:instrText>
      </w:r>
      <w:r>
        <w:fldChar w:fldCharType="separate"/>
      </w:r>
      <w:r>
        <w:t>31</w:t>
      </w:r>
      <w:r>
        <w:fldChar w:fldCharType="end"/>
      </w:r>
    </w:p>
    <w:p>
      <w:pPr>
        <w:pStyle w:val="TOC8"/>
        <w:rPr>
          <w:rFonts w:asciiTheme="minorHAnsi" w:eastAsiaTheme="minorEastAsia" w:hAnsiTheme="minorHAnsi" w:cstheme="minorBidi"/>
          <w:szCs w:val="22"/>
        </w:rPr>
      </w:pPr>
      <w:r>
        <w:t>40A.</w:t>
      </w:r>
      <w:r>
        <w:tab/>
        <w:t>Prohibition against doing business with unlicensed finance brokers</w:t>
      </w:r>
      <w:r>
        <w:tab/>
      </w:r>
      <w:r>
        <w:fldChar w:fldCharType="begin"/>
      </w:r>
      <w:r>
        <w:instrText xml:space="preserve"> PAGEREF _Toc416875758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Use of business name</w:t>
      </w:r>
      <w:r>
        <w:tab/>
      </w:r>
      <w:r>
        <w:fldChar w:fldCharType="begin"/>
      </w:r>
      <w:r>
        <w:instrText xml:space="preserve"> PAGEREF _Toc416875759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be exhibited</w:t>
      </w:r>
      <w:r>
        <w:tab/>
      </w:r>
      <w:r>
        <w:fldChar w:fldCharType="begin"/>
      </w:r>
      <w:r>
        <w:instrText xml:space="preserve"> PAGEREF _Toc416875760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IV — Controls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43</w:t>
      </w:r>
      <w:r>
        <w:rPr>
          <w:snapToGrid w:val="0"/>
        </w:rPr>
        <w:t>.</w:t>
      </w:r>
      <w:r>
        <w:rPr>
          <w:snapToGrid w:val="0"/>
        </w:rPr>
        <w:tab/>
        <w:t>Disability of unlicensed person</w:t>
      </w:r>
      <w:r>
        <w:tab/>
      </w:r>
      <w:r>
        <w:fldChar w:fldCharType="begin"/>
      </w:r>
      <w:r>
        <w:instrText xml:space="preserve"> PAGEREF _Toc416875763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Remuneration of finance brokers</w:t>
      </w:r>
      <w:r>
        <w:tab/>
      </w:r>
      <w:r>
        <w:fldChar w:fldCharType="begin"/>
      </w:r>
      <w:r>
        <w:instrText xml:space="preserve"> PAGEREF _Toc416875764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Advertisements by licensees</w:t>
      </w:r>
      <w:r>
        <w:tab/>
      </w:r>
      <w:r>
        <w:fldChar w:fldCharType="begin"/>
      </w:r>
      <w:r>
        <w:instrText xml:space="preserve"> PAGEREF _Toc416875765 \h </w:instrText>
      </w:r>
      <w:r>
        <w:fldChar w:fldCharType="separate"/>
      </w:r>
      <w:r>
        <w:t>36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Copy of loan documents</w:t>
      </w:r>
      <w:r>
        <w:tab/>
      </w:r>
      <w:r>
        <w:fldChar w:fldCharType="begin"/>
      </w:r>
      <w:r>
        <w:instrText xml:space="preserve"> PAGEREF _Toc416875766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Trust accounts</w:t>
      </w:r>
    </w:p>
    <w:p>
      <w:pPr>
        <w:pStyle w:val="TOC8"/>
        <w:rPr>
          <w:rFonts w:asciiTheme="minorHAnsi" w:eastAsiaTheme="minorEastAsia" w:hAnsiTheme="minorHAnsi" w:cstheme="minorBidi"/>
          <w:szCs w:val="22"/>
        </w:rPr>
      </w:pPr>
      <w:r>
        <w:t>47</w:t>
      </w:r>
      <w:r>
        <w:rPr>
          <w:snapToGrid w:val="0"/>
        </w:rPr>
        <w:t>.</w:t>
      </w:r>
      <w:r>
        <w:rPr>
          <w:snapToGrid w:val="0"/>
        </w:rPr>
        <w:tab/>
        <w:t>Interpretation</w:t>
      </w:r>
      <w:r>
        <w:tab/>
      </w:r>
      <w:r>
        <w:fldChar w:fldCharType="begin"/>
      </w:r>
      <w:r>
        <w:instrText xml:space="preserve"> PAGEREF _Toc416875768 \h </w:instrText>
      </w:r>
      <w:r>
        <w:fldChar w:fldCharType="separate"/>
      </w:r>
      <w:r>
        <w:t>37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Trust accounts</w:t>
      </w:r>
      <w:r>
        <w:tab/>
      </w:r>
      <w:r>
        <w:fldChar w:fldCharType="begin"/>
      </w:r>
      <w:r>
        <w:instrText xml:space="preserve"> PAGEREF _Toc416875769 \h </w:instrText>
      </w:r>
      <w:r>
        <w:fldChar w:fldCharType="separate"/>
      </w:r>
      <w:r>
        <w:t>37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Receipts and accounting to principal</w:t>
      </w:r>
      <w:r>
        <w:tab/>
      </w:r>
      <w:r>
        <w:fldChar w:fldCharType="begin"/>
      </w:r>
      <w:r>
        <w:instrText xml:space="preserve"> PAGEREF _Toc416875770 \h </w:instrText>
      </w:r>
      <w:r>
        <w:fldChar w:fldCharType="separate"/>
      </w:r>
      <w:r>
        <w:t>39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Duty of finance broker to have trust accounts audited</w:t>
      </w:r>
      <w:r>
        <w:tab/>
      </w:r>
      <w:r>
        <w:fldChar w:fldCharType="begin"/>
      </w:r>
      <w:r>
        <w:instrText xml:space="preserve"> PAGEREF _Toc416875771 \h </w:instrText>
      </w:r>
      <w:r>
        <w:fldChar w:fldCharType="separate"/>
      </w:r>
      <w:r>
        <w:t>40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Variation of date of audit</w:t>
      </w:r>
      <w:r>
        <w:tab/>
      </w:r>
      <w:r>
        <w:fldChar w:fldCharType="begin"/>
      </w:r>
      <w:r>
        <w:instrText xml:space="preserve"> PAGEREF _Toc416875772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Qualification and approval of auditors</w:t>
      </w:r>
      <w:r>
        <w:tab/>
      </w:r>
      <w:r>
        <w:fldChar w:fldCharType="begin"/>
      </w:r>
      <w:r>
        <w:instrText xml:space="preserve"> PAGEREF _Toc416875773 \h </w:instrText>
      </w:r>
      <w:r>
        <w:fldChar w:fldCharType="separate"/>
      </w:r>
      <w:r>
        <w:t>42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Appointment of auditor</w:t>
      </w:r>
      <w:r>
        <w:tab/>
      </w:r>
      <w:r>
        <w:fldChar w:fldCharType="begin"/>
      </w:r>
      <w:r>
        <w:instrText xml:space="preserve"> PAGEREF _Toc416875774 \h </w:instrText>
      </w:r>
      <w:r>
        <w:fldChar w:fldCharType="separate"/>
      </w:r>
      <w:r>
        <w:t>43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to give directions for audit of business carried on at more than one place</w:t>
      </w:r>
      <w:r>
        <w:tab/>
      </w:r>
      <w:r>
        <w:fldChar w:fldCharType="begin"/>
      </w:r>
      <w:r>
        <w:instrText xml:space="preserve"> PAGEREF _Toc416875775 \h </w:instrText>
      </w:r>
      <w:r>
        <w:fldChar w:fldCharType="separate"/>
      </w:r>
      <w:r>
        <w:t>43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Alteration of rights under this Division</w:t>
      </w:r>
      <w:r>
        <w:tab/>
      </w:r>
      <w:r>
        <w:fldChar w:fldCharType="begin"/>
      </w:r>
      <w:r>
        <w:instrText xml:space="preserve"> PAGEREF _Toc416875776 \h </w:instrText>
      </w:r>
      <w:r>
        <w:fldChar w:fldCharType="separate"/>
      </w:r>
      <w:r>
        <w:t>44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Duties of finance brokers with respect to audit</w:t>
      </w:r>
      <w:r>
        <w:tab/>
      </w:r>
      <w:r>
        <w:fldChar w:fldCharType="begin"/>
      </w:r>
      <w:r>
        <w:instrText xml:space="preserve"> PAGEREF _Toc416875777 \h </w:instrText>
      </w:r>
      <w:r>
        <w:fldChar w:fldCharType="separate"/>
      </w:r>
      <w:r>
        <w:t>44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of banker with respect to audit</w:t>
      </w:r>
      <w:r>
        <w:tab/>
      </w:r>
      <w:r>
        <w:fldChar w:fldCharType="begin"/>
      </w:r>
      <w:r>
        <w:instrText xml:space="preserve"> PAGEREF _Toc416875778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Contents of auditor’s report</w:t>
      </w:r>
      <w:r>
        <w:tab/>
      </w:r>
      <w:r>
        <w:fldChar w:fldCharType="begin"/>
      </w:r>
      <w:r>
        <w:instrText xml:space="preserve"> PAGEREF _Toc416875779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Statement of moneys, etc., held by finance broker for or on behalf of other persons</w:t>
      </w:r>
      <w:r>
        <w:tab/>
      </w:r>
      <w:r>
        <w:fldChar w:fldCharType="begin"/>
      </w:r>
      <w:r>
        <w:instrText xml:space="preserve"> PAGEREF _Toc416875780 \h </w:instrText>
      </w:r>
      <w:r>
        <w:fldChar w:fldCharType="separate"/>
      </w:r>
      <w:r>
        <w:t>45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Auditor’s report where finance broker has not complied with Act, etc.</w:t>
      </w:r>
      <w:r>
        <w:tab/>
      </w:r>
      <w:r>
        <w:fldChar w:fldCharType="begin"/>
      </w:r>
      <w:r>
        <w:instrText xml:space="preserve"> PAGEREF _Toc416875781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Non</w:t>
      </w:r>
      <w:r>
        <w:rPr>
          <w:snapToGrid w:val="0"/>
        </w:rPr>
        <w:noBreakHyphen/>
        <w:t>disclosure by auditors</w:t>
      </w:r>
      <w:r>
        <w:tab/>
      </w:r>
      <w:r>
        <w:fldChar w:fldCharType="begin"/>
      </w:r>
      <w:r>
        <w:instrText xml:space="preserve"> PAGEREF _Toc416875782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Right of persons beneficially interested to obtain information</w:t>
      </w:r>
      <w:r>
        <w:tab/>
      </w:r>
      <w:r>
        <w:fldChar w:fldCharType="begin"/>
      </w:r>
      <w:r>
        <w:instrText xml:space="preserve"> PAGEREF _Toc416875783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Penalty for breach</w:t>
      </w:r>
      <w:r>
        <w:tab/>
      </w:r>
      <w:r>
        <w:fldChar w:fldCharType="begin"/>
      </w:r>
      <w:r>
        <w:instrText xml:space="preserve"> PAGEREF _Toc416875784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Remuneration of auditor</w:t>
      </w:r>
      <w:r>
        <w:tab/>
      </w:r>
      <w:r>
        <w:fldChar w:fldCharType="begin"/>
      </w:r>
      <w:r>
        <w:instrText xml:space="preserve"> PAGEREF _Toc416875785 \h </w:instrText>
      </w:r>
      <w:r>
        <w:fldChar w:fldCharType="separate"/>
      </w:r>
      <w:r>
        <w:t>48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Finance brokers having no accounts to audit</w:t>
      </w:r>
      <w:r>
        <w:tab/>
      </w:r>
      <w:r>
        <w:fldChar w:fldCharType="begin"/>
      </w:r>
      <w:r>
        <w:instrText xml:space="preserve"> PAGEREF _Toc416875786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Accounts of firm or body corporate or finance broker with branch office</w:t>
      </w:r>
      <w:r>
        <w:tab/>
      </w:r>
      <w:r>
        <w:fldChar w:fldCharType="begin"/>
      </w:r>
      <w:r>
        <w:instrText xml:space="preserve"> PAGEREF _Toc416875787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Power of Commissioner to order audit of trust account</w:t>
      </w:r>
      <w:r>
        <w:tab/>
      </w:r>
      <w:r>
        <w:fldChar w:fldCharType="begin"/>
      </w:r>
      <w:r>
        <w:instrText xml:space="preserve"> PAGEREF _Toc416875788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Finance broker to produce books, etc. to auditor</w:t>
      </w:r>
      <w:r>
        <w:tab/>
      </w:r>
      <w:r>
        <w:fldChar w:fldCharType="begin"/>
      </w:r>
      <w:r>
        <w:instrText xml:space="preserve"> PAGEREF _Toc416875789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Cost of audit</w:t>
      </w:r>
      <w:r>
        <w:tab/>
      </w:r>
      <w:r>
        <w:fldChar w:fldCharType="begin"/>
      </w:r>
      <w:r>
        <w:instrText xml:space="preserve"> PAGEREF _Toc416875790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Application of s. 62</w:t>
      </w:r>
      <w:r>
        <w:tab/>
      </w:r>
      <w:r>
        <w:fldChar w:fldCharType="begin"/>
      </w:r>
      <w:r>
        <w:instrText xml:space="preserve"> PAGEREF _Toc416875791 \h </w:instrText>
      </w:r>
      <w:r>
        <w:fldChar w:fldCharType="separate"/>
      </w:r>
      <w:r>
        <w:t>50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Power of restraining dealing with trust accounts or other accounts</w:t>
      </w:r>
      <w:r>
        <w:tab/>
      </w:r>
      <w:r>
        <w:fldChar w:fldCharType="begin"/>
      </w:r>
      <w:r>
        <w:instrText xml:space="preserve"> PAGEREF _Toc416875792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Discipline</w:t>
      </w:r>
    </w:p>
    <w:p>
      <w:pPr>
        <w:pStyle w:val="TOC8"/>
        <w:rPr>
          <w:rFonts w:asciiTheme="minorHAnsi" w:eastAsiaTheme="minorEastAsia" w:hAnsiTheme="minorHAnsi" w:cstheme="minorBidi"/>
          <w:szCs w:val="22"/>
        </w:rPr>
      </w:pPr>
      <w:r>
        <w:t>81</w:t>
      </w:r>
      <w:r>
        <w:rPr>
          <w:snapToGrid w:val="0"/>
        </w:rPr>
        <w:t>.</w:t>
      </w:r>
      <w:r>
        <w:rPr>
          <w:snapToGrid w:val="0"/>
        </w:rPr>
        <w:tab/>
        <w:t>Finance brokers code</w:t>
      </w:r>
      <w:r>
        <w:tab/>
      </w:r>
      <w:r>
        <w:fldChar w:fldCharType="begin"/>
      </w:r>
      <w:r>
        <w:instrText xml:space="preserve"> PAGEREF _Toc416875794 \h </w:instrText>
      </w:r>
      <w:r>
        <w:fldChar w:fldCharType="separate"/>
      </w:r>
      <w:r>
        <w:t>52</w:t>
      </w:r>
      <w:r>
        <w:fldChar w:fldCharType="end"/>
      </w:r>
    </w:p>
    <w:p>
      <w:pPr>
        <w:pStyle w:val="TOC8"/>
        <w:rPr>
          <w:rFonts w:asciiTheme="minorHAnsi" w:eastAsiaTheme="minorEastAsia" w:hAnsiTheme="minorHAnsi" w:cstheme="minorBidi"/>
          <w:szCs w:val="22"/>
        </w:rPr>
      </w:pPr>
      <w:r>
        <w:t>82.</w:t>
      </w:r>
      <w:r>
        <w:tab/>
        <w:t>Dis</w:t>
      </w:r>
      <w:r>
        <w:rPr>
          <w:snapToGrid w:val="0"/>
        </w:rPr>
        <w:t>ciplinary proceedings against finance brokers</w:t>
      </w:r>
      <w:r>
        <w:tab/>
      </w:r>
      <w:r>
        <w:fldChar w:fldCharType="begin"/>
      </w:r>
      <w:r>
        <w:instrText xml:space="preserve"> PAGEREF _Toc416875795 \h </w:instrText>
      </w:r>
      <w:r>
        <w:fldChar w:fldCharType="separate"/>
      </w:r>
      <w:r>
        <w:t>53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Powers on inquiry</w:t>
      </w:r>
      <w:r>
        <w:tab/>
      </w:r>
      <w:r>
        <w:fldChar w:fldCharType="begin"/>
      </w:r>
      <w:r>
        <w:instrText xml:space="preserve"> PAGEREF _Toc416875796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85</w:t>
      </w:r>
      <w:r>
        <w:rPr>
          <w:snapToGrid w:val="0"/>
        </w:rPr>
        <w:t>.</w:t>
      </w:r>
      <w:r>
        <w:rPr>
          <w:snapToGrid w:val="0"/>
        </w:rPr>
        <w:tab/>
        <w:t>Lists and certificates</w:t>
      </w:r>
      <w:r>
        <w:tab/>
      </w:r>
      <w:r>
        <w:fldChar w:fldCharType="begin"/>
      </w:r>
      <w:r>
        <w:instrText xml:space="preserve"> PAGEREF _Toc416875798 \h </w:instrText>
      </w:r>
      <w:r>
        <w:fldChar w:fldCharType="separate"/>
      </w:r>
      <w:r>
        <w:t>55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Immunity of officers</w:t>
      </w:r>
      <w:r>
        <w:tab/>
      </w:r>
      <w:r>
        <w:fldChar w:fldCharType="begin"/>
      </w:r>
      <w:r>
        <w:instrText xml:space="preserve"> PAGEREF _Toc416875799 \h </w:instrText>
      </w:r>
      <w:r>
        <w:fldChar w:fldCharType="separate"/>
      </w:r>
      <w:r>
        <w:t>55</w:t>
      </w:r>
      <w:r>
        <w:fldChar w:fldCharType="end"/>
      </w:r>
    </w:p>
    <w:p>
      <w:pPr>
        <w:pStyle w:val="TOC8"/>
        <w:rPr>
          <w:rFonts w:asciiTheme="minorHAnsi" w:eastAsiaTheme="minorEastAsia" w:hAnsiTheme="minorHAnsi" w:cstheme="minorBidi"/>
          <w:szCs w:val="22"/>
        </w:rPr>
      </w:pPr>
      <w:r>
        <w:t>88.</w:t>
      </w:r>
      <w:r>
        <w:tab/>
        <w:t>Secrecy</w:t>
      </w:r>
      <w:r>
        <w:tab/>
      </w:r>
      <w:r>
        <w:fldChar w:fldCharType="begin"/>
      </w:r>
      <w:r>
        <w:instrText xml:space="preserve"> PAGEREF _Toc416875800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Liability of directors of body corporate</w:t>
      </w:r>
      <w:r>
        <w:tab/>
      </w:r>
      <w:r>
        <w:fldChar w:fldCharType="begin"/>
      </w:r>
      <w:r>
        <w:instrText xml:space="preserve"> PAGEREF _Toc416875801 \h </w:instrText>
      </w:r>
      <w:r>
        <w:fldChar w:fldCharType="separate"/>
      </w:r>
      <w:r>
        <w:t>57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Other rights or remedies</w:t>
      </w:r>
      <w:r>
        <w:tab/>
      </w:r>
      <w:r>
        <w:fldChar w:fldCharType="begin"/>
      </w:r>
      <w:r>
        <w:instrText xml:space="preserve"> PAGEREF _Toc416875802 \h </w:instrText>
      </w:r>
      <w:r>
        <w:fldChar w:fldCharType="separate"/>
      </w:r>
      <w:r>
        <w:t>57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No waiver of rights</w:t>
      </w:r>
      <w:r>
        <w:tab/>
      </w:r>
      <w:r>
        <w:fldChar w:fldCharType="begin"/>
      </w:r>
      <w:r>
        <w:instrText xml:space="preserve"> PAGEREF _Toc416875803 \h </w:instrText>
      </w:r>
      <w:r>
        <w:fldChar w:fldCharType="separate"/>
      </w:r>
      <w:r>
        <w:t>57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General penalty</w:t>
      </w:r>
      <w:r>
        <w:tab/>
      </w:r>
      <w:r>
        <w:fldChar w:fldCharType="begin"/>
      </w:r>
      <w:r>
        <w:instrText xml:space="preserve"> PAGEREF _Toc416875804 \h </w:instrText>
      </w:r>
      <w:r>
        <w:fldChar w:fldCharType="separate"/>
      </w:r>
      <w:r>
        <w:t>57</w:t>
      </w:r>
      <w:r>
        <w:fldChar w:fldCharType="end"/>
      </w:r>
    </w:p>
    <w:p>
      <w:pPr>
        <w:pStyle w:val="TOC8"/>
        <w:rPr>
          <w:rFonts w:asciiTheme="minorHAnsi" w:eastAsiaTheme="minorEastAsia" w:hAnsiTheme="minorHAnsi" w:cstheme="minorBidi"/>
          <w:szCs w:val="22"/>
        </w:rPr>
      </w:pPr>
      <w:r>
        <w:t>92A.</w:t>
      </w:r>
      <w:r>
        <w:tab/>
        <w:t>Infringement notices</w:t>
      </w:r>
      <w:r>
        <w:tab/>
      </w:r>
      <w:r>
        <w:fldChar w:fldCharType="begin"/>
      </w:r>
      <w:r>
        <w:instrText xml:space="preserve"> PAGEREF _Toc416875805 \h </w:instrText>
      </w:r>
      <w:r>
        <w:fldChar w:fldCharType="separate"/>
      </w:r>
      <w:r>
        <w:t>57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Proceedings</w:t>
      </w:r>
      <w:r>
        <w:tab/>
      </w:r>
      <w:r>
        <w:fldChar w:fldCharType="begin"/>
      </w:r>
      <w:r>
        <w:instrText xml:space="preserve"> PAGEREF _Toc416875806 \h </w:instrText>
      </w:r>
      <w:r>
        <w:fldChar w:fldCharType="separate"/>
      </w:r>
      <w:r>
        <w:t>60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Forms</w:t>
      </w:r>
      <w:r>
        <w:tab/>
      </w:r>
      <w:r>
        <w:fldChar w:fldCharType="begin"/>
      </w:r>
      <w:r>
        <w:instrText xml:space="preserve"> PAGEREF _Toc416875807 \h </w:instrText>
      </w:r>
      <w:r>
        <w:fldChar w:fldCharType="separate"/>
      </w:r>
      <w:r>
        <w:t>60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Regulations</w:t>
      </w:r>
      <w:r>
        <w:tab/>
      </w:r>
      <w:r>
        <w:fldChar w:fldCharType="begin"/>
      </w:r>
      <w:r>
        <w:instrText xml:space="preserve"> PAGEREF _Toc416875808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 Formula for calculating percentage rate of interest</w:t>
      </w:r>
    </w:p>
    <w:p>
      <w:pPr>
        <w:pStyle w:val="TOC8"/>
        <w:rPr>
          <w:rFonts w:asciiTheme="minorHAnsi" w:eastAsiaTheme="minorEastAsia" w:hAnsiTheme="minorHAnsi" w:cstheme="minorBidi"/>
          <w:szCs w:val="22"/>
        </w:rPr>
      </w:pPr>
      <w:r>
        <w:t>1</w:t>
      </w:r>
      <w:r>
        <w:rPr>
          <w:snapToGrid w:val="0"/>
        </w:rPr>
        <w:t>.</w:t>
      </w:r>
      <w:r>
        <w:rPr>
          <w:snapToGrid w:val="0"/>
        </w:rPr>
        <w:tab/>
        <w:t>Formula for calculating percentage rate of interest</w:t>
      </w:r>
      <w:r>
        <w:tab/>
      </w:r>
      <w:r>
        <w:fldChar w:fldCharType="begin"/>
      </w:r>
      <w:r>
        <w:instrText xml:space="preserve"> PAGEREF _Toc416875810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_Toc416875812 \h </w:instrText>
      </w:r>
      <w:r>
        <w:fldChar w:fldCharType="separate"/>
      </w:r>
      <w:r>
        <w:t>65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_Toc416875813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yWestern Australia</w:t>
      </w:r>
    </w:p>
    <w:p>
      <w:pPr>
        <w:pStyle w:val="NameofActReg"/>
        <w:spacing w:before="1800"/>
      </w:pPr>
      <w:r>
        <w:t xml:space="preserve">Finance Brokers Control Act 1975 </w:t>
      </w:r>
    </w:p>
    <w:p>
      <w:pPr>
        <w:pStyle w:val="LongTitle"/>
        <w:spacing w:before="1200"/>
        <w:rPr>
          <w:snapToGrid w:val="0"/>
        </w:rPr>
      </w:pPr>
      <w:r>
        <w:rPr>
          <w:snapToGrid w:val="0"/>
        </w:rPr>
        <w:t xml:space="preserve">An Act to make provision with respect to the licensing, regulation, and supervision of finance brokers, and for related purposes. </w:t>
      </w:r>
    </w:p>
    <w:p>
      <w:pPr>
        <w:pStyle w:val="Heading2"/>
      </w:pPr>
      <w:bookmarkStart w:id="3" w:name="_Toc378249250"/>
      <w:bookmarkStart w:id="4" w:name="_Toc416875606"/>
      <w:bookmarkStart w:id="5" w:name="_Toc416875710"/>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8249251"/>
      <w:bookmarkStart w:id="7" w:name="_Toc416875711"/>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 </w:t>
      </w:r>
      <w:r>
        <w:rPr>
          <w:snapToGrid w:val="0"/>
          <w:vertAlign w:val="superscript"/>
        </w:rPr>
        <w:t>1</w:t>
      </w:r>
      <w:r>
        <w:rPr>
          <w:snapToGrid w:val="0"/>
        </w:rPr>
        <w:t>.</w:t>
      </w:r>
    </w:p>
    <w:p>
      <w:pPr>
        <w:pStyle w:val="Heading5"/>
        <w:rPr>
          <w:snapToGrid w:val="0"/>
        </w:rPr>
      </w:pPr>
      <w:bookmarkStart w:id="8" w:name="_Toc378249252"/>
      <w:bookmarkStart w:id="9" w:name="_Toc416875712"/>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10" w:name="_Toc378249253"/>
      <w:bookmarkStart w:id="11" w:name="_Toc416875713"/>
      <w:r>
        <w:rPr>
          <w:rStyle w:val="CharSectno"/>
        </w:rPr>
        <w:t>4</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appointed day</w:t>
      </w:r>
      <w:r>
        <w:t xml:space="preserve"> means the day fixed by the Minister pursuant to section 26(2)</w:t>
      </w:r>
      <w:r>
        <w:rPr>
          <w:vertAlign w:val="superscript"/>
        </w:rPr>
        <w:t xml:space="preserve"> 2</w:t>
      </w:r>
      <w:r>
        <w:t>;</w:t>
      </w:r>
    </w:p>
    <w:p>
      <w:pPr>
        <w:pStyle w:val="Defstart"/>
      </w:pPr>
      <w:r>
        <w:rPr>
          <w:b/>
        </w:rPr>
        <w:tab/>
      </w:r>
      <w:r>
        <w:rPr>
          <w:rStyle w:val="CharDefText"/>
        </w:rPr>
        <w:t>approved</w:t>
      </w:r>
      <w:r>
        <w:t xml:space="preserve"> means approved by the Commissioner;</w:t>
      </w:r>
    </w:p>
    <w:p>
      <w:pPr>
        <w:pStyle w:val="Subsection"/>
      </w:pPr>
      <w:r>
        <w:rPr>
          <w:b/>
          <w:bCs/>
          <w:i/>
          <w:iCs/>
        </w:rPr>
        <w:tab/>
      </w:r>
      <w:r>
        <w:rPr>
          <w:b/>
          <w:bCs/>
          <w:i/>
          <w:iCs/>
        </w:rPr>
        <w:tab/>
        <w:t>ASIC</w:t>
      </w:r>
      <w:r>
        <w:t xml:space="preserve"> means the Australian Securities and Investments Commission;</w:t>
      </w:r>
    </w:p>
    <w:p>
      <w:pPr>
        <w:pStyle w:val="Defstart"/>
      </w:pPr>
      <w:r>
        <w:rPr>
          <w:b/>
        </w:rPr>
        <w:tab/>
      </w:r>
      <w:r>
        <w:rPr>
          <w:rStyle w:val="CharDefText"/>
        </w:rPr>
        <w:t>auditor</w:t>
      </w:r>
      <w:r>
        <w:t xml:space="preserve"> means a person appointed under this Act to audit the trust accounts of a finance broker;</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business</w:t>
      </w:r>
      <w:r>
        <w:t xml:space="preserve"> means the business of a finance broker;</w:t>
      </w:r>
    </w:p>
    <w:p>
      <w:pPr>
        <w:pStyle w:val="Defstart"/>
      </w:pPr>
      <w:r>
        <w:rPr>
          <w:b/>
        </w:rPr>
        <w:tab/>
      </w:r>
      <w:r>
        <w:rPr>
          <w:rStyle w:val="CharDefText"/>
        </w:rPr>
        <w:t>Commissioner</w:t>
      </w:r>
      <w:r>
        <w:t xml:space="preserve"> means the person for the time being designated as the Commissioner under section 6;</w:t>
      </w:r>
    </w:p>
    <w:p>
      <w:pPr>
        <w:pStyle w:val="Defstart"/>
      </w:pPr>
      <w:r>
        <w:rPr>
          <w:b/>
        </w:rPr>
        <w:tab/>
      </w:r>
      <w:r>
        <w:rPr>
          <w:rStyle w:val="CharDefText"/>
        </w:rPr>
        <w:t>condition</w:t>
      </w:r>
      <w:r>
        <w:t>, in relation to a licence or exemption, includes restriction or limitation;</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finance broker</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t>but does not include the exceptions specified in section 5(1);</w:t>
      </w:r>
    </w:p>
    <w:p>
      <w:pPr>
        <w:pStyle w:val="Defstart"/>
      </w:pPr>
      <w:r>
        <w:rPr>
          <w:b/>
        </w:rPr>
        <w:tab/>
      </w:r>
      <w:r>
        <w:rPr>
          <w:rStyle w:val="CharDefText"/>
        </w:rPr>
        <w:t>finance brokers code of conduct</w:t>
      </w:r>
      <w:r>
        <w:t xml:space="preserve"> means the code prescribed under section 81;</w:t>
      </w:r>
    </w:p>
    <w:p>
      <w:pPr>
        <w:pStyle w:val="Defstart"/>
      </w:pPr>
      <w:r>
        <w:tab/>
      </w:r>
      <w:r>
        <w:rPr>
          <w:rStyle w:val="CharDefText"/>
        </w:rPr>
        <w:t>investigator</w:t>
      </w:r>
      <w:r>
        <w:t xml:space="preserve"> means a person designated under section 15 as an investigator and a member of the Police Force undertaking an investigation or inquiry or report under section 14;</w:t>
      </w:r>
    </w:p>
    <w:p>
      <w:pPr>
        <w:pStyle w:val="Defstart"/>
      </w:pPr>
      <w:r>
        <w:rPr>
          <w:b/>
        </w:rPr>
        <w:tab/>
      </w:r>
      <w:r>
        <w:rPr>
          <w:rStyle w:val="CharDefText"/>
        </w:rPr>
        <w:t>licence</w:t>
      </w:r>
      <w:r>
        <w:t xml:space="preserve"> means the licence of a finance broker under this Act;</w:t>
      </w:r>
    </w:p>
    <w:p>
      <w:pPr>
        <w:pStyle w:val="Defstart"/>
      </w:pPr>
      <w:r>
        <w:rPr>
          <w:b/>
        </w:rPr>
        <w:tab/>
      </w:r>
      <w:r>
        <w:rPr>
          <w:rStyle w:val="CharDefText"/>
        </w:rPr>
        <w:t>licensed</w:t>
      </w:r>
      <w:r>
        <w:t xml:space="preserve"> means licensed as a finance broker under this Act;</w:t>
      </w:r>
    </w:p>
    <w:p>
      <w:pPr>
        <w:pStyle w:val="Defstart"/>
      </w:pPr>
      <w:r>
        <w:rPr>
          <w:b/>
        </w:rPr>
        <w:tab/>
      </w:r>
      <w:r>
        <w:rPr>
          <w:rStyle w:val="CharDefText"/>
        </w:rPr>
        <w:t>licensee</w:t>
      </w:r>
      <w:r>
        <w:t xml:space="preserve"> means a person licensed under this Act;</w:t>
      </w:r>
    </w:p>
    <w:p>
      <w:pPr>
        <w:pStyle w:val="Defstart"/>
      </w:pPr>
      <w:r>
        <w:tab/>
      </w:r>
      <w:r>
        <w:rPr>
          <w:rStyle w:val="CharDefText"/>
        </w:rPr>
        <w:t>motor vehicle</w:t>
      </w:r>
      <w:r>
        <w:t xml:space="preserve"> has the meaning given in the </w:t>
      </w:r>
      <w:r>
        <w:rPr>
          <w:i/>
          <w:iCs/>
        </w:rPr>
        <w:t>Road Traffic (Administration) Act 2008</w:t>
      </w:r>
      <w:r>
        <w:t xml:space="preserve"> section 4;</w:t>
      </w:r>
    </w:p>
    <w:p>
      <w:pPr>
        <w:pStyle w:val="Subsection"/>
      </w:pPr>
      <w:r>
        <w:rPr>
          <w:b/>
          <w:bCs/>
          <w:i/>
          <w:iCs/>
        </w:rPr>
        <w:tab/>
      </w:r>
      <w:r>
        <w:rPr>
          <w:b/>
          <w:bCs/>
          <w:i/>
          <w:iCs/>
        </w:rPr>
        <w:tab/>
        <w:t>referral day</w:t>
      </w:r>
      <w:r>
        <w:t xml:space="preserve"> means the day on which the </w:t>
      </w:r>
      <w:r>
        <w:rPr>
          <w:i/>
          <w:iCs/>
        </w:rPr>
        <w:t>Credit (Commonwealth Powers) Act 2010</w:t>
      </w:r>
      <w:r>
        <w:t xml:space="preserve"> section 5 comes into operation;</w:t>
      </w:r>
    </w:p>
    <w:p>
      <w:pPr>
        <w:pStyle w:val="Defstart"/>
      </w:pPr>
      <w:r>
        <w:rPr>
          <w:b/>
        </w:rPr>
        <w:tab/>
      </w:r>
      <w:r>
        <w:rPr>
          <w:rStyle w:val="CharDefText"/>
        </w:rPr>
        <w:t>renewal</w:t>
      </w:r>
      <w:r>
        <w:t xml:space="preserve"> means renewal of a licence;</w:t>
      </w:r>
    </w:p>
    <w:p>
      <w:pPr>
        <w:pStyle w:val="Defstart"/>
      </w:pPr>
      <w:r>
        <w:rPr>
          <w:b/>
        </w:rPr>
        <w:tab/>
      </w:r>
      <w:r>
        <w:rPr>
          <w:rStyle w:val="CharDefText"/>
        </w:rPr>
        <w:t>supervisor</w:t>
      </w:r>
      <w:r>
        <w:t xml:space="preserve"> means a person appointed by the Commissioner as supervisor of the business of a finance broker.</w:t>
      </w:r>
    </w:p>
    <w:p>
      <w:pPr>
        <w:pStyle w:val="Footnotesection"/>
      </w:pPr>
      <w:r>
        <w:tab/>
        <w:t xml:space="preserve">[Section 4 amended by No. 56 of 1995 s. 17; No. 26 of 1999 s. 79(2); No. 53 of 2004 s. 4; No. 55 of 2004 s. 341; No. 14 of 2010 s. 38; No. 8 of 2012 s. 105.] </w:t>
      </w:r>
    </w:p>
    <w:p>
      <w:pPr>
        <w:pStyle w:val="Heading5"/>
        <w:rPr>
          <w:snapToGrid w:val="0"/>
        </w:rPr>
      </w:pPr>
      <w:bookmarkStart w:id="12" w:name="_Toc378249254"/>
      <w:bookmarkStart w:id="13" w:name="_Toc416875714"/>
      <w:r>
        <w:rPr>
          <w:rStyle w:val="CharSectno"/>
        </w:rPr>
        <w:t>5</w:t>
      </w:r>
      <w:r>
        <w:rPr>
          <w:snapToGrid w:val="0"/>
        </w:rPr>
        <w:t>.</w:t>
      </w:r>
      <w:r>
        <w:rPr>
          <w:snapToGrid w:val="0"/>
        </w:rPr>
        <w:tab/>
        <w:t>Exceptions to “finance broker”</w:t>
      </w:r>
      <w:bookmarkEnd w:id="12"/>
      <w:bookmarkEnd w:id="13"/>
      <w:r>
        <w:rPr>
          <w:snapToGrid w:val="0"/>
        </w:rPr>
        <w:t xml:space="preserve"> </w:t>
      </w:r>
    </w:p>
    <w:p>
      <w:pPr>
        <w:pStyle w:val="Subsection"/>
        <w:rPr>
          <w:snapToGrid w:val="0"/>
        </w:rPr>
      </w:pPr>
      <w:r>
        <w:rPr>
          <w:snapToGrid w:val="0"/>
        </w:rPr>
        <w:tab/>
        <w:t>(1)</w:t>
      </w:r>
      <w:r>
        <w:rPr>
          <w:snapToGrid w:val="0"/>
        </w:rPr>
        <w:tab/>
        <w:t xml:space="preserve">Exceptions to the meaning of </w:t>
      </w:r>
      <w:r>
        <w:rPr>
          <w:rStyle w:val="CharDefText"/>
        </w:rPr>
        <w:t>finance broker</w:t>
      </w:r>
      <w:r>
        <w:rPr>
          <w:snapToGrid w:val="0"/>
        </w:rPr>
        <w:t xml:space="preserve"> in and for the purposes of this Act are as follows — </w:t>
      </w:r>
    </w:p>
    <w:p>
      <w:pPr>
        <w:pStyle w:val="Indenta"/>
      </w:pPr>
      <w:r>
        <w:rPr>
          <w:snapToGrid w:val="0"/>
        </w:rPr>
        <w:tab/>
        <w:t>(a)</w:t>
      </w:r>
      <w:r>
        <w:rPr>
          <w:snapToGrid w:val="0"/>
        </w:rPr>
        <w:tab/>
      </w:r>
      <w:r>
        <w:t>a bank;</w:t>
      </w:r>
    </w:p>
    <w:p>
      <w:pPr>
        <w:pStyle w:val="Indenta"/>
      </w:pPr>
      <w:r>
        <w:tab/>
        <w:t>(aa)</w:t>
      </w:r>
      <w:r>
        <w:tab/>
        <w:t xml:space="preserve">a corporation that is a friendly society within the meaning of section 16C of the </w:t>
      </w:r>
      <w:r>
        <w:rPr>
          <w:i/>
        </w:rPr>
        <w:t>Life Insurance Act 1995</w:t>
      </w:r>
      <w:r>
        <w:t xml:space="preserve"> of the Commonwealth;</w:t>
      </w:r>
    </w:p>
    <w:p>
      <w:pPr>
        <w:pStyle w:val="Indenta"/>
      </w:pPr>
      <w:r>
        <w:tab/>
        <w:t>(ab)</w:t>
      </w:r>
      <w:r>
        <w:tab/>
        <w:t>an insurance company authorised under any law of the Commonwealth or State to carry on insurance business;</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w:t>
      </w:r>
    </w:p>
    <w:p>
      <w:pPr>
        <w:pStyle w:val="Ednotepara"/>
      </w:pPr>
      <w:r>
        <w:tab/>
        <w:t>[(c)</w:t>
      </w:r>
      <w:r>
        <w:tab/>
        <w:t>deleted]</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w:t>
      </w:r>
    </w:p>
    <w:p>
      <w:pPr>
        <w:pStyle w:val="Indenta"/>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by No. 10 of 1982 s. 28; No. 26 of 1999 s. 79(3); No. 12 of 2001 s. 51; No. 21 of 2003 s. 13; No. 65 of 2003 s. 35(2); No. 53 of 2004 s. 5; No. 17 of 2005 s. 27; No. 21 of 2008 s. 664.] </w:t>
      </w:r>
    </w:p>
    <w:p>
      <w:pPr>
        <w:pStyle w:val="Heading2"/>
      </w:pPr>
      <w:bookmarkStart w:id="14" w:name="_Toc378249255"/>
      <w:bookmarkStart w:id="15" w:name="_Toc416875611"/>
      <w:bookmarkStart w:id="16" w:name="_Toc416875715"/>
      <w:r>
        <w:rPr>
          <w:rStyle w:val="CharPartNo"/>
        </w:rPr>
        <w:t>Part II</w:t>
      </w:r>
      <w:r>
        <w:rPr>
          <w:b w:val="0"/>
        </w:rPr>
        <w:t> — </w:t>
      </w:r>
      <w:r>
        <w:rPr>
          <w:rStyle w:val="CharPartText"/>
        </w:rPr>
        <w:t>The Commissioner</w:t>
      </w:r>
      <w:bookmarkEnd w:id="14"/>
      <w:bookmarkEnd w:id="15"/>
      <w:bookmarkEnd w:id="16"/>
    </w:p>
    <w:p>
      <w:pPr>
        <w:pStyle w:val="Footnoteheading"/>
      </w:pPr>
      <w:r>
        <w:tab/>
        <w:t xml:space="preserve">[Heading inserted by No. 53 of 2004 s. 6.] </w:t>
      </w:r>
    </w:p>
    <w:p>
      <w:pPr>
        <w:pStyle w:val="Heading3"/>
        <w:rPr>
          <w:snapToGrid w:val="0"/>
        </w:rPr>
      </w:pPr>
      <w:bookmarkStart w:id="17" w:name="_Toc378249256"/>
      <w:bookmarkStart w:id="18" w:name="_Toc416875612"/>
      <w:bookmarkStart w:id="19" w:name="_Toc416875716"/>
      <w:r>
        <w:rPr>
          <w:rStyle w:val="CharDivNo"/>
        </w:rPr>
        <w:t>Division 1</w:t>
      </w:r>
      <w:r>
        <w:rPr>
          <w:snapToGrid w:val="0"/>
        </w:rPr>
        <w:t> — </w:t>
      </w:r>
      <w:r>
        <w:rPr>
          <w:rStyle w:val="CharDivText"/>
        </w:rPr>
        <w:t>General</w:t>
      </w:r>
      <w:bookmarkEnd w:id="17"/>
      <w:bookmarkEnd w:id="18"/>
      <w:bookmarkEnd w:id="19"/>
      <w:r>
        <w:rPr>
          <w:rStyle w:val="CharDivText"/>
        </w:rPr>
        <w:t xml:space="preserve"> </w:t>
      </w:r>
    </w:p>
    <w:p>
      <w:pPr>
        <w:pStyle w:val="Heading5"/>
      </w:pPr>
      <w:bookmarkStart w:id="20" w:name="_Toc378249257"/>
      <w:bookmarkStart w:id="21" w:name="_Toc416875717"/>
      <w:r>
        <w:rPr>
          <w:rStyle w:val="CharSectno"/>
        </w:rPr>
        <w:t>6</w:t>
      </w:r>
      <w:r>
        <w:t>.</w:t>
      </w:r>
      <w:r>
        <w:tab/>
        <w:t>Commissioner</w:t>
      </w:r>
      <w:bookmarkEnd w:id="20"/>
      <w:bookmarkEnd w:id="21"/>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by No. 53 of 2004 s. 7.] </w:t>
      </w:r>
    </w:p>
    <w:p>
      <w:pPr>
        <w:pStyle w:val="Heading5"/>
      </w:pPr>
      <w:bookmarkStart w:id="22" w:name="_Toc378249258"/>
      <w:bookmarkStart w:id="23" w:name="_Toc416875718"/>
      <w:r>
        <w:rPr>
          <w:rStyle w:val="CharSectno"/>
        </w:rPr>
        <w:t>7</w:t>
      </w:r>
      <w:r>
        <w:t>.</w:t>
      </w:r>
      <w:r>
        <w:tab/>
        <w:t>General functions of the Commissioner</w:t>
      </w:r>
      <w:bookmarkEnd w:id="22"/>
      <w:bookmarkEnd w:id="23"/>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 and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Commissioner; or</w:t>
      </w:r>
    </w:p>
    <w:p>
      <w:pPr>
        <w:pStyle w:val="Indenti"/>
        <w:rPr>
          <w:snapToGrid w:val="0"/>
        </w:rPr>
      </w:pPr>
      <w:r>
        <w:rPr>
          <w:snapToGrid w:val="0"/>
        </w:rPr>
        <w:tab/>
        <w:t>(iii)</w:t>
      </w:r>
      <w:r>
        <w:rPr>
          <w:snapToGrid w:val="0"/>
        </w:rPr>
        <w:tab/>
        <w:t>matters relating to the operations of finance brokers;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carry out such other functions as are conferred upon the Commissioner under this Act.</w:t>
      </w:r>
    </w:p>
    <w:p>
      <w:pPr>
        <w:pStyle w:val="Footnotesection"/>
      </w:pPr>
      <w:r>
        <w:tab/>
        <w:t xml:space="preserve">[Section 7 inserted by No. 53 of 2004 s. 7; amended by No. 14 of 2010 s. 39.] </w:t>
      </w:r>
    </w:p>
    <w:p>
      <w:pPr>
        <w:pStyle w:val="Heading5"/>
      </w:pPr>
      <w:bookmarkStart w:id="24" w:name="_Toc378249259"/>
      <w:bookmarkStart w:id="25" w:name="_Toc416875719"/>
      <w:r>
        <w:rPr>
          <w:rStyle w:val="CharSectno"/>
        </w:rPr>
        <w:t>8</w:t>
      </w:r>
      <w:r>
        <w:t>.</w:t>
      </w:r>
      <w:r>
        <w:tab/>
        <w:t>Commissioner may delegate</w:t>
      </w:r>
      <w:bookmarkEnd w:id="24"/>
      <w:bookmarkEnd w:id="25"/>
      <w:r>
        <w:t xml:space="preserve"> </w:t>
      </w:r>
    </w:p>
    <w:p>
      <w:pPr>
        <w:pStyle w:val="Subsection"/>
      </w:pPr>
      <w:r>
        <w:tab/>
        <w:t>(1)</w:t>
      </w:r>
      <w:r>
        <w:tab/>
        <w:t>The Commissioner may delegate to a person any power or duty of the Commissioner under another provision of this Act, other than an investigative function under section 13.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Footnotesection"/>
      </w:pPr>
      <w:r>
        <w:tab/>
        <w:t xml:space="preserve">[Section 8 inserted by No. 53 of 2004 s. 7.] </w:t>
      </w:r>
    </w:p>
    <w:p>
      <w:pPr>
        <w:pStyle w:val="Heading5"/>
      </w:pPr>
      <w:bookmarkStart w:id="26" w:name="_Toc378249260"/>
      <w:bookmarkStart w:id="27" w:name="_Toc416875720"/>
      <w:r>
        <w:rPr>
          <w:rStyle w:val="CharSectno"/>
        </w:rPr>
        <w:t>9A</w:t>
      </w:r>
      <w:r>
        <w:t>.</w:t>
      </w:r>
      <w:r>
        <w:tab/>
        <w:t>Arrangements with ASIC</w:t>
      </w:r>
      <w:bookmarkEnd w:id="26"/>
      <w:bookmarkEnd w:id="27"/>
    </w:p>
    <w:p>
      <w:pPr>
        <w:pStyle w:val="Subsection"/>
      </w:pPr>
      <w:r>
        <w:tab/>
        <w:t>(1)</w:t>
      </w:r>
      <w:r>
        <w:tab/>
        <w:t>The Commissioner may make an arrangement with ASIC about the conduct of any investigation under Division 2 or 2A, or the conduct of any proceedings under this Act.</w:t>
      </w:r>
    </w:p>
    <w:p>
      <w:pPr>
        <w:pStyle w:val="Subsection"/>
      </w:pPr>
      <w:r>
        <w:tab/>
        <w:t>(2)</w:t>
      </w:r>
      <w:r>
        <w:tab/>
        <w:t>In particular, an arrangement may provide —</w:t>
      </w:r>
    </w:p>
    <w:p>
      <w:pPr>
        <w:pStyle w:val="Indenta"/>
      </w:pPr>
      <w:r>
        <w:tab/>
        <w:t>(a)</w:t>
      </w:r>
      <w:r>
        <w:tab/>
        <w:t>for the performance of functions and the exercise of powers conferred by subsection (3) on ASIC; or</w:t>
      </w:r>
    </w:p>
    <w:p>
      <w:pPr>
        <w:pStyle w:val="Indenta"/>
      </w:pPr>
      <w:r>
        <w:tab/>
        <w:t>(b)</w:t>
      </w:r>
      <w:r>
        <w:tab/>
        <w:t>for the performance of functions or the exercise of powers of the Commissioner in relation to the conduct of any investigation under Division 2 or 2A, or the conduct of any proceedings under this Act by staff members of ASIC.</w:t>
      </w:r>
    </w:p>
    <w:p>
      <w:pPr>
        <w:pStyle w:val="Subsection"/>
      </w:pPr>
      <w:r>
        <w:tab/>
        <w:t>(3)</w:t>
      </w:r>
      <w:r>
        <w:tab/>
        <w:t>Subject to subsection (4), ASIC has the functions and powers of the Commissioner in relation to the conduct of any investigation under Division 2 or 2A, or the conduct of any proceedings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9A inserted by No. 14 of 2010 s. 40.]</w:t>
      </w:r>
    </w:p>
    <w:p>
      <w:pPr>
        <w:pStyle w:val="Heading5"/>
      </w:pPr>
      <w:bookmarkStart w:id="28" w:name="_Toc378249261"/>
      <w:bookmarkStart w:id="29" w:name="_Toc416875721"/>
      <w:r>
        <w:rPr>
          <w:rStyle w:val="CharSectno"/>
        </w:rPr>
        <w:t>9B</w:t>
      </w:r>
      <w:r>
        <w:t>.</w:t>
      </w:r>
      <w:r>
        <w:tab/>
        <w:t>Information</w:t>
      </w:r>
      <w:bookmarkEnd w:id="28"/>
      <w:bookmarkEnd w:id="29"/>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9B inserted by No. 14 of 2010 s. 40.]</w:t>
      </w:r>
    </w:p>
    <w:p>
      <w:pPr>
        <w:pStyle w:val="Heading5"/>
      </w:pPr>
      <w:bookmarkStart w:id="30" w:name="_Toc378249262"/>
      <w:bookmarkStart w:id="31" w:name="_Toc416875722"/>
      <w:r>
        <w:rPr>
          <w:rStyle w:val="CharSectno"/>
        </w:rPr>
        <w:t>9</w:t>
      </w:r>
      <w:r>
        <w:t>.</w:t>
      </w:r>
      <w:r>
        <w:tab/>
        <w:t>Judicial notice</w:t>
      </w:r>
      <w:bookmarkEnd w:id="30"/>
      <w:bookmarkEnd w:id="31"/>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by No. 53 of 2004 s. 7.] </w:t>
      </w:r>
    </w:p>
    <w:p>
      <w:pPr>
        <w:pStyle w:val="Ednotesection"/>
      </w:pPr>
      <w:r>
        <w:t>[</w:t>
      </w:r>
      <w:r>
        <w:rPr>
          <w:b/>
          <w:bCs/>
        </w:rPr>
        <w:t>10</w:t>
      </w:r>
      <w:r>
        <w:rPr>
          <w:b/>
          <w:bCs/>
        </w:rPr>
        <w:noBreakHyphen/>
        <w:t>12.</w:t>
      </w:r>
      <w:r>
        <w:tab/>
        <w:t xml:space="preserve">Deleted by No. 53 of 2004 s. 7.] </w:t>
      </w:r>
    </w:p>
    <w:p>
      <w:pPr>
        <w:pStyle w:val="Heading3"/>
        <w:rPr>
          <w:snapToGrid w:val="0"/>
        </w:rPr>
      </w:pPr>
      <w:bookmarkStart w:id="32" w:name="_Toc378249263"/>
      <w:bookmarkStart w:id="33" w:name="_Toc416875619"/>
      <w:bookmarkStart w:id="34" w:name="_Toc416875723"/>
      <w:r>
        <w:rPr>
          <w:rStyle w:val="CharDivNo"/>
        </w:rPr>
        <w:t>Division 2</w:t>
      </w:r>
      <w:r>
        <w:rPr>
          <w:snapToGrid w:val="0"/>
        </w:rPr>
        <w:t> — </w:t>
      </w:r>
      <w:r>
        <w:rPr>
          <w:rStyle w:val="CharDivText"/>
        </w:rPr>
        <w:t>Powers of investigation and inquiry</w:t>
      </w:r>
      <w:bookmarkEnd w:id="32"/>
      <w:bookmarkEnd w:id="33"/>
      <w:bookmarkEnd w:id="34"/>
      <w:r>
        <w:rPr>
          <w:rStyle w:val="CharDivText"/>
        </w:rPr>
        <w:t xml:space="preserve"> </w:t>
      </w:r>
    </w:p>
    <w:p>
      <w:pPr>
        <w:pStyle w:val="Heading5"/>
        <w:rPr>
          <w:snapToGrid w:val="0"/>
        </w:rPr>
      </w:pPr>
      <w:bookmarkStart w:id="35" w:name="_Toc378249264"/>
      <w:bookmarkStart w:id="36" w:name="_Toc416875724"/>
      <w:r>
        <w:rPr>
          <w:rStyle w:val="CharSectno"/>
        </w:rPr>
        <w:t>13</w:t>
      </w:r>
      <w:r>
        <w:rPr>
          <w:snapToGrid w:val="0"/>
        </w:rPr>
        <w:t>.</w:t>
      </w:r>
      <w:r>
        <w:rPr>
          <w:snapToGrid w:val="0"/>
        </w:rPr>
        <w:tab/>
        <w:t>Investigation and inquiry by Commissioner</w:t>
      </w:r>
      <w:bookmarkEnd w:id="35"/>
      <w:bookmarkEnd w:id="36"/>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by No. 56 of 1995 s. 23(1); No. 53 of 2004 s. 8.] </w:t>
      </w:r>
    </w:p>
    <w:p>
      <w:pPr>
        <w:pStyle w:val="Heading5"/>
        <w:rPr>
          <w:snapToGrid w:val="0"/>
        </w:rPr>
      </w:pPr>
      <w:bookmarkStart w:id="37" w:name="_Toc378249265"/>
      <w:bookmarkStart w:id="38" w:name="_Toc416875725"/>
      <w:r>
        <w:rPr>
          <w:rStyle w:val="CharSectno"/>
        </w:rPr>
        <w:t>14</w:t>
      </w:r>
      <w:r>
        <w:rPr>
          <w:snapToGrid w:val="0"/>
        </w:rPr>
        <w:t>.</w:t>
      </w:r>
      <w:r>
        <w:rPr>
          <w:snapToGrid w:val="0"/>
        </w:rPr>
        <w:tab/>
        <w:t>Police investigations</w:t>
      </w:r>
      <w:bookmarkEnd w:id="37"/>
      <w:bookmarkEnd w:id="38"/>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r>
        <w:tab/>
        <w:t xml:space="preserve">[Section 14 amended by No. 53 of 2004 s. 9.] </w:t>
      </w:r>
    </w:p>
    <w:p>
      <w:pPr>
        <w:pStyle w:val="Heading5"/>
      </w:pPr>
      <w:bookmarkStart w:id="39" w:name="_Toc378249266"/>
      <w:bookmarkStart w:id="40" w:name="_Toc416875726"/>
      <w:r>
        <w:rPr>
          <w:rStyle w:val="CharSectno"/>
        </w:rPr>
        <w:t>15</w:t>
      </w:r>
      <w:r>
        <w:t>.</w:t>
      </w:r>
      <w:r>
        <w:tab/>
        <w:t>Investigators</w:t>
      </w:r>
      <w:bookmarkEnd w:id="39"/>
      <w:bookmarkEnd w:id="40"/>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r>
      <w:r>
        <w:rPr>
          <w:rStyle w:val="CharDefText"/>
        </w:rPr>
        <w:t>investigative function</w:t>
      </w:r>
      <w:r>
        <w:t xml:space="preserve"> means any of the Commissioner’s functions under section 13.</w:t>
      </w:r>
    </w:p>
    <w:p>
      <w:pPr>
        <w:pStyle w:val="Footnotesection"/>
      </w:pPr>
      <w:r>
        <w:tab/>
        <w:t xml:space="preserve">[Section 15 inserted by No. 53 of 2004 s. 10.] </w:t>
      </w:r>
    </w:p>
    <w:p>
      <w:pPr>
        <w:pStyle w:val="Heading5"/>
      </w:pPr>
      <w:bookmarkStart w:id="41" w:name="_Toc378249267"/>
      <w:bookmarkStart w:id="42" w:name="_Toc416875727"/>
      <w:r>
        <w:rPr>
          <w:rStyle w:val="CharSectno"/>
        </w:rPr>
        <w:t>16</w:t>
      </w:r>
      <w:r>
        <w:t>.</w:t>
      </w:r>
      <w:r>
        <w:tab/>
        <w:t>Additional investigative powers</w:t>
      </w:r>
      <w:bookmarkEnd w:id="41"/>
      <w:bookmarkEnd w:id="42"/>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by No. 53 of 2004 s. 10.] </w:t>
      </w:r>
    </w:p>
    <w:p>
      <w:pPr>
        <w:pStyle w:val="Heading5"/>
      </w:pPr>
      <w:bookmarkStart w:id="43" w:name="_Toc378249268"/>
      <w:bookmarkStart w:id="44" w:name="_Toc416875728"/>
      <w:r>
        <w:rPr>
          <w:rStyle w:val="CharSectno"/>
        </w:rPr>
        <w:t>17</w:t>
      </w:r>
      <w:r>
        <w:t>.</w:t>
      </w:r>
      <w:r>
        <w:tab/>
        <w:t>Compliance checks at licensee’s business premises</w:t>
      </w:r>
      <w:bookmarkEnd w:id="43"/>
      <w:bookmarkEnd w:id="44"/>
    </w:p>
    <w:p>
      <w:pPr>
        <w:pStyle w:val="Subsection"/>
        <w:rPr>
          <w:snapToGrid w:val="0"/>
        </w:rPr>
      </w:pPr>
      <w:r>
        <w:rPr>
          <w:snapToGrid w:val="0"/>
        </w:rPr>
        <w:tab/>
        <w:t>(1)</w:t>
      </w:r>
      <w:r>
        <w:rPr>
          <w:snapToGrid w:val="0"/>
        </w:rPr>
        <w:tab/>
        <w:t>For the purposes of determining whether or not a licensee</w:t>
      </w:r>
      <w:r>
        <w:t xml:space="preserve"> has acted or</w:t>
      </w:r>
      <w:r>
        <w:rPr>
          <w:snapToGrid w:val="0"/>
        </w:rPr>
        <w:t xml:space="preserve"> is acting in conformity with the conditions, if any, of the licence and is </w:t>
      </w:r>
      <w:r>
        <w:t>or was</w:t>
      </w:r>
      <w:r>
        <w:rPr>
          <w:snapToGrid w:val="0"/>
        </w:rPr>
        <w:t xml:space="preserve">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by No. 53 of 2004 s. 10; amended by No. 14 of 2010 s. 41.]</w:t>
      </w:r>
    </w:p>
    <w:p>
      <w:pPr>
        <w:pStyle w:val="Heading3"/>
      </w:pPr>
      <w:bookmarkStart w:id="45" w:name="_Toc378249269"/>
      <w:bookmarkStart w:id="46" w:name="_Toc416875625"/>
      <w:bookmarkStart w:id="47" w:name="_Toc416875729"/>
      <w:r>
        <w:rPr>
          <w:rStyle w:val="CharDivNo"/>
        </w:rPr>
        <w:t>Division 2A</w:t>
      </w:r>
      <w:r>
        <w:t> — </w:t>
      </w:r>
      <w:r>
        <w:rPr>
          <w:rStyle w:val="CharDivText"/>
        </w:rPr>
        <w:t>Specific investigatory powers</w:t>
      </w:r>
      <w:bookmarkEnd w:id="45"/>
      <w:bookmarkEnd w:id="46"/>
      <w:bookmarkEnd w:id="47"/>
    </w:p>
    <w:p>
      <w:pPr>
        <w:pStyle w:val="Footnoteheading"/>
        <w:keepNext/>
      </w:pPr>
      <w:r>
        <w:tab/>
        <w:t xml:space="preserve">[Heading inserted by No. 53 of 2004 s. 11.] </w:t>
      </w:r>
    </w:p>
    <w:p>
      <w:pPr>
        <w:pStyle w:val="Heading5"/>
      </w:pPr>
      <w:bookmarkStart w:id="48" w:name="_Toc378249270"/>
      <w:bookmarkStart w:id="49" w:name="_Toc416875730"/>
      <w:r>
        <w:rPr>
          <w:rStyle w:val="CharSectno"/>
        </w:rPr>
        <w:t>18</w:t>
      </w:r>
      <w:r>
        <w:t>.</w:t>
      </w:r>
      <w:r>
        <w:tab/>
        <w:t>Powers</w:t>
      </w:r>
      <w:bookmarkEnd w:id="48"/>
      <w:bookmarkEnd w:id="49"/>
    </w:p>
    <w:p>
      <w:pPr>
        <w:pStyle w:val="Subsection"/>
      </w:pPr>
      <w:r>
        <w:tab/>
        <w:t>(1)</w:t>
      </w:r>
      <w:r>
        <w:tab/>
        <w:t xml:space="preserve">An investigator may — </w:t>
      </w:r>
    </w:p>
    <w:p>
      <w:pPr>
        <w:pStyle w:val="Indenta"/>
        <w:rPr>
          <w:snapToGrid w:val="0"/>
        </w:rPr>
      </w:pPr>
      <w:r>
        <w:tab/>
        <w:t>(a)</w:t>
      </w:r>
      <w:r>
        <w:tab/>
      </w:r>
      <w:r>
        <w:rPr>
          <w:snapToGrid w:val="0"/>
        </w:rPr>
        <w:t>require any person — </w:t>
      </w:r>
    </w:p>
    <w:p>
      <w:pPr>
        <w:pStyle w:val="Indenti"/>
        <w:rPr>
          <w:snapToGrid w:val="0"/>
        </w:rPr>
      </w:pPr>
      <w:r>
        <w:tab/>
        <w:t>(i)</w:t>
      </w:r>
      <w:r>
        <w:tab/>
      </w:r>
      <w:r>
        <w:rPr>
          <w:snapToGrid w:val="0"/>
        </w:rPr>
        <w:t>to give such information as is required; and</w:t>
      </w:r>
    </w:p>
    <w:p>
      <w:pPr>
        <w:pStyle w:val="Indenti"/>
      </w:pPr>
      <w:r>
        <w:tab/>
        <w:t>(ii)</w:t>
      </w:r>
      <w:r>
        <w:tab/>
        <w:t>to answer any question put to the person,</w:t>
      </w:r>
    </w:p>
    <w:p>
      <w:pPr>
        <w:pStyle w:val="Indenta"/>
      </w:pPr>
      <w:r>
        <w:tab/>
      </w:r>
      <w:r>
        <w:tab/>
        <w:t>in relation to any matter the subject of an investigation;</w:t>
      </w:r>
    </w:p>
    <w:p>
      <w:pPr>
        <w:pStyle w:val="Indenta"/>
      </w:pPr>
      <w:r>
        <w:tab/>
        <w:t>(b)</w:t>
      </w:r>
      <w:r>
        <w:tab/>
        <w:t>require any person to produce any document;</w:t>
      </w:r>
    </w:p>
    <w:p>
      <w:pPr>
        <w:pStyle w:val="Indenta"/>
      </w:pPr>
      <w:r>
        <w:tab/>
        <w:t>(c)</w:t>
      </w:r>
      <w:r>
        <w:tab/>
        <w:t>enter at all reasonable times and search any premises or motor vehicle named in a warrant obtained in accordance with this Division and exercise the powers set out in that warrant; and</w:t>
      </w:r>
    </w:p>
    <w:p>
      <w:pPr>
        <w:pStyle w:val="Indenta"/>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by No. 53 of 2004 s. 12.]</w:t>
      </w:r>
    </w:p>
    <w:p>
      <w:pPr>
        <w:pStyle w:val="Heading5"/>
      </w:pPr>
      <w:bookmarkStart w:id="50" w:name="_Toc378249271"/>
      <w:bookmarkStart w:id="51" w:name="_Toc416875731"/>
      <w:r>
        <w:rPr>
          <w:rStyle w:val="CharSectno"/>
        </w:rPr>
        <w:t>18A</w:t>
      </w:r>
      <w:r>
        <w:t>.</w:t>
      </w:r>
      <w:r>
        <w:tab/>
        <w:t>Warrant to enter premises</w:t>
      </w:r>
      <w:bookmarkEnd w:id="50"/>
      <w:bookmarkEnd w:id="51"/>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investigator stating that he or she has determined in the particular case that there are reasonable grounds for believing that entry to premises or motor vehicle is necessary for the purpose of the investigation; </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by No. 53 of 2004 s. 12.]</w:t>
      </w:r>
    </w:p>
    <w:p>
      <w:pPr>
        <w:pStyle w:val="Heading5"/>
      </w:pPr>
      <w:bookmarkStart w:id="52" w:name="_Toc378249272"/>
      <w:bookmarkStart w:id="53" w:name="_Toc416875732"/>
      <w:r>
        <w:rPr>
          <w:rStyle w:val="CharSectno"/>
        </w:rPr>
        <w:t>18B</w:t>
      </w:r>
      <w:r>
        <w:t>.</w:t>
      </w:r>
      <w:r>
        <w:tab/>
        <w:t>Issue of warrant</w:t>
      </w:r>
      <w:bookmarkEnd w:id="52"/>
      <w:bookmarkEnd w:id="53"/>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pPr>
      <w:r>
        <w:tab/>
        <w:t>(a)</w:t>
      </w:r>
      <w:r>
        <w:tab/>
        <w:t>to enter and inspect the premises or motor vehicle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by No. 53 of 2004 s. 12.]</w:t>
      </w:r>
    </w:p>
    <w:p>
      <w:pPr>
        <w:pStyle w:val="Heading5"/>
      </w:pPr>
      <w:bookmarkStart w:id="54" w:name="_Toc378249273"/>
      <w:bookmarkStart w:id="55" w:name="_Toc416875733"/>
      <w:r>
        <w:rPr>
          <w:rStyle w:val="CharSectno"/>
        </w:rPr>
        <w:t>18C</w:t>
      </w:r>
      <w:r>
        <w:t>.</w:t>
      </w:r>
      <w:r>
        <w:tab/>
        <w:t>Execution of warrant</w:t>
      </w:r>
      <w:bookmarkEnd w:id="54"/>
      <w:bookmarkEnd w:id="55"/>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by No. 53 of 2004 s. 12.]</w:t>
      </w:r>
    </w:p>
    <w:p>
      <w:pPr>
        <w:pStyle w:val="Heading5"/>
      </w:pPr>
      <w:bookmarkStart w:id="56" w:name="_Toc378249274"/>
      <w:bookmarkStart w:id="57" w:name="_Toc416875734"/>
      <w:r>
        <w:rPr>
          <w:rStyle w:val="CharSectno"/>
        </w:rPr>
        <w:t>18D</w:t>
      </w:r>
      <w:r>
        <w:t>.</w:t>
      </w:r>
      <w:r>
        <w:tab/>
        <w:t>Seizure</w:t>
      </w:r>
      <w:bookmarkEnd w:id="56"/>
      <w:bookmarkEnd w:id="57"/>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by No. 53 of 2004 s. 12.]</w:t>
      </w:r>
    </w:p>
    <w:p>
      <w:pPr>
        <w:pStyle w:val="Heading5"/>
      </w:pPr>
      <w:bookmarkStart w:id="58" w:name="_Toc378249275"/>
      <w:bookmarkStart w:id="59" w:name="_Toc416875735"/>
      <w:r>
        <w:rPr>
          <w:rStyle w:val="CharSectno"/>
        </w:rPr>
        <w:t>18E</w:t>
      </w:r>
      <w:r>
        <w:t>.</w:t>
      </w:r>
      <w:r>
        <w:tab/>
        <w:t>Incriminating information, questions, or documents</w:t>
      </w:r>
      <w:bookmarkEnd w:id="58"/>
      <w:bookmarkEnd w:id="59"/>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by No. 53 of 2004 s. 12.]</w:t>
      </w:r>
    </w:p>
    <w:p>
      <w:pPr>
        <w:pStyle w:val="Heading5"/>
      </w:pPr>
      <w:bookmarkStart w:id="60" w:name="_Toc378249276"/>
      <w:bookmarkStart w:id="61" w:name="_Toc416875736"/>
      <w:r>
        <w:rPr>
          <w:rStyle w:val="CharSectno"/>
        </w:rPr>
        <w:t>18F</w:t>
      </w:r>
      <w:r>
        <w:t>.</w:t>
      </w:r>
      <w:r>
        <w:tab/>
        <w:t>Failure to comply with investigation</w:t>
      </w:r>
      <w:bookmarkEnd w:id="60"/>
      <w:bookmarkEnd w:id="61"/>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by No. 53 of 2004 s. 12; amended by No. 84 of 2004 s. 82.]</w:t>
      </w:r>
    </w:p>
    <w:p>
      <w:pPr>
        <w:pStyle w:val="Heading5"/>
      </w:pPr>
      <w:bookmarkStart w:id="62" w:name="_Toc378249277"/>
      <w:bookmarkStart w:id="63" w:name="_Toc416875737"/>
      <w:r>
        <w:rPr>
          <w:rStyle w:val="CharSectno"/>
        </w:rPr>
        <w:t>18G</w:t>
      </w:r>
      <w:r>
        <w:t>.</w:t>
      </w:r>
      <w:r>
        <w:tab/>
        <w:t>Obstruction of investigator</w:t>
      </w:r>
      <w:bookmarkEnd w:id="62"/>
      <w:bookmarkEnd w:id="63"/>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by No. 53 of 2004 s. 12.]</w:t>
      </w:r>
    </w:p>
    <w:p>
      <w:pPr>
        <w:pStyle w:val="Heading5"/>
      </w:pPr>
      <w:bookmarkStart w:id="64" w:name="_Toc378249278"/>
      <w:bookmarkStart w:id="65" w:name="_Toc416875738"/>
      <w:r>
        <w:rPr>
          <w:rStyle w:val="CharSectno"/>
        </w:rPr>
        <w:t>18H</w:t>
      </w:r>
      <w:r>
        <w:t>.</w:t>
      </w:r>
      <w:r>
        <w:tab/>
        <w:t>Information</w:t>
      </w:r>
      <w:bookmarkEnd w:id="64"/>
      <w:bookmarkEnd w:id="65"/>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18H inserted by No. 53 of 2004 s. 12.]</w:t>
      </w:r>
    </w:p>
    <w:p>
      <w:pPr>
        <w:pStyle w:val="Heading3"/>
      </w:pPr>
      <w:bookmarkStart w:id="66" w:name="_Toc378249279"/>
      <w:bookmarkStart w:id="67" w:name="_Toc416875635"/>
      <w:bookmarkStart w:id="68" w:name="_Toc416875739"/>
      <w:r>
        <w:rPr>
          <w:rStyle w:val="CharDivNo"/>
        </w:rPr>
        <w:t>Division 3</w:t>
      </w:r>
      <w:r>
        <w:t xml:space="preserve"> — </w:t>
      </w:r>
      <w:r>
        <w:rPr>
          <w:rStyle w:val="CharDivText"/>
        </w:rPr>
        <w:t>Review of decisions of the Commissioner</w:t>
      </w:r>
      <w:bookmarkEnd w:id="66"/>
      <w:bookmarkEnd w:id="67"/>
      <w:bookmarkEnd w:id="68"/>
    </w:p>
    <w:p>
      <w:pPr>
        <w:pStyle w:val="Footnoteheading"/>
      </w:pPr>
      <w:r>
        <w:tab/>
        <w:t>[Heading inserted by No. 55 of 2004 s. 342; amended by No. 53 of 2004 s. 13.]</w:t>
      </w:r>
    </w:p>
    <w:p>
      <w:pPr>
        <w:pStyle w:val="Ednotesection"/>
      </w:pPr>
      <w:r>
        <w:t>[</w:t>
      </w:r>
      <w:r>
        <w:rPr>
          <w:b/>
          <w:bCs/>
        </w:rPr>
        <w:t>19</w:t>
      </w:r>
      <w:r>
        <w:rPr>
          <w:b/>
          <w:bCs/>
        </w:rPr>
        <w:noBreakHyphen/>
        <w:t>22.</w:t>
      </w:r>
      <w:r>
        <w:tab/>
        <w:t>Deleted by No. 55 of 2004 s. 343.]</w:t>
      </w:r>
    </w:p>
    <w:p>
      <w:pPr>
        <w:pStyle w:val="Heading5"/>
        <w:rPr>
          <w:snapToGrid w:val="0"/>
        </w:rPr>
      </w:pPr>
      <w:bookmarkStart w:id="69" w:name="_Toc378249280"/>
      <w:bookmarkStart w:id="70" w:name="_Toc416875740"/>
      <w:r>
        <w:rPr>
          <w:rStyle w:val="CharSectno"/>
        </w:rPr>
        <w:t>23</w:t>
      </w:r>
      <w:r>
        <w:t>.</w:t>
      </w:r>
      <w:r>
        <w:tab/>
      </w:r>
      <w:r>
        <w:rPr>
          <w:snapToGrid w:val="0"/>
        </w:rPr>
        <w:t>Application for review</w:t>
      </w:r>
      <w:bookmarkEnd w:id="69"/>
      <w:bookmarkEnd w:id="70"/>
    </w:p>
    <w:p>
      <w:pPr>
        <w:pStyle w:val="Subsection"/>
        <w:rPr>
          <w:snapToGrid w:val="0"/>
        </w:rPr>
      </w:pPr>
      <w:r>
        <w:tab/>
        <w:t>(1)</w:t>
      </w:r>
      <w:r>
        <w:tab/>
      </w:r>
      <w:r>
        <w:rPr>
          <w:snapToGrid w:val="0"/>
        </w:rPr>
        <w:t xml:space="preserve">Any person aggrieved by a reviewable decision of the Commissioner may apply to the State </w:t>
      </w:r>
      <w:r>
        <w:rPr>
          <w:snapToGrid w:val="0"/>
          <w:spacing w:val="-4"/>
        </w:rPr>
        <w:t>Administrative Tribunal</w:t>
      </w:r>
      <w:r>
        <w:rPr>
          <w:snapToGrid w:val="0"/>
        </w:rPr>
        <w:t xml:space="preserve">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by No. 55 of 2004 s. 344; amended by No. 53 of 2004 s. 14.]</w:t>
      </w:r>
    </w:p>
    <w:p>
      <w:pPr>
        <w:pStyle w:val="Heading2"/>
      </w:pPr>
      <w:bookmarkStart w:id="71" w:name="_Toc378249281"/>
      <w:bookmarkStart w:id="72" w:name="_Toc416875637"/>
      <w:bookmarkStart w:id="73" w:name="_Toc416875741"/>
      <w:r>
        <w:rPr>
          <w:rStyle w:val="CharPartNo"/>
        </w:rPr>
        <w:t>Part III</w:t>
      </w:r>
      <w:r>
        <w:rPr>
          <w:rStyle w:val="CharDivNo"/>
        </w:rPr>
        <w:t> </w:t>
      </w:r>
      <w:r>
        <w:t>—</w:t>
      </w:r>
      <w:r>
        <w:rPr>
          <w:rStyle w:val="CharDivText"/>
        </w:rPr>
        <w:t> </w:t>
      </w:r>
      <w:r>
        <w:rPr>
          <w:rStyle w:val="CharPartText"/>
        </w:rPr>
        <w:t>Licensing</w:t>
      </w:r>
      <w:bookmarkEnd w:id="71"/>
      <w:bookmarkEnd w:id="72"/>
      <w:bookmarkEnd w:id="73"/>
      <w:r>
        <w:rPr>
          <w:rStyle w:val="CharPartText"/>
        </w:rPr>
        <w:t xml:space="preserve"> </w:t>
      </w:r>
    </w:p>
    <w:p>
      <w:pPr>
        <w:pStyle w:val="Heading5"/>
        <w:rPr>
          <w:snapToGrid w:val="0"/>
        </w:rPr>
      </w:pPr>
      <w:bookmarkStart w:id="74" w:name="_Toc378249282"/>
      <w:bookmarkStart w:id="75" w:name="_Toc416875742"/>
      <w:r>
        <w:rPr>
          <w:rStyle w:val="CharSectno"/>
        </w:rPr>
        <w:t>24</w:t>
      </w:r>
      <w:r>
        <w:rPr>
          <w:snapToGrid w:val="0"/>
        </w:rPr>
        <w:t>.</w:t>
      </w:r>
      <w:r>
        <w:rPr>
          <w:snapToGrid w:val="0"/>
        </w:rPr>
        <w:tab/>
        <w:t>Application</w:t>
      </w:r>
      <w:bookmarkEnd w:id="74"/>
      <w:bookmarkEnd w:id="75"/>
      <w:r>
        <w:rPr>
          <w:snapToGrid w:val="0"/>
        </w:rPr>
        <w:t xml:space="preserve"> </w:t>
      </w:r>
    </w:p>
    <w:p>
      <w:pPr>
        <w:pStyle w:val="Subsection"/>
      </w:pPr>
      <w:r>
        <w:tab/>
        <w:t>(1A)</w:t>
      </w:r>
      <w:r>
        <w:tab/>
        <w:t>Despite anything in this Act, on and after the referral day no application for a licence is to be made.</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24 amended by No. 53 of 2004 s. 15; No. 55 of 2004 s. 345; No. 14 of 2010 s. 42.]</w:t>
      </w:r>
    </w:p>
    <w:p>
      <w:pPr>
        <w:pStyle w:val="Heading5"/>
        <w:spacing w:before="180"/>
        <w:rPr>
          <w:snapToGrid w:val="0"/>
        </w:rPr>
      </w:pPr>
      <w:bookmarkStart w:id="76" w:name="_Toc378249283"/>
      <w:bookmarkStart w:id="77" w:name="_Toc416875743"/>
      <w:r>
        <w:rPr>
          <w:rStyle w:val="CharSectno"/>
        </w:rPr>
        <w:t>25</w:t>
      </w:r>
      <w:r>
        <w:rPr>
          <w:snapToGrid w:val="0"/>
        </w:rPr>
        <w:t>.</w:t>
      </w:r>
      <w:r>
        <w:rPr>
          <w:snapToGrid w:val="0"/>
        </w:rPr>
        <w:tab/>
        <w:t>Objections</w:t>
      </w:r>
      <w:bookmarkEnd w:id="76"/>
      <w:bookmarkEnd w:id="77"/>
      <w:r>
        <w:rPr>
          <w:snapToGrid w:val="0"/>
        </w:rPr>
        <w:t xml:space="preserve"> </w:t>
      </w:r>
    </w:p>
    <w:p>
      <w:pPr>
        <w:pStyle w:val="Subsection"/>
      </w:pPr>
      <w:r>
        <w:tab/>
        <w:t>(1A)</w:t>
      </w:r>
      <w:r>
        <w:tab/>
        <w:t>Despite anything in this Act, on and after the referral day no objection to the grant or renewal of a licence is to be made or determined.</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by No. 53 of 2004 s. 16; No. 55 of 2004 s. 346; No. 14 of 2010 s. 43.]</w:t>
      </w:r>
    </w:p>
    <w:p>
      <w:pPr>
        <w:pStyle w:val="Heading5"/>
        <w:rPr>
          <w:snapToGrid w:val="0"/>
        </w:rPr>
      </w:pPr>
      <w:bookmarkStart w:id="78" w:name="_Toc378249284"/>
      <w:bookmarkStart w:id="79" w:name="_Toc416875744"/>
      <w:r>
        <w:rPr>
          <w:rStyle w:val="CharSectno"/>
        </w:rPr>
        <w:t>26</w:t>
      </w:r>
      <w:r>
        <w:rPr>
          <w:snapToGrid w:val="0"/>
        </w:rPr>
        <w:t>.</w:t>
      </w:r>
      <w:r>
        <w:rPr>
          <w:snapToGrid w:val="0"/>
        </w:rPr>
        <w:tab/>
        <w:t>Finance brokers to be licensed</w:t>
      </w:r>
      <w:bookmarkEnd w:id="78"/>
      <w:bookmarkEnd w:id="79"/>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xml:space="preserve"> 2</w:t>
      </w:r>
      <w:r>
        <w:rPr>
          <w:snapToGrid w:val="0"/>
        </w:rPr>
        <w:t xml:space="preserve"> for the purposes of that subsection.</w:t>
      </w:r>
    </w:p>
    <w:p>
      <w:pPr>
        <w:pStyle w:val="Footnotesection"/>
      </w:pPr>
      <w:r>
        <w:tab/>
        <w:t>[Section 26 amended by No. 56 of 1995 s. 23(1); No. 53 of 2004 s. 17; No. 14 of 2010 s. 44.]</w:t>
      </w:r>
    </w:p>
    <w:p>
      <w:pPr>
        <w:pStyle w:val="Heading5"/>
      </w:pPr>
      <w:bookmarkStart w:id="80" w:name="_Toc378249285"/>
      <w:bookmarkStart w:id="81" w:name="_Toc416875745"/>
      <w:r>
        <w:rPr>
          <w:rStyle w:val="CharSectno"/>
        </w:rPr>
        <w:t>27A</w:t>
      </w:r>
      <w:r>
        <w:t>.</w:t>
      </w:r>
      <w:r>
        <w:tab/>
        <w:t>No further grants of licences</w:t>
      </w:r>
      <w:bookmarkEnd w:id="80"/>
      <w:bookmarkEnd w:id="81"/>
    </w:p>
    <w:p>
      <w:pPr>
        <w:pStyle w:val="Subsection"/>
      </w:pPr>
      <w:r>
        <w:tab/>
      </w:r>
      <w:r>
        <w:tab/>
        <w:t>Despite anything in this Act, on and after the referral day, no licences are to be granted under section 27, 28 or 29.</w:t>
      </w:r>
    </w:p>
    <w:p>
      <w:pPr>
        <w:pStyle w:val="Footnotesection"/>
      </w:pPr>
      <w:r>
        <w:tab/>
        <w:t>[Section 27A inserted by No. 14 of 2010 s. 45.]</w:t>
      </w:r>
    </w:p>
    <w:p>
      <w:pPr>
        <w:pStyle w:val="Heading5"/>
        <w:rPr>
          <w:snapToGrid w:val="0"/>
        </w:rPr>
      </w:pPr>
      <w:bookmarkStart w:id="82" w:name="_Toc378249286"/>
      <w:bookmarkStart w:id="83" w:name="_Toc416875746"/>
      <w:r>
        <w:rPr>
          <w:rStyle w:val="CharSectno"/>
        </w:rPr>
        <w:t>27</w:t>
      </w:r>
      <w:r>
        <w:rPr>
          <w:snapToGrid w:val="0"/>
        </w:rPr>
        <w:t>.</w:t>
      </w:r>
      <w:r>
        <w:rPr>
          <w:snapToGrid w:val="0"/>
        </w:rPr>
        <w:tab/>
        <w:t>Grant of licence to a natural person</w:t>
      </w:r>
      <w:bookmarkEnd w:id="82"/>
      <w:bookmarkEnd w:id="83"/>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w:t>
      </w:r>
    </w:p>
    <w:p>
      <w:pPr>
        <w:pStyle w:val="Indenta"/>
        <w:rPr>
          <w:snapToGrid w:val="0"/>
        </w:rPr>
      </w:pPr>
      <w:r>
        <w:rPr>
          <w:snapToGrid w:val="0"/>
        </w:rPr>
        <w:tab/>
        <w:t>(b)</w:t>
      </w:r>
      <w:r>
        <w:rPr>
          <w:snapToGrid w:val="0"/>
        </w:rPr>
        <w:tab/>
        <w:t>he is of or over the age of 18 years;</w:t>
      </w:r>
    </w:p>
    <w:p>
      <w:pPr>
        <w:pStyle w:val="Indenta"/>
        <w:rPr>
          <w:snapToGrid w:val="0"/>
        </w:rPr>
      </w:pPr>
      <w:r>
        <w:rPr>
          <w:snapToGrid w:val="0"/>
        </w:rPr>
        <w:tab/>
        <w:t>(c)</w:t>
      </w:r>
      <w:r>
        <w:rPr>
          <w:snapToGrid w:val="0"/>
        </w:rPr>
        <w:tab/>
        <w:t>he is a person of good character and repute;</w:t>
      </w:r>
    </w:p>
    <w:p>
      <w:pPr>
        <w:pStyle w:val="Indenta"/>
      </w:pPr>
      <w:r>
        <w:tab/>
        <w:t>(ca)</w:t>
      </w:r>
      <w:r>
        <w:tab/>
        <w:t>he is a fit and proper person to hold a licence;</w:t>
      </w:r>
    </w:p>
    <w:p>
      <w:pPr>
        <w:pStyle w:val="Indenta"/>
        <w:rPr>
          <w:snapToGrid w:val="0"/>
        </w:rPr>
      </w:pPr>
      <w:r>
        <w:rPr>
          <w:snapToGrid w:val="0"/>
        </w:rPr>
        <w:tab/>
        <w:t>(d)</w:t>
      </w:r>
      <w:r>
        <w:rPr>
          <w:snapToGrid w:val="0"/>
        </w:rPr>
        <w:tab/>
        <w:t>he has sufficient material and financial resources available to him to enable him to comply with the requirements of this Act;</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r>
        <w:tab/>
        <w:t>[(2)</w:t>
      </w:r>
      <w:r>
        <w:tab/>
        <w:t>deleted]</w:t>
      </w:r>
    </w:p>
    <w:p>
      <w:pPr>
        <w:pStyle w:val="Footnotesection"/>
      </w:pPr>
      <w:r>
        <w:tab/>
        <w:t>[Section 27 amended by No. 53 of 2004 s. 18.]</w:t>
      </w:r>
    </w:p>
    <w:p>
      <w:pPr>
        <w:pStyle w:val="Heading5"/>
        <w:rPr>
          <w:snapToGrid w:val="0"/>
        </w:rPr>
      </w:pPr>
      <w:bookmarkStart w:id="84" w:name="_Toc378249287"/>
      <w:bookmarkStart w:id="85" w:name="_Toc416875747"/>
      <w:r>
        <w:rPr>
          <w:rStyle w:val="CharSectno"/>
        </w:rPr>
        <w:t>28</w:t>
      </w:r>
      <w:r>
        <w:rPr>
          <w:snapToGrid w:val="0"/>
        </w:rPr>
        <w:t>.</w:t>
      </w:r>
      <w:r>
        <w:rPr>
          <w:snapToGrid w:val="0"/>
        </w:rPr>
        <w:tab/>
        <w:t>Grant of licence to a firm</w:t>
      </w:r>
      <w:bookmarkEnd w:id="84"/>
      <w:bookmarkEnd w:id="85"/>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r>
        <w:tab/>
        <w:t>(d)</w:t>
      </w:r>
      <w:r>
        <w:tab/>
        <w:t>the person in bona fide control of the business has such other qualifications and satisfies such other requirements (if any) as may be prescribed by the regulations.</w:t>
      </w:r>
    </w:p>
    <w:p>
      <w:pPr>
        <w:pStyle w:val="Footnotesection"/>
      </w:pPr>
      <w:r>
        <w:tab/>
        <w:t>[Section 28 amended by No. 53 of 2004 s. 19.]</w:t>
      </w:r>
    </w:p>
    <w:p>
      <w:pPr>
        <w:pStyle w:val="Heading5"/>
        <w:rPr>
          <w:snapToGrid w:val="0"/>
        </w:rPr>
      </w:pPr>
      <w:bookmarkStart w:id="86" w:name="_Toc378249288"/>
      <w:bookmarkStart w:id="87" w:name="_Toc416875748"/>
      <w:r>
        <w:rPr>
          <w:rStyle w:val="CharSectno"/>
        </w:rPr>
        <w:t>29</w:t>
      </w:r>
      <w:r>
        <w:rPr>
          <w:snapToGrid w:val="0"/>
        </w:rPr>
        <w:t>.</w:t>
      </w:r>
      <w:r>
        <w:rPr>
          <w:snapToGrid w:val="0"/>
        </w:rPr>
        <w:tab/>
        <w:t>Grant of licence to body corporate</w:t>
      </w:r>
      <w:bookmarkEnd w:id="86"/>
      <w:bookmarkEnd w:id="87"/>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by No. 53 of 2004 s. 20.]</w:t>
      </w:r>
    </w:p>
    <w:p>
      <w:pPr>
        <w:pStyle w:val="Heading5"/>
        <w:rPr>
          <w:snapToGrid w:val="0"/>
        </w:rPr>
      </w:pPr>
      <w:bookmarkStart w:id="88" w:name="_Toc378249289"/>
      <w:bookmarkStart w:id="89" w:name="_Toc416875749"/>
      <w:r>
        <w:rPr>
          <w:rStyle w:val="CharSectno"/>
        </w:rPr>
        <w:t>30</w:t>
      </w:r>
      <w:r>
        <w:rPr>
          <w:snapToGrid w:val="0"/>
        </w:rPr>
        <w:t>.</w:t>
      </w:r>
      <w:r>
        <w:rPr>
          <w:snapToGrid w:val="0"/>
        </w:rPr>
        <w:tab/>
        <w:t>Effect of licence</w:t>
      </w:r>
      <w:bookmarkEnd w:id="88"/>
      <w:bookmarkEnd w:id="89"/>
      <w:r>
        <w:rPr>
          <w:snapToGrid w:val="0"/>
        </w:rPr>
        <w:t xml:space="preserve"> </w:t>
      </w:r>
    </w:p>
    <w:p>
      <w:pPr>
        <w:pStyle w:val="Subsection"/>
      </w:pPr>
      <w:r>
        <w:tab/>
        <w:t>(1A)</w:t>
      </w:r>
      <w:r>
        <w:tab/>
        <w:t>Despite anything in this Act, on the referral day every licence which has not already expired or been surrendered expires.</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deleted]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by No. 56 of 1995 s. 18 and 23; No. 53 of 2004 s. 21; No. 55 of 2004 s. 347; No. 14 of 2010 s. 46.] </w:t>
      </w:r>
    </w:p>
    <w:p>
      <w:pPr>
        <w:pStyle w:val="Heading5"/>
        <w:rPr>
          <w:snapToGrid w:val="0"/>
        </w:rPr>
      </w:pPr>
      <w:bookmarkStart w:id="90" w:name="_Toc378249290"/>
      <w:bookmarkStart w:id="91" w:name="_Toc416875750"/>
      <w:r>
        <w:rPr>
          <w:rStyle w:val="CharSectno"/>
        </w:rPr>
        <w:t>31</w:t>
      </w:r>
      <w:r>
        <w:rPr>
          <w:snapToGrid w:val="0"/>
        </w:rPr>
        <w:t>.</w:t>
      </w:r>
      <w:r>
        <w:rPr>
          <w:snapToGrid w:val="0"/>
        </w:rPr>
        <w:tab/>
        <w:t>Duration of licence</w:t>
      </w:r>
      <w:bookmarkEnd w:id="90"/>
      <w:bookmarkEnd w:id="91"/>
      <w:r>
        <w:rPr>
          <w:snapToGrid w:val="0"/>
        </w:rPr>
        <w:t xml:space="preserve"> </w:t>
      </w:r>
    </w:p>
    <w:p>
      <w:pPr>
        <w:pStyle w:val="Subsection"/>
      </w:pPr>
      <w:r>
        <w:tab/>
        <w:t>(1)</w:t>
      </w:r>
      <w:r>
        <w:tab/>
        <w:t>Despite anything in this Act, on and after the referral day no licence is to be renewed under subsection (2).</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by No. 56 of 1995 s. 19; No. 53 of 2004 s. 22; No. 14 of 2010 s. 47.]</w:t>
      </w:r>
    </w:p>
    <w:p>
      <w:pPr>
        <w:pStyle w:val="Heading5"/>
        <w:rPr>
          <w:snapToGrid w:val="0"/>
        </w:rPr>
      </w:pPr>
      <w:bookmarkStart w:id="92" w:name="_Toc378249291"/>
      <w:bookmarkStart w:id="93" w:name="_Toc416875751"/>
      <w:r>
        <w:rPr>
          <w:rStyle w:val="CharSectno"/>
        </w:rPr>
        <w:t>32</w:t>
      </w:r>
      <w:r>
        <w:rPr>
          <w:snapToGrid w:val="0"/>
        </w:rPr>
        <w:t>.</w:t>
      </w:r>
      <w:r>
        <w:rPr>
          <w:snapToGrid w:val="0"/>
        </w:rPr>
        <w:tab/>
        <w:t>Applications for renewals</w:t>
      </w:r>
      <w:bookmarkEnd w:id="92"/>
      <w:bookmarkEnd w:id="93"/>
      <w:r>
        <w:rPr>
          <w:snapToGrid w:val="0"/>
        </w:rPr>
        <w:t xml:space="preserve"> </w:t>
      </w:r>
    </w:p>
    <w:p>
      <w:pPr>
        <w:pStyle w:val="Subsection"/>
      </w:pPr>
      <w:r>
        <w:tab/>
        <w:t>(1A)</w:t>
      </w:r>
      <w:r>
        <w:tab/>
        <w:t xml:space="preserve">Despite anything in this Act, on and after the referral day — </w:t>
      </w:r>
    </w:p>
    <w:p>
      <w:pPr>
        <w:pStyle w:val="Indenta"/>
      </w:pPr>
      <w:r>
        <w:tab/>
        <w:t>(a)</w:t>
      </w:r>
      <w:r>
        <w:tab/>
        <w:t>no application for the renewal of a licence is to be made; and</w:t>
      </w:r>
    </w:p>
    <w:p>
      <w:pPr>
        <w:pStyle w:val="Indenta"/>
      </w:pPr>
      <w:r>
        <w:tab/>
        <w:t>(b)</w:t>
      </w:r>
      <w:r>
        <w:tab/>
        <w:t>no licence is to be renewed.</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by No. 56 of 1995 s. 20; No. 53 of 2004 s. 23; No. 55 of 2004 s. 348; No. 14 of 2010 s. 48.]</w:t>
      </w:r>
    </w:p>
    <w:p>
      <w:pPr>
        <w:pStyle w:val="Heading5"/>
      </w:pPr>
      <w:bookmarkStart w:id="94" w:name="_Toc378249292"/>
      <w:bookmarkStart w:id="95" w:name="_Toc416875752"/>
      <w:r>
        <w:rPr>
          <w:rStyle w:val="CharSectno"/>
        </w:rPr>
        <w:t>33</w:t>
      </w:r>
      <w:r>
        <w:t>.</w:t>
      </w:r>
      <w:r>
        <w:tab/>
        <w:t>Refusal to renew</w:t>
      </w:r>
      <w:bookmarkEnd w:id="94"/>
      <w:bookmarkEnd w:id="95"/>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by No. 53 of 2004 s. 24.]</w:t>
      </w:r>
    </w:p>
    <w:p>
      <w:pPr>
        <w:pStyle w:val="Heading5"/>
        <w:rPr>
          <w:snapToGrid w:val="0"/>
        </w:rPr>
      </w:pPr>
      <w:bookmarkStart w:id="96" w:name="_Toc378249293"/>
      <w:bookmarkStart w:id="97" w:name="_Toc416875753"/>
      <w:r>
        <w:rPr>
          <w:rStyle w:val="CharSectno"/>
        </w:rPr>
        <w:t>34</w:t>
      </w:r>
      <w:r>
        <w:rPr>
          <w:snapToGrid w:val="0"/>
        </w:rPr>
        <w:t>.</w:t>
      </w:r>
      <w:r>
        <w:rPr>
          <w:snapToGrid w:val="0"/>
        </w:rPr>
        <w:tab/>
        <w:t>Conditions on licences</w:t>
      </w:r>
      <w:bookmarkEnd w:id="96"/>
      <w:bookmarkEnd w:id="97"/>
    </w:p>
    <w:p>
      <w:pPr>
        <w:pStyle w:val="Subsection"/>
        <w:rPr>
          <w:snapToGrid w:val="0"/>
        </w:rPr>
      </w:pPr>
      <w:r>
        <w:rPr>
          <w:snapToGrid w:val="0"/>
        </w:rPr>
        <w:tab/>
        <w:t>(1)</w:t>
      </w:r>
      <w:r>
        <w:rPr>
          <w:snapToGrid w:val="0"/>
        </w:rPr>
        <w:tab/>
        <w:t xml:space="preserve">A licensee </w:t>
      </w:r>
      <w:r>
        <w:t>must until the referral day</w:t>
      </w:r>
      <w:r>
        <w:rPr>
          <w:snapToGrid w:val="0"/>
        </w:rPr>
        <w:t xml:space="preserve">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 xml:space="preserve">A licensee </w:t>
      </w:r>
      <w:r>
        <w:t>must until the referral day</w:t>
      </w:r>
      <w:r>
        <w:rPr>
          <w:snapToGrid w:val="0"/>
        </w:rPr>
        <w:t xml:space="preserve">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Subsection"/>
      </w:pPr>
      <w:r>
        <w:tab/>
        <w:t>(5)</w:t>
      </w:r>
      <w:r>
        <w:tab/>
        <w:t>No condition to which a licence is subject may be varied or revoked under subsection (4) on or after the referral day.</w:t>
      </w:r>
    </w:p>
    <w:p>
      <w:pPr>
        <w:pStyle w:val="Footnotesection"/>
      </w:pPr>
      <w:r>
        <w:tab/>
        <w:t>[Section 34 amended by No. 56 of 1995 s. 23; No. 53 of 2004 s. 25; No. 55 of 2004 s. 350; No. 14 of 2010 s. 49.]</w:t>
      </w:r>
    </w:p>
    <w:p>
      <w:pPr>
        <w:pStyle w:val="Ednotesection"/>
      </w:pPr>
      <w:r>
        <w:t>[</w:t>
      </w:r>
      <w:r>
        <w:rPr>
          <w:b/>
          <w:bCs/>
        </w:rPr>
        <w:t>34A.</w:t>
      </w:r>
      <w:r>
        <w:tab/>
        <w:t>Deleted by No. 53 of 2004 s. 26.]</w:t>
      </w:r>
    </w:p>
    <w:p>
      <w:pPr>
        <w:pStyle w:val="Heading5"/>
      </w:pPr>
      <w:bookmarkStart w:id="98" w:name="_Toc378249294"/>
      <w:bookmarkStart w:id="99" w:name="_Toc416875754"/>
      <w:r>
        <w:rPr>
          <w:rStyle w:val="CharSectno"/>
        </w:rPr>
        <w:t>34B</w:t>
      </w:r>
      <w:r>
        <w:t>.</w:t>
      </w:r>
      <w:r>
        <w:tab/>
        <w:t>Suspension of licence by State Administrative Tribunal</w:t>
      </w:r>
      <w:bookmarkEnd w:id="98"/>
      <w:bookmarkEnd w:id="99"/>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by No. 55 of 2004 s. 351.]</w:t>
      </w:r>
    </w:p>
    <w:p>
      <w:pPr>
        <w:pStyle w:val="Heading5"/>
        <w:rPr>
          <w:snapToGrid w:val="0"/>
        </w:rPr>
      </w:pPr>
      <w:bookmarkStart w:id="100" w:name="_Toc378249295"/>
      <w:bookmarkStart w:id="101" w:name="_Toc416875755"/>
      <w:r>
        <w:rPr>
          <w:rStyle w:val="CharSectno"/>
        </w:rPr>
        <w:t>35</w:t>
      </w:r>
      <w:r>
        <w:rPr>
          <w:snapToGrid w:val="0"/>
        </w:rPr>
        <w:t>.</w:t>
      </w:r>
      <w:r>
        <w:rPr>
          <w:snapToGrid w:val="0"/>
        </w:rPr>
        <w:tab/>
        <w:t>Bond in respect of licence</w:t>
      </w:r>
      <w:bookmarkEnd w:id="100"/>
      <w:bookmarkEnd w:id="101"/>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Subsection"/>
      </w:pPr>
      <w:r>
        <w:tab/>
        <w:t>(6)</w:t>
      </w:r>
      <w:r>
        <w:tab/>
        <w:t xml:space="preserve">Where — </w:t>
      </w:r>
    </w:p>
    <w:p>
      <w:pPr>
        <w:pStyle w:val="Indenta"/>
      </w:pPr>
      <w:r>
        <w:tab/>
        <w:t>(a)</w:t>
      </w:r>
      <w:r>
        <w:tab/>
        <w:t>a licence has expired under section 30(1A); and</w:t>
      </w:r>
    </w:p>
    <w:p>
      <w:pPr>
        <w:pStyle w:val="Indenta"/>
      </w:pPr>
      <w:r>
        <w:tab/>
        <w:t>(b)</w:t>
      </w:r>
      <w:r>
        <w:tab/>
        <w:t>the Commissioner is reasonably satisfied, having regard to the period of time since the licence has expired, that the former licensee is unlikely to have, or to incur, an undischarged liability in respect of moneys which came to his hands before the referral day,</w:t>
      </w:r>
    </w:p>
    <w:p>
      <w:pPr>
        <w:pStyle w:val="Subsection"/>
        <w:rPr>
          <w:snapToGrid w:val="0"/>
        </w:rPr>
      </w:pPr>
      <w:r>
        <w:tab/>
      </w:r>
      <w:r>
        <w:tab/>
        <w:t xml:space="preserve">the </w:t>
      </w:r>
      <w:r>
        <w:rPr>
          <w:snapToGrid w:val="0"/>
        </w:rPr>
        <w:t>Commissioner may release a bond or guarantee lodged by the former licensee under subsection (1) and may return to the former licensee any document associated with the bond or guarantee.</w:t>
      </w:r>
    </w:p>
    <w:p>
      <w:pPr>
        <w:pStyle w:val="Footnotesection"/>
      </w:pPr>
      <w:r>
        <w:tab/>
        <w:t>[Section 35 amended by No. 56 of 1995 s. 23; No. 53 of 2004 s. 27; No. 55 of 2004 s. 352 and 358; No. 14 of 2010 s. 50.]</w:t>
      </w:r>
    </w:p>
    <w:p>
      <w:pPr>
        <w:pStyle w:val="Heading5"/>
      </w:pPr>
      <w:bookmarkStart w:id="102" w:name="_Toc378249296"/>
      <w:bookmarkStart w:id="103" w:name="_Toc416875756"/>
      <w:r>
        <w:rPr>
          <w:rStyle w:val="CharSectno"/>
        </w:rPr>
        <w:t>35A</w:t>
      </w:r>
      <w:r>
        <w:t>.</w:t>
      </w:r>
      <w:r>
        <w:tab/>
        <w:t>Prescribed person exempt from bond requirements</w:t>
      </w:r>
      <w:bookmarkEnd w:id="102"/>
      <w:bookmarkEnd w:id="103"/>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by No. 53 of 2004 s. 28.]</w:t>
      </w:r>
    </w:p>
    <w:p>
      <w:pPr>
        <w:pStyle w:val="Ednotesection"/>
      </w:pPr>
      <w:r>
        <w:t>[</w:t>
      </w:r>
      <w:r>
        <w:rPr>
          <w:b/>
          <w:bCs/>
        </w:rPr>
        <w:t>36, 37, 38.</w:t>
      </w:r>
      <w:r>
        <w:tab/>
        <w:t>Deleted by No. 14 of 2010 s. 51.]</w:t>
      </w:r>
    </w:p>
    <w:p>
      <w:pPr>
        <w:pStyle w:val="Ednotesection"/>
      </w:pPr>
      <w:r>
        <w:t>[</w:t>
      </w:r>
      <w:r>
        <w:rPr>
          <w:b/>
          <w:bCs/>
        </w:rPr>
        <w:t>39.</w:t>
      </w:r>
      <w:r>
        <w:tab/>
        <w:t>Deleted by No. 53 of 2004 s. 32.]</w:t>
      </w:r>
    </w:p>
    <w:p>
      <w:pPr>
        <w:pStyle w:val="Heading5"/>
        <w:spacing w:before="240"/>
        <w:rPr>
          <w:snapToGrid w:val="0"/>
        </w:rPr>
      </w:pPr>
      <w:bookmarkStart w:id="104" w:name="_Toc378249297"/>
      <w:bookmarkStart w:id="105" w:name="_Toc416875757"/>
      <w:r>
        <w:rPr>
          <w:rStyle w:val="CharSectno"/>
        </w:rPr>
        <w:t>40</w:t>
      </w:r>
      <w:r>
        <w:rPr>
          <w:snapToGrid w:val="0"/>
        </w:rPr>
        <w:t>.</w:t>
      </w:r>
      <w:r>
        <w:rPr>
          <w:snapToGrid w:val="0"/>
        </w:rPr>
        <w:tab/>
        <w:t>Licence not transferable</w:t>
      </w:r>
      <w:bookmarkEnd w:id="104"/>
      <w:bookmarkEnd w:id="105"/>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ind w:left="890" w:hanging="890"/>
      </w:pPr>
      <w:r>
        <w:tab/>
        <w:t xml:space="preserve">[Section 40 amended by No. 56 of 1995 s. 23; No. 53 of 2004 s. 33.] </w:t>
      </w:r>
    </w:p>
    <w:p>
      <w:pPr>
        <w:pStyle w:val="Heading5"/>
      </w:pPr>
      <w:bookmarkStart w:id="106" w:name="_Toc378249298"/>
      <w:bookmarkStart w:id="107" w:name="_Toc416875758"/>
      <w:r>
        <w:rPr>
          <w:rStyle w:val="CharSectno"/>
        </w:rPr>
        <w:t>40A</w:t>
      </w:r>
      <w:r>
        <w:t>.</w:t>
      </w:r>
      <w:r>
        <w:tab/>
        <w:t>Prohibition against doing business with unlicensed finance brokers</w:t>
      </w:r>
      <w:bookmarkEnd w:id="106"/>
      <w:bookmarkEnd w:id="107"/>
    </w:p>
    <w:p>
      <w:pPr>
        <w:pStyle w:val="Subsection"/>
      </w:pPr>
      <w:r>
        <w:tab/>
        <w:t>(1A)</w:t>
      </w:r>
      <w:r>
        <w:tab/>
        <w:t>On and after the referral day, subsections (2) and (3) have no effect.</w:t>
      </w:r>
    </w:p>
    <w:p>
      <w:pPr>
        <w:pStyle w:val="Subsection"/>
      </w:pPr>
      <w:r>
        <w:tab/>
        <w:t>(1)</w:t>
      </w:r>
      <w:r>
        <w:tab/>
        <w:t xml:space="preserve">In this section — </w:t>
      </w:r>
    </w:p>
    <w:p>
      <w:pPr>
        <w:pStyle w:val="Defstart"/>
      </w:pPr>
      <w:r>
        <w:tab/>
      </w:r>
      <w:r>
        <w:rPr>
          <w:rStyle w:val="CharDefText"/>
          <w:rFonts w:ascii="Times" w:hAnsi="Times"/>
        </w:rPr>
        <w:t>unlicensed finance broker</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Subsection"/>
        <w:spacing w:before="80"/>
        <w:rPr>
          <w:snapToGrid w:val="0"/>
        </w:rPr>
      </w:pPr>
      <w:r>
        <w:rPr>
          <w:snapToGrid w:val="0"/>
        </w:rPr>
        <w:tab/>
      </w: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Subsection"/>
        <w:spacing w:before="80"/>
        <w:rPr>
          <w:snapToGrid w:val="0"/>
        </w:rPr>
      </w:pPr>
      <w:r>
        <w:rPr>
          <w:snapToGrid w:val="0"/>
        </w:rPr>
        <w:tab/>
      </w:r>
      <w:r>
        <w:rPr>
          <w:snapToGrid w:val="0"/>
        </w:rPr>
        <w:tab/>
        <w:t>Penalty: $50 000.</w:t>
      </w:r>
    </w:p>
    <w:p>
      <w:pPr>
        <w:pStyle w:val="Footnotesection"/>
      </w:pPr>
      <w:r>
        <w:tab/>
        <w:t>[Section 40A inserted by No. 53 of 2004 s. 34; amended by No. 14 of 2010 s. 52.]</w:t>
      </w:r>
    </w:p>
    <w:p>
      <w:pPr>
        <w:pStyle w:val="Heading5"/>
        <w:rPr>
          <w:snapToGrid w:val="0"/>
        </w:rPr>
      </w:pPr>
      <w:bookmarkStart w:id="108" w:name="_Toc378249299"/>
      <w:bookmarkStart w:id="109" w:name="_Toc416875759"/>
      <w:r>
        <w:rPr>
          <w:rStyle w:val="CharSectno"/>
        </w:rPr>
        <w:t>41</w:t>
      </w:r>
      <w:r>
        <w:rPr>
          <w:snapToGrid w:val="0"/>
        </w:rPr>
        <w:t>.</w:t>
      </w:r>
      <w:r>
        <w:rPr>
          <w:snapToGrid w:val="0"/>
        </w:rPr>
        <w:tab/>
        <w:t>Use of business name</w:t>
      </w:r>
      <w:bookmarkEnd w:id="108"/>
      <w:bookmarkEnd w:id="109"/>
      <w:r>
        <w:rPr>
          <w:snapToGrid w:val="0"/>
        </w:rPr>
        <w:t xml:space="preserve"> </w:t>
      </w:r>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spacing w:before="100"/>
        <w:ind w:left="890" w:hanging="890"/>
      </w:pPr>
      <w:r>
        <w:tab/>
        <w:t xml:space="preserve">[Section 41 amended by No. 56 of 1995 s. 23(1); No. 53 of 2004 s. 35; No. 14 of 2010 s. 53.] </w:t>
      </w:r>
    </w:p>
    <w:p>
      <w:pPr>
        <w:pStyle w:val="Heading5"/>
        <w:rPr>
          <w:snapToGrid w:val="0"/>
        </w:rPr>
      </w:pPr>
      <w:bookmarkStart w:id="110" w:name="_Toc378249300"/>
      <w:bookmarkStart w:id="111" w:name="_Toc416875760"/>
      <w:r>
        <w:rPr>
          <w:rStyle w:val="CharSectno"/>
        </w:rPr>
        <w:t>42</w:t>
      </w:r>
      <w:r>
        <w:rPr>
          <w:snapToGrid w:val="0"/>
        </w:rPr>
        <w:t>.</w:t>
      </w:r>
      <w:r>
        <w:rPr>
          <w:snapToGrid w:val="0"/>
        </w:rPr>
        <w:tab/>
        <w:t>Notice to be exhibited</w:t>
      </w:r>
      <w:bookmarkEnd w:id="110"/>
      <w:bookmarkEnd w:id="111"/>
      <w:r>
        <w:rPr>
          <w:snapToGrid w:val="0"/>
        </w:rPr>
        <w:t xml:space="preserve"> </w:t>
      </w:r>
    </w:p>
    <w:p>
      <w:pPr>
        <w:pStyle w:val="Subsection"/>
      </w:pPr>
      <w:r>
        <w:tab/>
        <w:t>(1)</w:t>
      </w:r>
      <w:r>
        <w:tab/>
        <w:t>On and after the referral day, subsection (2) has no effect.</w:t>
      </w:r>
    </w:p>
    <w:p>
      <w:pPr>
        <w:pStyle w:val="Subsection"/>
        <w:rPr>
          <w:snapToGrid w:val="0"/>
        </w:rPr>
      </w:pPr>
      <w:r>
        <w:rPr>
          <w:snapToGrid w:val="0"/>
        </w:rPr>
        <w:tab/>
        <w:t>(2)</w:t>
      </w:r>
      <w:r>
        <w:rPr>
          <w:snapToGrid w:val="0"/>
        </w:rPr>
        <w:tab/>
      </w:r>
      <w:r>
        <w:t xml:space="preserve">A licensee shall exhibit, </w:t>
      </w:r>
      <w:r>
        <w:rPr>
          <w:snapToGrid w:val="0"/>
        </w:rPr>
        <w:t>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Footnotesection"/>
      </w:pPr>
      <w:r>
        <w:tab/>
        <w:t>[Section 42 amended by No. 14 of 2010 s. 54.]</w:t>
      </w:r>
    </w:p>
    <w:p>
      <w:pPr>
        <w:pStyle w:val="Heading2"/>
      </w:pPr>
      <w:bookmarkStart w:id="112" w:name="_Toc378249301"/>
      <w:bookmarkStart w:id="113" w:name="_Toc416875657"/>
      <w:bookmarkStart w:id="114" w:name="_Toc416875761"/>
      <w:r>
        <w:rPr>
          <w:rStyle w:val="CharPartNo"/>
        </w:rPr>
        <w:t>Part IV</w:t>
      </w:r>
      <w:r>
        <w:t> — </w:t>
      </w:r>
      <w:r>
        <w:rPr>
          <w:rStyle w:val="CharPartText"/>
        </w:rPr>
        <w:t>Controls</w:t>
      </w:r>
      <w:bookmarkEnd w:id="112"/>
      <w:bookmarkEnd w:id="113"/>
      <w:bookmarkEnd w:id="114"/>
      <w:r>
        <w:rPr>
          <w:rStyle w:val="CharPartText"/>
        </w:rPr>
        <w:t xml:space="preserve"> </w:t>
      </w:r>
    </w:p>
    <w:p>
      <w:pPr>
        <w:pStyle w:val="Heading3"/>
        <w:rPr>
          <w:snapToGrid w:val="0"/>
        </w:rPr>
      </w:pPr>
      <w:bookmarkStart w:id="115" w:name="_Toc378249302"/>
      <w:bookmarkStart w:id="116" w:name="_Toc416875658"/>
      <w:bookmarkStart w:id="117" w:name="_Toc416875762"/>
      <w:r>
        <w:rPr>
          <w:rStyle w:val="CharDivNo"/>
        </w:rPr>
        <w:t>Division 1</w:t>
      </w:r>
      <w:r>
        <w:rPr>
          <w:snapToGrid w:val="0"/>
        </w:rPr>
        <w:t> — </w:t>
      </w:r>
      <w:r>
        <w:rPr>
          <w:rStyle w:val="CharDivText"/>
        </w:rPr>
        <w:t>General</w:t>
      </w:r>
      <w:bookmarkEnd w:id="115"/>
      <w:bookmarkEnd w:id="116"/>
      <w:bookmarkEnd w:id="117"/>
      <w:r>
        <w:rPr>
          <w:rStyle w:val="CharDivText"/>
        </w:rPr>
        <w:t xml:space="preserve"> </w:t>
      </w:r>
    </w:p>
    <w:p>
      <w:pPr>
        <w:pStyle w:val="Heading5"/>
        <w:rPr>
          <w:snapToGrid w:val="0"/>
        </w:rPr>
      </w:pPr>
      <w:bookmarkStart w:id="118" w:name="_Toc378249303"/>
      <w:bookmarkStart w:id="119" w:name="_Toc416875763"/>
      <w:r>
        <w:rPr>
          <w:rStyle w:val="CharSectno"/>
        </w:rPr>
        <w:t>43</w:t>
      </w:r>
      <w:r>
        <w:rPr>
          <w:snapToGrid w:val="0"/>
        </w:rPr>
        <w:t>.</w:t>
      </w:r>
      <w:r>
        <w:rPr>
          <w:snapToGrid w:val="0"/>
        </w:rPr>
        <w:tab/>
        <w:t>Disability of unlicensed person</w:t>
      </w:r>
      <w:bookmarkEnd w:id="118"/>
      <w:bookmarkEnd w:id="119"/>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by No. 56 of 1995 s. 23(1); No. 53 of 2004 s. 36; No. 14 of 2010 s. 55.]</w:t>
      </w:r>
    </w:p>
    <w:p>
      <w:pPr>
        <w:pStyle w:val="Heading5"/>
        <w:rPr>
          <w:snapToGrid w:val="0"/>
        </w:rPr>
      </w:pPr>
      <w:bookmarkStart w:id="120" w:name="_Toc378249304"/>
      <w:bookmarkStart w:id="121" w:name="_Toc416875764"/>
      <w:r>
        <w:rPr>
          <w:rStyle w:val="CharSectno"/>
        </w:rPr>
        <w:t>44</w:t>
      </w:r>
      <w:r>
        <w:rPr>
          <w:snapToGrid w:val="0"/>
        </w:rPr>
        <w:t>.</w:t>
      </w:r>
      <w:r>
        <w:rPr>
          <w:snapToGrid w:val="0"/>
        </w:rPr>
        <w:tab/>
        <w:t>Remuneration of finance brokers</w:t>
      </w:r>
      <w:bookmarkEnd w:id="120"/>
      <w:bookmarkEnd w:id="121"/>
      <w:r>
        <w:rPr>
          <w:snapToGrid w:val="0"/>
        </w:rPr>
        <w:t xml:space="preserve"> </w:t>
      </w:r>
    </w:p>
    <w:p>
      <w:pPr>
        <w:pStyle w:val="Subsection"/>
      </w:pPr>
      <w:r>
        <w:tab/>
        <w:t>(1A)</w:t>
      </w:r>
      <w:r>
        <w:tab/>
        <w:t>On and after the referral day, subsections (5) and (6) have no effect.</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by No. 53 of 2004 s. 37; No. 14 of 2010 s. 56.]</w:t>
      </w:r>
    </w:p>
    <w:p>
      <w:pPr>
        <w:pStyle w:val="Heading5"/>
        <w:rPr>
          <w:snapToGrid w:val="0"/>
        </w:rPr>
      </w:pPr>
      <w:bookmarkStart w:id="122" w:name="_Toc378249305"/>
      <w:bookmarkStart w:id="123" w:name="_Toc416875765"/>
      <w:r>
        <w:rPr>
          <w:rStyle w:val="CharSectno"/>
        </w:rPr>
        <w:t>45</w:t>
      </w:r>
      <w:r>
        <w:rPr>
          <w:snapToGrid w:val="0"/>
        </w:rPr>
        <w:t>.</w:t>
      </w:r>
      <w:r>
        <w:rPr>
          <w:snapToGrid w:val="0"/>
        </w:rPr>
        <w:tab/>
        <w:t>Advertisements by licensees</w:t>
      </w:r>
      <w:bookmarkEnd w:id="122"/>
      <w:bookmarkEnd w:id="123"/>
      <w:r>
        <w:rPr>
          <w:snapToGrid w:val="0"/>
        </w:rPr>
        <w:t xml:space="preserve"> </w:t>
      </w:r>
    </w:p>
    <w:p>
      <w:pPr>
        <w:pStyle w:val="Subsection"/>
      </w:pPr>
      <w:r>
        <w:tab/>
        <w:t>(1A)</w:t>
      </w:r>
      <w:r>
        <w:tab/>
        <w:t>On and after the referral day, subsections (1), (2) and (3) have no effect.</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r>
        <w:rPr>
          <w:snapToGrid w:val="0"/>
        </w:rPr>
        <w:tab/>
        <w:t>(5)</w:t>
      </w:r>
      <w:r>
        <w:rPr>
          <w:snapToGrid w:val="0"/>
        </w:rPr>
        <w:tab/>
        <w:t xml:space="preserve">In this section — </w:t>
      </w:r>
    </w:p>
    <w:p>
      <w:pPr>
        <w:pStyle w:val="Defstart"/>
      </w:pPr>
      <w:r>
        <w:rPr>
          <w:b/>
        </w:rPr>
        <w:tab/>
      </w:r>
      <w:r>
        <w:rPr>
          <w:rStyle w:val="CharDefText"/>
        </w:rPr>
        <w:t>Consumer Credit (</w:t>
      </w:r>
      <w:smartTag w:uri="urn:schemas-microsoft-com:office:smarttags" w:element="State">
        <w:r>
          <w:rPr>
            <w:rStyle w:val="CharDefText"/>
          </w:rPr>
          <w:t>Western Australia</w:t>
        </w:r>
      </w:smartTag>
      <w:r>
        <w:rPr>
          <w:rStyle w:val="CharDefText"/>
        </w:rPr>
        <w:t>) Code</w:t>
      </w:r>
      <w:r>
        <w:t xml:space="preserve"> has the meaning given to it in the </w:t>
      </w:r>
      <w:r>
        <w:rPr>
          <w:i/>
          <w:iCs/>
        </w:rPr>
        <w:t>Consumer Credit (</w:t>
      </w:r>
      <w:smartTag w:uri="urn:schemas-microsoft-com:office:smarttags" w:element="place">
        <w:smartTag w:uri="urn:schemas-microsoft-com:office:smarttags" w:element="State">
          <w:r>
            <w:rPr>
              <w:i/>
              <w:iCs/>
            </w:rPr>
            <w:t>Western Australia</w:t>
          </w:r>
        </w:smartTag>
      </w:smartTag>
      <w:r>
        <w:rPr>
          <w:i/>
          <w:iCs/>
        </w:rPr>
        <w:t>) Act 1996</w:t>
      </w:r>
      <w:r>
        <w:t>.</w:t>
      </w:r>
    </w:p>
    <w:p>
      <w:pPr>
        <w:pStyle w:val="Footnotesection"/>
      </w:pPr>
      <w:r>
        <w:tab/>
        <w:t>[Section 45 amended by No. 53 of 2004 s. 38; No. 14 of 2010 s. 57.]</w:t>
      </w:r>
    </w:p>
    <w:p>
      <w:pPr>
        <w:pStyle w:val="Heading5"/>
        <w:rPr>
          <w:snapToGrid w:val="0"/>
        </w:rPr>
      </w:pPr>
      <w:bookmarkStart w:id="124" w:name="_Toc378249306"/>
      <w:bookmarkStart w:id="125" w:name="_Toc416875766"/>
      <w:r>
        <w:rPr>
          <w:rStyle w:val="CharSectno"/>
        </w:rPr>
        <w:t>46</w:t>
      </w:r>
      <w:r>
        <w:rPr>
          <w:snapToGrid w:val="0"/>
        </w:rPr>
        <w:t>.</w:t>
      </w:r>
      <w:r>
        <w:rPr>
          <w:snapToGrid w:val="0"/>
        </w:rPr>
        <w:tab/>
        <w:t>Copy of loan documents</w:t>
      </w:r>
      <w:bookmarkEnd w:id="124"/>
      <w:bookmarkEnd w:id="125"/>
      <w:r>
        <w:rPr>
          <w:snapToGrid w:val="0"/>
        </w:rPr>
        <w:t xml:space="preserve"> </w:t>
      </w:r>
    </w:p>
    <w:p>
      <w:pPr>
        <w:pStyle w:val="Subsection"/>
        <w:rPr>
          <w:snapToGrid w:val="0"/>
        </w:rPr>
      </w:pPr>
      <w:r>
        <w:rPr>
          <w:snapToGrid w:val="0"/>
        </w:rPr>
        <w:tab/>
      </w:r>
      <w:r>
        <w:rPr>
          <w:snapToGrid w:val="0"/>
        </w:rPr>
        <w:tab/>
        <w:t>Where</w:t>
      </w:r>
      <w:r>
        <w:t xml:space="preserve"> before the referral day</w:t>
      </w:r>
      <w:r>
        <w:rPr>
          <w:snapToGrid w:val="0"/>
        </w:rPr>
        <w:t xml:space="preserv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Footnotesection"/>
      </w:pPr>
      <w:r>
        <w:tab/>
        <w:t>[Section 46 amended by No. 14 of 2010 s. 58.]</w:t>
      </w:r>
    </w:p>
    <w:p>
      <w:pPr>
        <w:pStyle w:val="Heading3"/>
        <w:rPr>
          <w:snapToGrid w:val="0"/>
        </w:rPr>
      </w:pPr>
      <w:bookmarkStart w:id="126" w:name="_Toc378249307"/>
      <w:bookmarkStart w:id="127" w:name="_Toc416875663"/>
      <w:bookmarkStart w:id="128" w:name="_Toc416875767"/>
      <w:r>
        <w:rPr>
          <w:rStyle w:val="CharDivNo"/>
        </w:rPr>
        <w:t>Division 2</w:t>
      </w:r>
      <w:r>
        <w:rPr>
          <w:snapToGrid w:val="0"/>
        </w:rPr>
        <w:t> — </w:t>
      </w:r>
      <w:r>
        <w:rPr>
          <w:rStyle w:val="CharDivText"/>
        </w:rPr>
        <w:t>Trust accounts</w:t>
      </w:r>
      <w:bookmarkEnd w:id="126"/>
      <w:bookmarkEnd w:id="127"/>
      <w:bookmarkEnd w:id="128"/>
      <w:r>
        <w:rPr>
          <w:rStyle w:val="CharDivText"/>
        </w:rPr>
        <w:t xml:space="preserve"> </w:t>
      </w:r>
    </w:p>
    <w:p>
      <w:pPr>
        <w:pStyle w:val="Heading5"/>
        <w:rPr>
          <w:snapToGrid w:val="0"/>
        </w:rPr>
      </w:pPr>
      <w:bookmarkStart w:id="129" w:name="_Toc378249308"/>
      <w:bookmarkStart w:id="130" w:name="_Toc416875768"/>
      <w:r>
        <w:rPr>
          <w:rStyle w:val="CharSectno"/>
        </w:rPr>
        <w:t>47</w:t>
      </w:r>
      <w:r>
        <w:rPr>
          <w:snapToGrid w:val="0"/>
        </w:rPr>
        <w:t>.</w:t>
      </w:r>
      <w:r>
        <w:rPr>
          <w:snapToGrid w:val="0"/>
        </w:rPr>
        <w:tab/>
        <w:t>Interpretation</w:t>
      </w:r>
      <w:bookmarkEnd w:id="129"/>
      <w:bookmarkEnd w:id="130"/>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r>
      <w:r>
        <w:rPr>
          <w:rStyle w:val="CharDefText"/>
        </w:rPr>
        <w:t>banker</w:t>
      </w:r>
      <w:r>
        <w:t xml:space="preserve"> means the manager, or other officer, for the time being in charge of the office of a bank in which any account of a finance broker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trust accounts</w:t>
      </w:r>
      <w:r>
        <w:t xml:space="preserve"> means accounts relating to moneys received or held by a finance broker for or on behalf of any other person in respect of loans negotiated or arranged by the finance broker;</w:t>
      </w:r>
    </w:p>
    <w:p>
      <w:pPr>
        <w:pStyle w:val="Defstart"/>
      </w:pPr>
      <w:r>
        <w:rPr>
          <w:b/>
        </w:rPr>
        <w:tab/>
      </w:r>
      <w:r>
        <w:rPr>
          <w:rStyle w:val="CharDefText"/>
        </w:rPr>
        <w:t>year</w:t>
      </w:r>
      <w:r>
        <w:t xml:space="preserve"> means a period of 12 months ending on 31 December, subject however to the provisions of section 51.</w:t>
      </w:r>
    </w:p>
    <w:p>
      <w:pPr>
        <w:pStyle w:val="Heading5"/>
        <w:rPr>
          <w:snapToGrid w:val="0"/>
        </w:rPr>
      </w:pPr>
      <w:bookmarkStart w:id="131" w:name="_Toc378249309"/>
      <w:bookmarkStart w:id="132" w:name="_Toc416875769"/>
      <w:r>
        <w:rPr>
          <w:rStyle w:val="CharSectno"/>
        </w:rPr>
        <w:t>48</w:t>
      </w:r>
      <w:r>
        <w:rPr>
          <w:snapToGrid w:val="0"/>
        </w:rPr>
        <w:t>.</w:t>
      </w:r>
      <w:r>
        <w:rPr>
          <w:snapToGrid w:val="0"/>
        </w:rPr>
        <w:tab/>
        <w:t>Trust accounts</w:t>
      </w:r>
      <w:bookmarkEnd w:id="131"/>
      <w:bookmarkEnd w:id="132"/>
      <w:r>
        <w:rPr>
          <w:snapToGrid w:val="0"/>
        </w:rPr>
        <w:t xml:space="preserve"> </w:t>
      </w:r>
    </w:p>
    <w:p>
      <w:pPr>
        <w:pStyle w:val="Subsection"/>
      </w:pPr>
      <w:r>
        <w:tab/>
        <w:t>(1A)</w:t>
      </w:r>
      <w:r>
        <w:tab/>
        <w:t>On and after the referral day, subsections (1), (2), (3) and (4) have no effect.</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48 amended by No. 14 of 2010 s. 59.]</w:t>
      </w:r>
    </w:p>
    <w:p>
      <w:pPr>
        <w:pStyle w:val="Heading5"/>
        <w:rPr>
          <w:snapToGrid w:val="0"/>
        </w:rPr>
      </w:pPr>
      <w:bookmarkStart w:id="133" w:name="_Toc378249310"/>
      <w:bookmarkStart w:id="134" w:name="_Toc416875770"/>
      <w:r>
        <w:rPr>
          <w:rStyle w:val="CharSectno"/>
        </w:rPr>
        <w:t>49</w:t>
      </w:r>
      <w:r>
        <w:rPr>
          <w:snapToGrid w:val="0"/>
        </w:rPr>
        <w:t>.</w:t>
      </w:r>
      <w:r>
        <w:rPr>
          <w:snapToGrid w:val="0"/>
        </w:rPr>
        <w:tab/>
        <w:t>Receipts and accounting to principal</w:t>
      </w:r>
      <w:bookmarkEnd w:id="133"/>
      <w:bookmarkEnd w:id="134"/>
      <w:r>
        <w:rPr>
          <w:snapToGrid w:val="0"/>
        </w:rPr>
        <w:t xml:space="preserve"> </w:t>
      </w:r>
    </w:p>
    <w:p>
      <w:pPr>
        <w:pStyle w:val="Subsection"/>
      </w:pPr>
      <w:r>
        <w:tab/>
        <w:t>(1A)</w:t>
      </w:r>
      <w:r>
        <w:tab/>
        <w:t>On and after the referral day, subsections (1), (2), (3), (4), (5) and (6) have no effect.</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by No. 53 of 2004 s. 39; No. 14 of 2010 s. 60.]</w:t>
      </w:r>
    </w:p>
    <w:p>
      <w:pPr>
        <w:pStyle w:val="Heading5"/>
        <w:rPr>
          <w:snapToGrid w:val="0"/>
        </w:rPr>
      </w:pPr>
      <w:bookmarkStart w:id="135" w:name="_Toc378249311"/>
      <w:bookmarkStart w:id="136" w:name="_Toc416875771"/>
      <w:r>
        <w:rPr>
          <w:rStyle w:val="CharSectno"/>
        </w:rPr>
        <w:t>50</w:t>
      </w:r>
      <w:r>
        <w:rPr>
          <w:snapToGrid w:val="0"/>
        </w:rPr>
        <w:t>.</w:t>
      </w:r>
      <w:r>
        <w:rPr>
          <w:snapToGrid w:val="0"/>
        </w:rPr>
        <w:tab/>
        <w:t>Duty of finance broker to have trust accounts audited</w:t>
      </w:r>
      <w:bookmarkEnd w:id="135"/>
      <w:bookmarkEnd w:id="136"/>
      <w:r>
        <w:rPr>
          <w:snapToGrid w:val="0"/>
        </w:rPr>
        <w:t xml:space="preserve"> </w:t>
      </w:r>
    </w:p>
    <w:p>
      <w:pPr>
        <w:pStyle w:val="Subsection"/>
      </w:pPr>
      <w:r>
        <w:tab/>
        <w:t>(1A)</w:t>
      </w:r>
      <w:r>
        <w:tab/>
        <w:t>On and after the referral day, subsections (1), (2), (3), (4), (5), (6), (7), (8) and (9) have no effect.</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w:t>
      </w:r>
      <w:r>
        <w:t>if the Commissioner thinks</w:t>
      </w:r>
      <w:r>
        <w:rPr>
          <w:snapToGrid w:val="0"/>
        </w:rPr>
        <w:t xml:space="preserve"> fit, waive in respect of a finance broker’s trust accounts the requirement of a quarterly audit mentioned in subsection (8).</w:t>
      </w:r>
    </w:p>
    <w:p>
      <w:pPr>
        <w:pStyle w:val="Footnotesection"/>
      </w:pPr>
      <w:r>
        <w:tab/>
        <w:t>[Section 50 amended by No. 53 of 2004 s. 40; No. 46 of 2009 s. 17; No. 14 of 2010 s. 61.]</w:t>
      </w:r>
    </w:p>
    <w:p>
      <w:pPr>
        <w:pStyle w:val="Heading5"/>
        <w:rPr>
          <w:snapToGrid w:val="0"/>
        </w:rPr>
      </w:pPr>
      <w:bookmarkStart w:id="137" w:name="_Toc378249312"/>
      <w:bookmarkStart w:id="138" w:name="_Toc416875772"/>
      <w:r>
        <w:rPr>
          <w:rStyle w:val="CharSectno"/>
        </w:rPr>
        <w:t>51</w:t>
      </w:r>
      <w:r>
        <w:rPr>
          <w:snapToGrid w:val="0"/>
        </w:rPr>
        <w:t>.</w:t>
      </w:r>
      <w:r>
        <w:rPr>
          <w:snapToGrid w:val="0"/>
        </w:rPr>
        <w:tab/>
        <w:t>Variation of date of audit</w:t>
      </w:r>
      <w:bookmarkEnd w:id="137"/>
      <w:bookmarkEnd w:id="138"/>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by No. 53 of 2004 s. 41.]</w:t>
      </w:r>
    </w:p>
    <w:p>
      <w:pPr>
        <w:pStyle w:val="Heading5"/>
        <w:spacing w:before="240"/>
        <w:rPr>
          <w:snapToGrid w:val="0"/>
        </w:rPr>
      </w:pPr>
      <w:bookmarkStart w:id="139" w:name="_Toc378249313"/>
      <w:bookmarkStart w:id="140" w:name="_Toc416875773"/>
      <w:r>
        <w:rPr>
          <w:rStyle w:val="CharSectno"/>
        </w:rPr>
        <w:t>52</w:t>
      </w:r>
      <w:r>
        <w:rPr>
          <w:snapToGrid w:val="0"/>
        </w:rPr>
        <w:t>.</w:t>
      </w:r>
      <w:r>
        <w:rPr>
          <w:snapToGrid w:val="0"/>
        </w:rPr>
        <w:tab/>
        <w:t>Qualification and approval of auditors</w:t>
      </w:r>
      <w:bookmarkEnd w:id="139"/>
      <w:bookmarkEnd w:id="140"/>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by No. 10 of 1982 s. 28; No. 10 of 2001 s. 221; No. 53 of 2004 s. 42.] </w:t>
      </w:r>
    </w:p>
    <w:p>
      <w:pPr>
        <w:pStyle w:val="Heading5"/>
        <w:rPr>
          <w:snapToGrid w:val="0"/>
        </w:rPr>
      </w:pPr>
      <w:bookmarkStart w:id="141" w:name="_Toc378249314"/>
      <w:bookmarkStart w:id="142" w:name="_Toc416875774"/>
      <w:r>
        <w:rPr>
          <w:rStyle w:val="CharSectno"/>
        </w:rPr>
        <w:t>53</w:t>
      </w:r>
      <w:r>
        <w:rPr>
          <w:snapToGrid w:val="0"/>
        </w:rPr>
        <w:t>.</w:t>
      </w:r>
      <w:r>
        <w:rPr>
          <w:snapToGrid w:val="0"/>
        </w:rPr>
        <w:tab/>
        <w:t>Appointment of auditor</w:t>
      </w:r>
      <w:bookmarkEnd w:id="141"/>
      <w:bookmarkEnd w:id="142"/>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w:t>
      </w:r>
      <w:r>
        <w:t xml:space="preserve"> under this Division</w:t>
      </w:r>
      <w:r>
        <w:rPr>
          <w:snapToGrid w:val="0"/>
        </w:rPr>
        <w:t xml:space="preserv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by No. 53 of 2004 s. 43; No. 14 of 2010 s. 62.]</w:t>
      </w:r>
    </w:p>
    <w:p>
      <w:pPr>
        <w:pStyle w:val="Heading5"/>
        <w:rPr>
          <w:snapToGrid w:val="0"/>
        </w:rPr>
      </w:pPr>
      <w:bookmarkStart w:id="143" w:name="_Toc378249315"/>
      <w:bookmarkStart w:id="144" w:name="_Toc416875775"/>
      <w:r>
        <w:rPr>
          <w:rStyle w:val="CharSectno"/>
        </w:rPr>
        <w:t>54</w:t>
      </w:r>
      <w:r>
        <w:rPr>
          <w:snapToGrid w:val="0"/>
        </w:rPr>
        <w:t>.</w:t>
      </w:r>
      <w:r>
        <w:rPr>
          <w:snapToGrid w:val="0"/>
        </w:rPr>
        <w:tab/>
        <w:t>Power to give directions for audit of business carried on at more than one place</w:t>
      </w:r>
      <w:bookmarkEnd w:id="143"/>
      <w:bookmarkEnd w:id="144"/>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w:t>
      </w:r>
      <w:r>
        <w:t xml:space="preserve"> under this Division</w:t>
      </w:r>
      <w:r>
        <w:rPr>
          <w:snapToGrid w:val="0"/>
        </w:rPr>
        <w:t xml:space="preserve">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54 amended by No. 53 of 2004 s. 44; No. 14 of 2010 s. 63.]</w:t>
      </w:r>
    </w:p>
    <w:p>
      <w:pPr>
        <w:pStyle w:val="Heading5"/>
        <w:rPr>
          <w:snapToGrid w:val="0"/>
        </w:rPr>
      </w:pPr>
      <w:bookmarkStart w:id="145" w:name="_Toc378249316"/>
      <w:bookmarkStart w:id="146" w:name="_Toc416875776"/>
      <w:r>
        <w:rPr>
          <w:rStyle w:val="CharSectno"/>
        </w:rPr>
        <w:t>55</w:t>
      </w:r>
      <w:r>
        <w:rPr>
          <w:snapToGrid w:val="0"/>
        </w:rPr>
        <w:t>.</w:t>
      </w:r>
      <w:r>
        <w:rPr>
          <w:snapToGrid w:val="0"/>
        </w:rPr>
        <w:tab/>
        <w:t>Alteration of rights under this Division</w:t>
      </w:r>
      <w:bookmarkEnd w:id="145"/>
      <w:bookmarkEnd w:id="146"/>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by No. 53 of 2004 s. 45.]</w:t>
      </w:r>
    </w:p>
    <w:p>
      <w:pPr>
        <w:pStyle w:val="Ednotesection"/>
      </w:pPr>
      <w:r>
        <w:t>[</w:t>
      </w:r>
      <w:r>
        <w:rPr>
          <w:b/>
          <w:bCs/>
        </w:rPr>
        <w:t>56.</w:t>
      </w:r>
      <w:r>
        <w:tab/>
        <w:t>Deleted by No. 55 of 2004 s. 353.]</w:t>
      </w:r>
    </w:p>
    <w:p>
      <w:pPr>
        <w:pStyle w:val="Heading5"/>
        <w:rPr>
          <w:snapToGrid w:val="0"/>
        </w:rPr>
      </w:pPr>
      <w:bookmarkStart w:id="147" w:name="_Toc378249317"/>
      <w:bookmarkStart w:id="148" w:name="_Toc416875777"/>
      <w:r>
        <w:rPr>
          <w:rStyle w:val="CharSectno"/>
        </w:rPr>
        <w:t>57</w:t>
      </w:r>
      <w:r>
        <w:rPr>
          <w:snapToGrid w:val="0"/>
        </w:rPr>
        <w:t>.</w:t>
      </w:r>
      <w:r>
        <w:rPr>
          <w:snapToGrid w:val="0"/>
        </w:rPr>
        <w:tab/>
        <w:t>Duties of finance brokers with respect to audit</w:t>
      </w:r>
      <w:bookmarkEnd w:id="147"/>
      <w:bookmarkEnd w:id="148"/>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149" w:name="_Toc378249318"/>
      <w:bookmarkStart w:id="150" w:name="_Toc416875778"/>
      <w:r>
        <w:rPr>
          <w:rStyle w:val="CharSectno"/>
        </w:rPr>
        <w:t>58</w:t>
      </w:r>
      <w:r>
        <w:rPr>
          <w:snapToGrid w:val="0"/>
        </w:rPr>
        <w:t>.</w:t>
      </w:r>
      <w:r>
        <w:rPr>
          <w:snapToGrid w:val="0"/>
        </w:rPr>
        <w:tab/>
        <w:t>Duty of banker with respect to audit</w:t>
      </w:r>
      <w:bookmarkEnd w:id="149"/>
      <w:bookmarkEnd w:id="150"/>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151" w:name="_Toc378249319"/>
      <w:bookmarkStart w:id="152" w:name="_Toc416875779"/>
      <w:r>
        <w:rPr>
          <w:rStyle w:val="CharSectno"/>
        </w:rPr>
        <w:t>59</w:t>
      </w:r>
      <w:r>
        <w:rPr>
          <w:snapToGrid w:val="0"/>
        </w:rPr>
        <w:t>.</w:t>
      </w:r>
      <w:r>
        <w:rPr>
          <w:snapToGrid w:val="0"/>
        </w:rPr>
        <w:tab/>
        <w:t>Contents of auditor’s report</w:t>
      </w:r>
      <w:bookmarkEnd w:id="151"/>
      <w:bookmarkEnd w:id="152"/>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w:t>
      </w:r>
    </w:p>
    <w:p>
      <w:pPr>
        <w:pStyle w:val="Indenta"/>
        <w:rPr>
          <w:snapToGrid w:val="0"/>
        </w:rPr>
      </w:pPr>
      <w:r>
        <w:rPr>
          <w:snapToGrid w:val="0"/>
        </w:rPr>
        <w:tab/>
        <w:t>(b)</w:t>
      </w:r>
      <w:r>
        <w:rPr>
          <w:snapToGrid w:val="0"/>
        </w:rPr>
        <w:tab/>
        <w:t>whether the trust accounts of such finance broker have been ready for examination at the periods appointed by the auditor;</w:t>
      </w:r>
    </w:p>
    <w:p>
      <w:pPr>
        <w:pStyle w:val="Indenta"/>
        <w:rPr>
          <w:snapToGrid w:val="0"/>
        </w:rPr>
      </w:pPr>
      <w:r>
        <w:rPr>
          <w:snapToGrid w:val="0"/>
        </w:rPr>
        <w:tab/>
        <w:t>(c)</w:t>
      </w:r>
      <w:r>
        <w:rPr>
          <w:snapToGrid w:val="0"/>
        </w:rPr>
        <w:tab/>
        <w:t>whether such finance broker has complied with the auditor’s requirements;</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by No. 53 of 2004 s. 46.]</w:t>
      </w:r>
    </w:p>
    <w:p>
      <w:pPr>
        <w:pStyle w:val="Heading5"/>
        <w:rPr>
          <w:snapToGrid w:val="0"/>
        </w:rPr>
      </w:pPr>
      <w:bookmarkStart w:id="153" w:name="_Toc378249320"/>
      <w:bookmarkStart w:id="154" w:name="_Toc416875780"/>
      <w:r>
        <w:rPr>
          <w:rStyle w:val="CharSectno"/>
        </w:rPr>
        <w:t>60</w:t>
      </w:r>
      <w:r>
        <w:rPr>
          <w:snapToGrid w:val="0"/>
        </w:rPr>
        <w:t>.</w:t>
      </w:r>
      <w:r>
        <w:rPr>
          <w:snapToGrid w:val="0"/>
        </w:rPr>
        <w:tab/>
        <w:t>Statement of moneys, etc., held by finance broker for or on behalf of other persons</w:t>
      </w:r>
      <w:bookmarkEnd w:id="153"/>
      <w:bookmarkEnd w:id="154"/>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w:t>
      </w:r>
      <w:r>
        <w:t xml:space="preserve"> under this Division</w:t>
      </w:r>
      <w:r>
        <w:rPr>
          <w:snapToGrid w:val="0"/>
        </w:rPr>
        <w:t xml:space="preserve">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w:t>
      </w:r>
      <w:r>
        <w:t xml:space="preserve"> under this Division</w:t>
      </w:r>
      <w:r>
        <w:rPr>
          <w:snapToGrid w:val="0"/>
        </w:rPr>
        <w:t xml:space="preserve">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Footnotesection"/>
      </w:pPr>
      <w:r>
        <w:tab/>
        <w:t>[Section 60 amended by No. 14 of 2010 s. 64.]</w:t>
      </w:r>
    </w:p>
    <w:p>
      <w:pPr>
        <w:pStyle w:val="Heading5"/>
        <w:rPr>
          <w:snapToGrid w:val="0"/>
        </w:rPr>
      </w:pPr>
      <w:bookmarkStart w:id="155" w:name="_Toc378249321"/>
      <w:bookmarkStart w:id="156" w:name="_Toc416875781"/>
      <w:r>
        <w:rPr>
          <w:rStyle w:val="CharSectno"/>
        </w:rPr>
        <w:t>61</w:t>
      </w:r>
      <w:r>
        <w:rPr>
          <w:snapToGrid w:val="0"/>
        </w:rPr>
        <w:t>.</w:t>
      </w:r>
      <w:r>
        <w:rPr>
          <w:snapToGrid w:val="0"/>
        </w:rPr>
        <w:tab/>
        <w:t>Auditor’s report where finance broker has not complied with Act, etc.</w:t>
      </w:r>
      <w:bookmarkEnd w:id="155"/>
      <w:bookmarkEnd w:id="156"/>
      <w:r>
        <w:rPr>
          <w:snapToGrid w:val="0"/>
        </w:rPr>
        <w:t xml:space="preserve"> </w:t>
      </w:r>
    </w:p>
    <w:p>
      <w:pPr>
        <w:pStyle w:val="Subsection"/>
        <w:rPr>
          <w:snapToGrid w:val="0"/>
        </w:rPr>
      </w:pPr>
      <w:r>
        <w:rPr>
          <w:snapToGrid w:val="0"/>
        </w:rPr>
        <w:tab/>
      </w:r>
      <w:r>
        <w:rPr>
          <w:snapToGrid w:val="0"/>
        </w:rPr>
        <w:tab/>
        <w:t>If an auditor in the course of auditing a finance broker’s trust accounts</w:t>
      </w:r>
      <w:r>
        <w:t xml:space="preserve"> under this Division</w:t>
      </w:r>
      <w:r>
        <w:rPr>
          <w:snapToGrid w:val="0"/>
        </w:rPr>
        <w:t xml:space="preserve">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r>
        <w:tab/>
        <w:t>[Section 61 amended by No. 53 of 2004 s. 47; No. 14 of 2010 s. 65.]</w:t>
      </w:r>
    </w:p>
    <w:p>
      <w:pPr>
        <w:pStyle w:val="Heading5"/>
        <w:rPr>
          <w:snapToGrid w:val="0"/>
        </w:rPr>
      </w:pPr>
      <w:bookmarkStart w:id="157" w:name="_Toc378249322"/>
      <w:bookmarkStart w:id="158" w:name="_Toc416875782"/>
      <w:r>
        <w:rPr>
          <w:rStyle w:val="CharSectno"/>
        </w:rPr>
        <w:t>62</w:t>
      </w:r>
      <w:r>
        <w:rPr>
          <w:snapToGrid w:val="0"/>
        </w:rPr>
        <w:t>.</w:t>
      </w:r>
      <w:r>
        <w:rPr>
          <w:snapToGrid w:val="0"/>
        </w:rPr>
        <w:tab/>
        <w:t>Non</w:t>
      </w:r>
      <w:r>
        <w:rPr>
          <w:snapToGrid w:val="0"/>
        </w:rPr>
        <w:noBreakHyphen/>
        <w:t>disclosure by auditors</w:t>
      </w:r>
      <w:bookmarkEnd w:id="157"/>
      <w:bookmarkEnd w:id="158"/>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159" w:name="_Toc378249323"/>
      <w:bookmarkStart w:id="160" w:name="_Toc416875783"/>
      <w:r>
        <w:rPr>
          <w:rStyle w:val="CharSectno"/>
        </w:rPr>
        <w:t>63</w:t>
      </w:r>
      <w:r>
        <w:rPr>
          <w:snapToGrid w:val="0"/>
        </w:rPr>
        <w:t>.</w:t>
      </w:r>
      <w:r>
        <w:rPr>
          <w:snapToGrid w:val="0"/>
        </w:rPr>
        <w:tab/>
        <w:t>Right of persons beneficially interested to obtain information</w:t>
      </w:r>
      <w:bookmarkEnd w:id="159"/>
      <w:bookmarkEnd w:id="160"/>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r>
        <w:tab/>
        <w:t>[Section 63 amended by No. 53 of 2004 s. 48.]</w:t>
      </w:r>
    </w:p>
    <w:p>
      <w:pPr>
        <w:pStyle w:val="Heading5"/>
        <w:rPr>
          <w:snapToGrid w:val="0"/>
        </w:rPr>
      </w:pPr>
      <w:bookmarkStart w:id="161" w:name="_Toc378249324"/>
      <w:bookmarkStart w:id="162" w:name="_Toc416875784"/>
      <w:r>
        <w:rPr>
          <w:rStyle w:val="CharSectno"/>
        </w:rPr>
        <w:t>64</w:t>
      </w:r>
      <w:r>
        <w:rPr>
          <w:snapToGrid w:val="0"/>
        </w:rPr>
        <w:t>.</w:t>
      </w:r>
      <w:r>
        <w:rPr>
          <w:snapToGrid w:val="0"/>
        </w:rPr>
        <w:tab/>
        <w:t>Penalty for breach</w:t>
      </w:r>
      <w:bookmarkEnd w:id="161"/>
      <w:bookmarkEnd w:id="162"/>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64 amended by No. 53 of 2004 s. 49.]</w:t>
      </w:r>
    </w:p>
    <w:p>
      <w:pPr>
        <w:pStyle w:val="Heading5"/>
        <w:rPr>
          <w:snapToGrid w:val="0"/>
        </w:rPr>
      </w:pPr>
      <w:bookmarkStart w:id="163" w:name="_Toc378249325"/>
      <w:bookmarkStart w:id="164" w:name="_Toc416875785"/>
      <w:r>
        <w:rPr>
          <w:rStyle w:val="CharSectno"/>
        </w:rPr>
        <w:t>65</w:t>
      </w:r>
      <w:r>
        <w:rPr>
          <w:snapToGrid w:val="0"/>
        </w:rPr>
        <w:t>.</w:t>
      </w:r>
      <w:r>
        <w:rPr>
          <w:snapToGrid w:val="0"/>
        </w:rPr>
        <w:tab/>
        <w:t>Remuneration of auditor</w:t>
      </w:r>
      <w:bookmarkEnd w:id="163"/>
      <w:bookmarkEnd w:id="164"/>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165" w:name="_Toc378249326"/>
      <w:bookmarkStart w:id="166" w:name="_Toc416875786"/>
      <w:r>
        <w:rPr>
          <w:rStyle w:val="CharSectno"/>
        </w:rPr>
        <w:t>66</w:t>
      </w:r>
      <w:r>
        <w:rPr>
          <w:snapToGrid w:val="0"/>
        </w:rPr>
        <w:t>.</w:t>
      </w:r>
      <w:r>
        <w:rPr>
          <w:snapToGrid w:val="0"/>
        </w:rPr>
        <w:tab/>
        <w:t>Finance brokers having no accounts to audit</w:t>
      </w:r>
      <w:bookmarkEnd w:id="165"/>
      <w:bookmarkEnd w:id="166"/>
      <w:r>
        <w:rPr>
          <w:snapToGrid w:val="0"/>
        </w:rPr>
        <w:t xml:space="preserve"> </w:t>
      </w:r>
    </w:p>
    <w:p>
      <w:pPr>
        <w:pStyle w:val="Subsection"/>
        <w:rPr>
          <w:snapToGrid w:val="0"/>
        </w:rPr>
      </w:pPr>
      <w:r>
        <w:rPr>
          <w:snapToGrid w:val="0"/>
        </w:rPr>
        <w:tab/>
      </w:r>
      <w:r>
        <w:rPr>
          <w:snapToGrid w:val="0"/>
        </w:rPr>
        <w:tab/>
        <w:t>A finance broker who, in the course of his business, has in any year for which an audit of trust accounts under this Division would otherwise be required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r>
        <w:tab/>
        <w:t>[Section 66 amended by No. 53 of 2004 s. 50; No. 14 of 2010 s. 66.]</w:t>
      </w:r>
    </w:p>
    <w:p>
      <w:pPr>
        <w:pStyle w:val="Heading5"/>
        <w:rPr>
          <w:snapToGrid w:val="0"/>
        </w:rPr>
      </w:pPr>
      <w:bookmarkStart w:id="167" w:name="_Toc378249327"/>
      <w:bookmarkStart w:id="168" w:name="_Toc416875787"/>
      <w:r>
        <w:rPr>
          <w:rStyle w:val="CharSectno"/>
        </w:rPr>
        <w:t>67</w:t>
      </w:r>
      <w:r>
        <w:rPr>
          <w:snapToGrid w:val="0"/>
        </w:rPr>
        <w:t>.</w:t>
      </w:r>
      <w:r>
        <w:rPr>
          <w:snapToGrid w:val="0"/>
        </w:rPr>
        <w:tab/>
        <w:t>Accounts of firm or body corporate or finance broker with branch office</w:t>
      </w:r>
      <w:bookmarkEnd w:id="167"/>
      <w:bookmarkEnd w:id="168"/>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169" w:name="_Toc378249328"/>
      <w:bookmarkStart w:id="170" w:name="_Toc416875788"/>
      <w:r>
        <w:rPr>
          <w:rStyle w:val="CharSectno"/>
        </w:rPr>
        <w:t>68</w:t>
      </w:r>
      <w:r>
        <w:rPr>
          <w:snapToGrid w:val="0"/>
        </w:rPr>
        <w:t>.</w:t>
      </w:r>
      <w:r>
        <w:rPr>
          <w:snapToGrid w:val="0"/>
        </w:rPr>
        <w:tab/>
        <w:t>Power of Commissioner to order audit of trust account</w:t>
      </w:r>
      <w:bookmarkEnd w:id="169"/>
      <w:bookmarkEnd w:id="170"/>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w:t>
      </w:r>
      <w:r>
        <w:t xml:space="preserve"> maintained in compliance with section 48</w:t>
      </w:r>
      <w:r>
        <w:rPr>
          <w:snapToGrid w:val="0"/>
        </w:rPr>
        <w:t xml:space="preserve"> to be audited by an auditor nominated in writing by the Commissioner for that purpose.</w:t>
      </w:r>
    </w:p>
    <w:p>
      <w:pPr>
        <w:pStyle w:val="Footnotesection"/>
      </w:pPr>
      <w:r>
        <w:tab/>
        <w:t>[Section 68 amended by No. 53 of 2004 s. 51; No. 14 of 2010 s. 67.]</w:t>
      </w:r>
    </w:p>
    <w:p>
      <w:pPr>
        <w:pStyle w:val="Heading5"/>
        <w:rPr>
          <w:snapToGrid w:val="0"/>
        </w:rPr>
      </w:pPr>
      <w:bookmarkStart w:id="171" w:name="_Toc378249329"/>
      <w:bookmarkStart w:id="172" w:name="_Toc416875789"/>
      <w:r>
        <w:rPr>
          <w:rStyle w:val="CharSectno"/>
        </w:rPr>
        <w:t>69</w:t>
      </w:r>
      <w:r>
        <w:rPr>
          <w:snapToGrid w:val="0"/>
        </w:rPr>
        <w:t>.</w:t>
      </w:r>
      <w:r>
        <w:rPr>
          <w:snapToGrid w:val="0"/>
        </w:rPr>
        <w:tab/>
        <w:t>Finance broker to produce books, etc. to auditor</w:t>
      </w:r>
      <w:bookmarkEnd w:id="171"/>
      <w:bookmarkEnd w:id="172"/>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w:t>
      </w:r>
      <w:r>
        <w:t xml:space="preserve"> under section 68</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w:t>
      </w:r>
      <w:r>
        <w:t xml:space="preserve"> maintained in compliance with section 48</w:t>
      </w:r>
      <w:r>
        <w:rPr>
          <w:snapToGrid w:val="0"/>
        </w:rPr>
        <w:t xml:space="preserve"> that relate to the business carried on by him at that place of business and all other books, accounts and records relating to that business that are required by the auditor for the purpose of carrying out an effective audit of the trust accounts.</w:t>
      </w:r>
    </w:p>
    <w:p>
      <w:pPr>
        <w:pStyle w:val="Footnotesection"/>
      </w:pPr>
      <w:r>
        <w:tab/>
        <w:t>[Section 69 amended by No. 53 of 2004 s. 52; No. 14 of 2010 s. 68.]</w:t>
      </w:r>
    </w:p>
    <w:p>
      <w:pPr>
        <w:pStyle w:val="Heading5"/>
        <w:rPr>
          <w:snapToGrid w:val="0"/>
        </w:rPr>
      </w:pPr>
      <w:bookmarkStart w:id="173" w:name="_Toc378249330"/>
      <w:bookmarkStart w:id="174" w:name="_Toc416875790"/>
      <w:r>
        <w:rPr>
          <w:rStyle w:val="CharSectno"/>
        </w:rPr>
        <w:t>70</w:t>
      </w:r>
      <w:r>
        <w:rPr>
          <w:snapToGrid w:val="0"/>
        </w:rPr>
        <w:t>.</w:t>
      </w:r>
      <w:r>
        <w:rPr>
          <w:snapToGrid w:val="0"/>
        </w:rPr>
        <w:tab/>
        <w:t>Cost of audit</w:t>
      </w:r>
      <w:bookmarkEnd w:id="173"/>
      <w:bookmarkEnd w:id="174"/>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r>
        <w:tab/>
        <w:t>[Section 70 amended by No. 53 of 2004 s. 53.]</w:t>
      </w:r>
    </w:p>
    <w:p>
      <w:pPr>
        <w:pStyle w:val="Heading5"/>
        <w:rPr>
          <w:snapToGrid w:val="0"/>
        </w:rPr>
      </w:pPr>
      <w:bookmarkStart w:id="175" w:name="_Toc378249331"/>
      <w:bookmarkStart w:id="176" w:name="_Toc416875791"/>
      <w:r>
        <w:rPr>
          <w:rStyle w:val="CharSectno"/>
        </w:rPr>
        <w:t>71</w:t>
      </w:r>
      <w:r>
        <w:rPr>
          <w:snapToGrid w:val="0"/>
        </w:rPr>
        <w:t>.</w:t>
      </w:r>
      <w:r>
        <w:rPr>
          <w:snapToGrid w:val="0"/>
        </w:rPr>
        <w:tab/>
        <w:t>Application of s. 62</w:t>
      </w:r>
      <w:bookmarkEnd w:id="175"/>
      <w:bookmarkEnd w:id="176"/>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r>
        <w:tab/>
        <w:t>[Section 71 amended by No. 53 of 2004 s. 54.]</w:t>
      </w:r>
    </w:p>
    <w:p>
      <w:pPr>
        <w:pStyle w:val="Heading5"/>
        <w:rPr>
          <w:snapToGrid w:val="0"/>
        </w:rPr>
      </w:pPr>
      <w:bookmarkStart w:id="177" w:name="_Toc378249332"/>
      <w:bookmarkStart w:id="178" w:name="_Toc416875792"/>
      <w:r>
        <w:rPr>
          <w:rStyle w:val="CharSectno"/>
        </w:rPr>
        <w:t>72</w:t>
      </w:r>
      <w:r>
        <w:rPr>
          <w:snapToGrid w:val="0"/>
        </w:rPr>
        <w:t>.</w:t>
      </w:r>
      <w:r>
        <w:rPr>
          <w:snapToGrid w:val="0"/>
        </w:rPr>
        <w:tab/>
        <w:t>Power of restraining dealing with trust accounts or other accounts</w:t>
      </w:r>
      <w:bookmarkEnd w:id="177"/>
      <w:bookmarkEnd w:id="178"/>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 xml:space="preserve">there are reasonable grounds for believing that there is a deficiency in </w:t>
      </w:r>
      <w:r>
        <w:t>a trust account maintained in compliance with section 48 by</w:t>
      </w:r>
      <w:r>
        <w:rPr>
          <w:snapToGrid w:val="0"/>
        </w:rPr>
        <w:t xml:space="preserve">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w:t>
      </w:r>
    </w:p>
    <w:p>
      <w:pPr>
        <w:pStyle w:val="Indenti"/>
        <w:rPr>
          <w:snapToGrid w:val="0"/>
        </w:rPr>
      </w:pPr>
      <w:r>
        <w:rPr>
          <w:snapToGrid w:val="0"/>
        </w:rPr>
        <w:tab/>
        <w:t>(i)</w:t>
      </w:r>
      <w:r>
        <w:rPr>
          <w:snapToGrid w:val="0"/>
        </w:rPr>
        <w:tab/>
        <w:t xml:space="preserve">which are, or may be, or have been payable out of </w:t>
      </w:r>
      <w:r>
        <w:t>a trust account maintained in compliance with section 48 by</w:t>
      </w:r>
      <w:r>
        <w:rPr>
          <w:snapToGrid w:val="0"/>
        </w:rPr>
        <w:t xml:space="preserve"> the finance broker; or</w:t>
      </w:r>
    </w:p>
    <w:p>
      <w:pPr>
        <w:pStyle w:val="Indenti"/>
        <w:rPr>
          <w:snapToGrid w:val="0"/>
        </w:rPr>
      </w:pPr>
      <w:r>
        <w:rPr>
          <w:snapToGrid w:val="0"/>
        </w:rPr>
        <w:tab/>
        <w:t>(ii)</w:t>
      </w:r>
      <w:r>
        <w:rPr>
          <w:snapToGrid w:val="0"/>
        </w:rPr>
        <w:tab/>
        <w:t xml:space="preserve">which were required to be paid into </w:t>
      </w:r>
      <w:r>
        <w:t xml:space="preserve">a trust account </w:t>
      </w:r>
      <w:r>
        <w:rPr>
          <w:snapToGrid w:val="0"/>
        </w:rPr>
        <w:t>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rStyle w:val="CharDefText"/>
        </w:rPr>
        <w:t>finance broker</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by No. 53 of 2004 s. 55; No. 55 of 2004 s. 358; No. 14 of 2010 s. 69.]</w:t>
      </w:r>
    </w:p>
    <w:p>
      <w:pPr>
        <w:pStyle w:val="Ednotesection"/>
      </w:pPr>
      <w:r>
        <w:t>[</w:t>
      </w:r>
      <w:r>
        <w:rPr>
          <w:b/>
          <w:bCs/>
        </w:rPr>
        <w:t>73-80.</w:t>
      </w:r>
      <w:r>
        <w:tab/>
        <w:t>Deleted by No. 14 of 2010 s. 70.]</w:t>
      </w:r>
    </w:p>
    <w:p>
      <w:pPr>
        <w:pStyle w:val="Heading3"/>
        <w:spacing w:before="260"/>
        <w:rPr>
          <w:snapToGrid w:val="0"/>
        </w:rPr>
      </w:pPr>
      <w:bookmarkStart w:id="179" w:name="_Toc378249333"/>
      <w:bookmarkStart w:id="180" w:name="_Toc416875689"/>
      <w:bookmarkStart w:id="181" w:name="_Toc416875793"/>
      <w:r>
        <w:rPr>
          <w:rStyle w:val="CharDivNo"/>
        </w:rPr>
        <w:t>Division 3</w:t>
      </w:r>
      <w:r>
        <w:rPr>
          <w:snapToGrid w:val="0"/>
        </w:rPr>
        <w:t> — </w:t>
      </w:r>
      <w:r>
        <w:rPr>
          <w:rStyle w:val="CharDivText"/>
        </w:rPr>
        <w:t>Discipline</w:t>
      </w:r>
      <w:bookmarkEnd w:id="179"/>
      <w:bookmarkEnd w:id="180"/>
      <w:bookmarkEnd w:id="181"/>
      <w:r>
        <w:rPr>
          <w:rStyle w:val="CharDivText"/>
        </w:rPr>
        <w:t xml:space="preserve"> </w:t>
      </w:r>
    </w:p>
    <w:p>
      <w:pPr>
        <w:pStyle w:val="Heading5"/>
        <w:spacing w:before="240"/>
        <w:rPr>
          <w:snapToGrid w:val="0"/>
        </w:rPr>
      </w:pPr>
      <w:bookmarkStart w:id="182" w:name="_Toc378249334"/>
      <w:bookmarkStart w:id="183" w:name="_Toc416875794"/>
      <w:r>
        <w:rPr>
          <w:rStyle w:val="CharSectno"/>
        </w:rPr>
        <w:t>81</w:t>
      </w:r>
      <w:r>
        <w:rPr>
          <w:snapToGrid w:val="0"/>
        </w:rPr>
        <w:t>.</w:t>
      </w:r>
      <w:r>
        <w:rPr>
          <w:snapToGrid w:val="0"/>
        </w:rPr>
        <w:tab/>
        <w:t>Finance brokers code</w:t>
      </w:r>
      <w:bookmarkEnd w:id="182"/>
      <w:bookmarkEnd w:id="183"/>
      <w:r>
        <w:rPr>
          <w:snapToGrid w:val="0"/>
        </w:rPr>
        <w:t xml:space="preserve"> </w:t>
      </w:r>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r>
        <w:tab/>
        <w:t>[Section 81 amended by No. 53 of 2004 s. 63.]</w:t>
      </w:r>
    </w:p>
    <w:p>
      <w:pPr>
        <w:pStyle w:val="Heading5"/>
        <w:spacing w:before="240"/>
        <w:rPr>
          <w:snapToGrid w:val="0"/>
        </w:rPr>
      </w:pPr>
      <w:bookmarkStart w:id="184" w:name="_Toc378249335"/>
      <w:bookmarkStart w:id="185" w:name="_Toc416875795"/>
      <w:r>
        <w:rPr>
          <w:rStyle w:val="CharSectno"/>
        </w:rPr>
        <w:t>82</w:t>
      </w:r>
      <w:r>
        <w:t>.</w:t>
      </w:r>
      <w:r>
        <w:tab/>
        <w:t>Dis</w:t>
      </w:r>
      <w:r>
        <w:rPr>
          <w:snapToGrid w:val="0"/>
        </w:rPr>
        <w:t>ciplinary proceedings against finance brokers</w:t>
      </w:r>
      <w:bookmarkEnd w:id="184"/>
      <w:bookmarkEnd w:id="185"/>
    </w:p>
    <w:p>
      <w:pPr>
        <w:pStyle w:val="Subsection"/>
        <w:spacing w:before="180"/>
        <w:rPr>
          <w:snapToGrid w:val="0"/>
        </w:rPr>
      </w:pPr>
      <w:r>
        <w:tab/>
      </w:r>
      <w:r>
        <w:tab/>
      </w:r>
      <w:r>
        <w:rPr>
          <w:snapToGrid w:val="0"/>
        </w:rPr>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83(2), to be taken against — </w:t>
      </w:r>
    </w:p>
    <w:p>
      <w:pPr>
        <w:pStyle w:val="Indenta"/>
      </w:pPr>
      <w:r>
        <w:tab/>
        <w:t>(a)</w:t>
      </w:r>
      <w:r>
        <w:tab/>
        <w:t xml:space="preserve">a person who was immediately before the referral day a licensed finance broker; or </w:t>
      </w:r>
    </w:p>
    <w:p>
      <w:pPr>
        <w:pStyle w:val="Indenta"/>
        <w:rPr>
          <w:snapToGrid w:val="0"/>
        </w:rPr>
      </w:pPr>
      <w:r>
        <w:tab/>
        <w:t>(b)</w:t>
      </w:r>
      <w:r>
        <w:tab/>
        <w:t>a person who was a licensed finance broker when the conduct the subject of an inquiry allegedly occurred.</w:t>
      </w:r>
    </w:p>
    <w:p>
      <w:pPr>
        <w:pStyle w:val="Footnotesection"/>
      </w:pPr>
      <w:r>
        <w:tab/>
        <w:t>[Section 82 inserted by No. 55 of 2004 s. 354; amended by No. 53 of 2004 s. 64; No. 14 of 2010 s. 71.]</w:t>
      </w:r>
    </w:p>
    <w:p>
      <w:pPr>
        <w:pStyle w:val="Ednotesection"/>
        <w:rPr>
          <w:rStyle w:val="CharSectno"/>
        </w:rPr>
      </w:pPr>
      <w:r>
        <w:rPr>
          <w:rStyle w:val="CharSectno"/>
        </w:rPr>
        <w:t>[</w:t>
      </w:r>
      <w:r>
        <w:rPr>
          <w:rStyle w:val="CharSectno"/>
          <w:b/>
          <w:bCs/>
        </w:rPr>
        <w:t>82A.</w:t>
      </w:r>
      <w:r>
        <w:rPr>
          <w:rStyle w:val="CharSectno"/>
        </w:rPr>
        <w:tab/>
        <w:t>Deleted by No. 14 of 2010 s. 72.]</w:t>
      </w:r>
    </w:p>
    <w:p>
      <w:pPr>
        <w:pStyle w:val="Heading5"/>
        <w:rPr>
          <w:snapToGrid w:val="0"/>
        </w:rPr>
      </w:pPr>
      <w:bookmarkStart w:id="186" w:name="_Toc378249336"/>
      <w:bookmarkStart w:id="187" w:name="_Toc416875796"/>
      <w:r>
        <w:rPr>
          <w:rStyle w:val="CharSectno"/>
        </w:rPr>
        <w:t>83</w:t>
      </w:r>
      <w:r>
        <w:rPr>
          <w:snapToGrid w:val="0"/>
        </w:rPr>
        <w:t>.</w:t>
      </w:r>
      <w:r>
        <w:rPr>
          <w:snapToGrid w:val="0"/>
        </w:rPr>
        <w:tab/>
        <w:t>Powers on inquiry</w:t>
      </w:r>
      <w:bookmarkEnd w:id="186"/>
      <w:bookmarkEnd w:id="187"/>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both of the following things — </w:t>
      </w:r>
    </w:p>
    <w:p>
      <w:pPr>
        <w:pStyle w:val="Indenta"/>
        <w:rPr>
          <w:snapToGrid w:val="0"/>
        </w:rPr>
      </w:pPr>
      <w:r>
        <w:rPr>
          <w:snapToGrid w:val="0"/>
        </w:rPr>
        <w:tab/>
        <w:t>(a)</w:t>
      </w:r>
      <w:r>
        <w:rPr>
          <w:snapToGrid w:val="0"/>
        </w:rPr>
        <w:tab/>
        <w:t>reprimand or caution the finance broker; and</w:t>
      </w:r>
    </w:p>
    <w:p>
      <w:pPr>
        <w:pStyle w:val="Indenta"/>
        <w:rPr>
          <w:snapToGrid w:val="0"/>
        </w:rPr>
      </w:pPr>
      <w:r>
        <w:rPr>
          <w:snapToGrid w:val="0"/>
        </w:rPr>
        <w:tab/>
        <w:t>(b)</w:t>
      </w:r>
      <w:r>
        <w:rPr>
          <w:snapToGrid w:val="0"/>
        </w:rPr>
        <w:tab/>
        <w:t>impose a fine not exceeding $10 000 on him.</w:t>
      </w:r>
    </w:p>
    <w:p>
      <w:pPr>
        <w:pStyle w:val="Ednotepara"/>
        <w:rPr>
          <w:snapToGrid w:val="0"/>
        </w:rPr>
      </w:pPr>
      <w:r>
        <w:rPr>
          <w:snapToGrid w:val="0"/>
        </w:rPr>
        <w:tab/>
        <w:t>[(c)</w:t>
      </w:r>
      <w:r>
        <w:rPr>
          <w:snapToGrid w:val="0"/>
        </w:rPr>
        <w:tab/>
        <w:t>deleted]</w:t>
      </w:r>
    </w:p>
    <w:p>
      <w:pPr>
        <w:pStyle w:val="Subsection"/>
        <w:rPr>
          <w:snapToGrid w:val="0"/>
        </w:rPr>
      </w:pPr>
      <w:r>
        <w:rPr>
          <w:snapToGrid w:val="0"/>
        </w:rPr>
        <w:tab/>
        <w:t>(2)</w:t>
      </w:r>
      <w:r>
        <w:rPr>
          <w:snapToGrid w:val="0"/>
        </w:rPr>
        <w:tab/>
        <w:t xml:space="preserve">There shall be proper cause for disciplinary action </w:t>
      </w:r>
      <w:r>
        <w:t>if, before the referral day —</w:t>
      </w:r>
    </w:p>
    <w:p>
      <w:pPr>
        <w:pStyle w:val="Indenta"/>
        <w:rPr>
          <w:snapToGrid w:val="0"/>
        </w:rPr>
      </w:pPr>
      <w:r>
        <w:rPr>
          <w:snapToGrid w:val="0"/>
        </w:rPr>
        <w:tab/>
        <w:t>(a)</w:t>
      </w:r>
      <w:r>
        <w:rPr>
          <w:snapToGrid w:val="0"/>
        </w:rPr>
        <w:tab/>
        <w:t>the finance broker improperly obtained a licence;</w:t>
      </w:r>
    </w:p>
    <w:p>
      <w:pPr>
        <w:pStyle w:val="Indenta"/>
        <w:rPr>
          <w:snapToGrid w:val="0"/>
        </w:rPr>
      </w:pPr>
      <w:r>
        <w:rPr>
          <w:snapToGrid w:val="0"/>
        </w:rPr>
        <w:tab/>
        <w:t>(b)</w:t>
      </w:r>
      <w:r>
        <w:rPr>
          <w:snapToGrid w:val="0"/>
        </w:rPr>
        <w:tab/>
        <w:t xml:space="preserve">the finance broker, or any person acting with the authority or upon the instructions of the finance broker, in the course of any dealings with a borrower or a lender or a prospective borrower or lender, engaged in conduct that </w:t>
      </w:r>
      <w:r>
        <w:t>constituted</w:t>
      </w:r>
      <w:r>
        <w:rPr>
          <w:snapToGrid w:val="0"/>
        </w:rPr>
        <w:t xml:space="preserve"> a breach of any law other than this Act and that prejudices or may prejudice any rights or interests of the borrower or lender or prospective borrower or lender;</w:t>
      </w:r>
    </w:p>
    <w:p>
      <w:pPr>
        <w:pStyle w:val="Indenta"/>
        <w:keepNext/>
        <w:rPr>
          <w:snapToGrid w:val="0"/>
        </w:rPr>
      </w:pPr>
      <w:r>
        <w:rPr>
          <w:snapToGrid w:val="0"/>
        </w:rPr>
        <w:tab/>
        <w:t>(c)</w:t>
      </w:r>
      <w:r>
        <w:rPr>
          <w:snapToGrid w:val="0"/>
        </w:rPr>
        <w:tab/>
        <w:t>the finance broker acted in breach of — </w:t>
      </w:r>
    </w:p>
    <w:p>
      <w:pPr>
        <w:pStyle w:val="Indenti"/>
      </w:pPr>
      <w:r>
        <w:tab/>
        <w:t>(i)</w:t>
      </w:r>
      <w:r>
        <w:tab/>
        <w:t>a condition of his licence;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Ednotesubsection"/>
      </w:pPr>
      <w:r>
        <w:tab/>
        <w:t>[(3)</w:t>
      </w:r>
      <w:r>
        <w:tab/>
        <w:t>deleted]</w:t>
      </w:r>
    </w:p>
    <w:p>
      <w:pPr>
        <w:pStyle w:val="Footnotesection"/>
      </w:pPr>
      <w:r>
        <w:tab/>
        <w:t>[Section 83 amended by No. 56 of 1995 s. 23; No. 53 of 2004 s. 66; No. 55 of 2004 s. 355; No. 14 of 2010 s. 73.]</w:t>
      </w:r>
    </w:p>
    <w:p>
      <w:pPr>
        <w:pStyle w:val="Heading2"/>
      </w:pPr>
      <w:bookmarkStart w:id="188" w:name="_Toc378249337"/>
      <w:bookmarkStart w:id="189" w:name="_Toc416875693"/>
      <w:bookmarkStart w:id="190" w:name="_Toc416875797"/>
      <w:r>
        <w:rPr>
          <w:rStyle w:val="CharPartNo"/>
        </w:rPr>
        <w:t>Part V</w:t>
      </w:r>
      <w:r>
        <w:rPr>
          <w:rStyle w:val="CharDivNo"/>
        </w:rPr>
        <w:t> </w:t>
      </w:r>
      <w:r>
        <w:t>—</w:t>
      </w:r>
      <w:r>
        <w:rPr>
          <w:rStyle w:val="CharDivText"/>
        </w:rPr>
        <w:t> </w:t>
      </w:r>
      <w:r>
        <w:rPr>
          <w:rStyle w:val="CharPartText"/>
        </w:rPr>
        <w:t>Miscellaneous</w:t>
      </w:r>
      <w:bookmarkEnd w:id="188"/>
      <w:bookmarkEnd w:id="189"/>
      <w:bookmarkEnd w:id="190"/>
      <w:r>
        <w:rPr>
          <w:rStyle w:val="CharPartText"/>
        </w:rPr>
        <w:t xml:space="preserve"> </w:t>
      </w:r>
    </w:p>
    <w:p>
      <w:pPr>
        <w:pStyle w:val="Ednotesection"/>
        <w:rPr>
          <w:rStyle w:val="CharSectno"/>
        </w:rPr>
      </w:pPr>
      <w:r>
        <w:rPr>
          <w:rStyle w:val="CharSectno"/>
        </w:rPr>
        <w:t>[</w:t>
      </w:r>
      <w:r>
        <w:rPr>
          <w:rStyle w:val="CharSectno"/>
          <w:b/>
          <w:bCs/>
        </w:rPr>
        <w:t>84.</w:t>
      </w:r>
      <w:r>
        <w:rPr>
          <w:rStyle w:val="CharSectno"/>
        </w:rPr>
        <w:tab/>
        <w:t>Deleted by No. 14 of 2010 s. 74.]</w:t>
      </w:r>
    </w:p>
    <w:p>
      <w:pPr>
        <w:pStyle w:val="Heading5"/>
        <w:rPr>
          <w:snapToGrid w:val="0"/>
        </w:rPr>
      </w:pPr>
      <w:bookmarkStart w:id="191" w:name="_Toc378249338"/>
      <w:bookmarkStart w:id="192" w:name="_Toc416875798"/>
      <w:r>
        <w:rPr>
          <w:rStyle w:val="CharSectno"/>
        </w:rPr>
        <w:t>85</w:t>
      </w:r>
      <w:r>
        <w:rPr>
          <w:snapToGrid w:val="0"/>
        </w:rPr>
        <w:t>.</w:t>
      </w:r>
      <w:r>
        <w:rPr>
          <w:snapToGrid w:val="0"/>
        </w:rPr>
        <w:tab/>
        <w:t>Lists and certificates</w:t>
      </w:r>
      <w:bookmarkEnd w:id="191"/>
      <w:bookmarkEnd w:id="192"/>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was or was not, licensed on </w:t>
      </w:r>
      <w:r>
        <w:t>the date referred to</w:t>
      </w:r>
      <w:r>
        <w:rPr>
          <w:snapToGrid w:val="0"/>
        </w:rPr>
        <w:t xml:space="preserve"> in the </w:t>
      </w:r>
      <w:r>
        <w:t>certificate</w:t>
      </w:r>
      <w:r>
        <w:rPr>
          <w:snapToGrid w:val="0"/>
        </w:rPr>
        <w:t xml:space="preserve"> shall, in the absence of proof to the contrary, be taken as proof of the matter so certified.</w:t>
      </w:r>
    </w:p>
    <w:p>
      <w:pPr>
        <w:pStyle w:val="Ednotesubsection"/>
      </w:pPr>
      <w:r>
        <w:tab/>
        <w:t>[(4)</w:t>
      </w:r>
      <w:r>
        <w:tab/>
        <w:t>deleted]</w:t>
      </w:r>
    </w:p>
    <w:p>
      <w:pPr>
        <w:pStyle w:val="Footnotesection"/>
      </w:pPr>
      <w:r>
        <w:tab/>
        <w:t>[Section 85 amended by No. 56 of 1995 s. 23(2); No. 53 of 2004 s. 68; No. 14 of 2010 s. 75.]</w:t>
      </w:r>
    </w:p>
    <w:p>
      <w:pPr>
        <w:pStyle w:val="Ednotesection"/>
      </w:pPr>
      <w:r>
        <w:t>[</w:t>
      </w:r>
      <w:r>
        <w:rPr>
          <w:b/>
          <w:bCs/>
        </w:rPr>
        <w:t>86.</w:t>
      </w:r>
      <w:r>
        <w:tab/>
        <w:t>Deleted by No. 53 of 2004 s. 69.]</w:t>
      </w:r>
    </w:p>
    <w:p>
      <w:pPr>
        <w:pStyle w:val="Heading5"/>
        <w:rPr>
          <w:snapToGrid w:val="0"/>
        </w:rPr>
      </w:pPr>
      <w:bookmarkStart w:id="193" w:name="_Toc378249339"/>
      <w:bookmarkStart w:id="194" w:name="_Toc416875799"/>
      <w:r>
        <w:rPr>
          <w:rStyle w:val="CharSectno"/>
        </w:rPr>
        <w:t>87</w:t>
      </w:r>
      <w:r>
        <w:rPr>
          <w:snapToGrid w:val="0"/>
        </w:rPr>
        <w:t>.</w:t>
      </w:r>
      <w:r>
        <w:rPr>
          <w:snapToGrid w:val="0"/>
        </w:rPr>
        <w:tab/>
        <w:t>Immunity of officers</w:t>
      </w:r>
      <w:bookmarkEnd w:id="193"/>
      <w:bookmarkEnd w:id="194"/>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by No. 53 of 2004 s. 70.]</w:t>
      </w:r>
    </w:p>
    <w:p>
      <w:pPr>
        <w:pStyle w:val="Heading5"/>
      </w:pPr>
      <w:bookmarkStart w:id="195" w:name="_Toc378249340"/>
      <w:bookmarkStart w:id="196" w:name="_Toc416875800"/>
      <w:r>
        <w:rPr>
          <w:rStyle w:val="CharSectno"/>
        </w:rPr>
        <w:t>88</w:t>
      </w:r>
      <w:r>
        <w:t>.</w:t>
      </w:r>
      <w:r>
        <w:tab/>
        <w:t>Secrecy</w:t>
      </w:r>
      <w:bookmarkEnd w:id="195"/>
      <w:bookmarkEnd w:id="196"/>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rPr>
          <w:snapToGrid w:val="0"/>
        </w:rPr>
      </w:pPr>
      <w:r>
        <w:rPr>
          <w:snapToGrid w:val="0"/>
        </w:rPr>
        <w:tab/>
        <w:t>(a)</w:t>
      </w:r>
      <w:r>
        <w:rPr>
          <w:snapToGrid w:val="0"/>
        </w:rPr>
        <w:tab/>
        <w:t>for the purpose of performing a function under or in connection with this Act;</w:t>
      </w:r>
    </w:p>
    <w:p>
      <w:pPr>
        <w:pStyle w:val="Indenta"/>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w:t>
      </w:r>
    </w:p>
    <w:p>
      <w:pPr>
        <w:pStyle w:val="Indenta"/>
        <w:rPr>
          <w:snapToGrid w:val="0"/>
        </w:rPr>
      </w:pPr>
      <w:r>
        <w:rPr>
          <w:snapToGrid w:val="0"/>
        </w:rPr>
        <w:tab/>
        <w:t>(c)</w:t>
      </w:r>
      <w:r>
        <w:rPr>
          <w:snapToGrid w:val="0"/>
        </w:rPr>
        <w:tab/>
        <w:t>for the purposes of legal proceedings arising out of the administration of this Act or another written law;</w:t>
      </w:r>
    </w:p>
    <w:p>
      <w:pPr>
        <w:pStyle w:val="Indenta"/>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rPr>
          <w:snapToGrid w:val="0"/>
        </w:rPr>
      </w:pPr>
      <w:r>
        <w:rPr>
          <w:snapToGrid w:val="0"/>
        </w:rPr>
        <w:tab/>
        <w:t>(e)</w:t>
      </w:r>
      <w:r>
        <w:rPr>
          <w:snapToGrid w:val="0"/>
        </w:rPr>
        <w:tab/>
        <w:t xml:space="preserve">by the Commissioner for the purpose of making the public aware of — </w:t>
      </w:r>
    </w:p>
    <w:p>
      <w:pPr>
        <w:pStyle w:val="Indenti"/>
      </w:pPr>
      <w:r>
        <w:tab/>
        <w:t>(i)</w:t>
      </w:r>
      <w:r>
        <w:tab/>
        <w:t>investigations or inquiries being conducted into the conduct of a licensee, a former licensee or a purported licensee, and the results of those inquiries; and</w:t>
      </w:r>
    </w:p>
    <w:p>
      <w:pPr>
        <w:pStyle w:val="Indenti"/>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r>
      <w:r>
        <w:rPr>
          <w:rStyle w:val="CharDefText"/>
        </w:rPr>
        <w:t>former Board</w:t>
      </w:r>
      <w:r>
        <w:t xml:space="preserve"> means the Finance Brokers Supervisory Board constituted under section 6 of this Act immediately before the commencement of the </w:t>
      </w:r>
      <w:r>
        <w:rPr>
          <w:i/>
        </w:rPr>
        <w:t>Finance Brokers Control Amendment Act 2004</w:t>
      </w:r>
      <w:r>
        <w:rPr>
          <w:i/>
          <w:vertAlign w:val="superscript"/>
        </w:rPr>
        <w:t> </w:t>
      </w:r>
      <w:r>
        <w:rPr>
          <w:iCs/>
          <w:vertAlign w:val="superscript"/>
        </w:rPr>
        <w:t>1</w:t>
      </w:r>
      <w:r>
        <w:t>.</w:t>
      </w:r>
    </w:p>
    <w:p>
      <w:pPr>
        <w:pStyle w:val="Footnotesection"/>
      </w:pPr>
      <w:r>
        <w:tab/>
        <w:t>[Section 88 inserted by No. 53 of 2004 s. 71.]</w:t>
      </w:r>
    </w:p>
    <w:p>
      <w:pPr>
        <w:pStyle w:val="Heading5"/>
        <w:rPr>
          <w:snapToGrid w:val="0"/>
        </w:rPr>
      </w:pPr>
      <w:bookmarkStart w:id="197" w:name="_Toc378249341"/>
      <w:bookmarkStart w:id="198" w:name="_Toc416875801"/>
      <w:r>
        <w:rPr>
          <w:rStyle w:val="CharSectno"/>
        </w:rPr>
        <w:t>89</w:t>
      </w:r>
      <w:r>
        <w:rPr>
          <w:snapToGrid w:val="0"/>
        </w:rPr>
        <w:t>.</w:t>
      </w:r>
      <w:r>
        <w:rPr>
          <w:snapToGrid w:val="0"/>
        </w:rPr>
        <w:tab/>
        <w:t>Liability of directors of body corporate</w:t>
      </w:r>
      <w:bookmarkEnd w:id="197"/>
      <w:bookmarkEnd w:id="198"/>
      <w:r>
        <w:rPr>
          <w:snapToGrid w:val="0"/>
        </w:rPr>
        <w:t xml:space="preserve"> </w:t>
      </w:r>
    </w:p>
    <w:p>
      <w:pPr>
        <w:pStyle w:val="Subsection"/>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199" w:name="_Toc378249342"/>
      <w:bookmarkStart w:id="200" w:name="_Toc416875802"/>
      <w:r>
        <w:rPr>
          <w:rStyle w:val="CharSectno"/>
        </w:rPr>
        <w:t>90</w:t>
      </w:r>
      <w:r>
        <w:rPr>
          <w:snapToGrid w:val="0"/>
        </w:rPr>
        <w:t>.</w:t>
      </w:r>
      <w:r>
        <w:rPr>
          <w:snapToGrid w:val="0"/>
        </w:rPr>
        <w:tab/>
        <w:t>Other rights or remedies</w:t>
      </w:r>
      <w:bookmarkEnd w:id="199"/>
      <w:bookmarkEnd w:id="200"/>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201" w:name="_Toc378249343"/>
      <w:bookmarkStart w:id="202" w:name="_Toc416875803"/>
      <w:r>
        <w:rPr>
          <w:rStyle w:val="CharSectno"/>
        </w:rPr>
        <w:t>91</w:t>
      </w:r>
      <w:r>
        <w:rPr>
          <w:snapToGrid w:val="0"/>
        </w:rPr>
        <w:t>.</w:t>
      </w:r>
      <w:r>
        <w:rPr>
          <w:snapToGrid w:val="0"/>
        </w:rPr>
        <w:tab/>
        <w:t>No waiver of rights</w:t>
      </w:r>
      <w:bookmarkEnd w:id="201"/>
      <w:bookmarkEnd w:id="202"/>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203" w:name="_Toc378249344"/>
      <w:bookmarkStart w:id="204" w:name="_Toc416875804"/>
      <w:r>
        <w:rPr>
          <w:rStyle w:val="CharSectno"/>
        </w:rPr>
        <w:t>92</w:t>
      </w:r>
      <w:r>
        <w:rPr>
          <w:snapToGrid w:val="0"/>
        </w:rPr>
        <w:t>.</w:t>
      </w:r>
      <w:r>
        <w:rPr>
          <w:snapToGrid w:val="0"/>
        </w:rPr>
        <w:tab/>
        <w:t>General penalty</w:t>
      </w:r>
      <w:bookmarkEnd w:id="203"/>
      <w:bookmarkEnd w:id="204"/>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by No. 53 of 2004 s. 72.]</w:t>
      </w:r>
    </w:p>
    <w:p>
      <w:pPr>
        <w:pStyle w:val="Heading5"/>
        <w:spacing w:before="180"/>
      </w:pPr>
      <w:bookmarkStart w:id="205" w:name="_Toc378249345"/>
      <w:bookmarkStart w:id="206" w:name="_Toc416875805"/>
      <w:r>
        <w:rPr>
          <w:rStyle w:val="CharSectno"/>
        </w:rPr>
        <w:t>92A</w:t>
      </w:r>
      <w:r>
        <w:t>.</w:t>
      </w:r>
      <w:r>
        <w:tab/>
        <w:t>Infringement notices</w:t>
      </w:r>
      <w:bookmarkEnd w:id="205"/>
      <w:bookmarkEnd w:id="206"/>
    </w:p>
    <w:p>
      <w:pPr>
        <w:pStyle w:val="Subsection"/>
        <w:spacing w:before="120"/>
      </w:pPr>
      <w:r>
        <w:tab/>
        <w:t>(1)</w:t>
      </w:r>
      <w:r>
        <w:tab/>
        <w:t>In subsection (2), (3), (6), or (7) —</w:t>
      </w:r>
    </w:p>
    <w:p>
      <w:pPr>
        <w:pStyle w:val="Defstart"/>
      </w:pPr>
      <w:r>
        <w:tab/>
      </w:r>
      <w:r>
        <w:rPr>
          <w:rStyle w:val="CharDefText"/>
        </w:rPr>
        <w:t>authorised person</w:t>
      </w:r>
      <w:r>
        <w:t xml:space="preserve"> means a person appointed under subsection (13) by the chief executive officer to be an authorised person for the purposes of the subsection in which the term is used.</w:t>
      </w:r>
    </w:p>
    <w:p>
      <w:pPr>
        <w:pStyle w:val="Subsection"/>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by No. 53 of 2004 s. 73; amended by No. 84 of 2004 s. 80.]</w:t>
      </w:r>
    </w:p>
    <w:p>
      <w:pPr>
        <w:pStyle w:val="Ednotesection"/>
        <w:rPr>
          <w:rStyle w:val="CharSectno"/>
        </w:rPr>
      </w:pPr>
      <w:r>
        <w:rPr>
          <w:rStyle w:val="CharSectno"/>
        </w:rPr>
        <w:t>[</w:t>
      </w:r>
      <w:r>
        <w:rPr>
          <w:rStyle w:val="CharSectno"/>
          <w:b/>
          <w:bCs/>
        </w:rPr>
        <w:t>92B.</w:t>
      </w:r>
      <w:r>
        <w:rPr>
          <w:rStyle w:val="CharSectno"/>
        </w:rPr>
        <w:tab/>
        <w:t>Deleted by No. 14 of 2010 s. 76.]</w:t>
      </w:r>
    </w:p>
    <w:p>
      <w:pPr>
        <w:pStyle w:val="Heading5"/>
        <w:rPr>
          <w:snapToGrid w:val="0"/>
        </w:rPr>
      </w:pPr>
      <w:bookmarkStart w:id="207" w:name="_Toc378249346"/>
      <w:bookmarkStart w:id="208" w:name="_Toc416875806"/>
      <w:r>
        <w:rPr>
          <w:rStyle w:val="CharSectno"/>
        </w:rPr>
        <w:t>93</w:t>
      </w:r>
      <w:r>
        <w:rPr>
          <w:snapToGrid w:val="0"/>
        </w:rPr>
        <w:t>.</w:t>
      </w:r>
      <w:r>
        <w:rPr>
          <w:snapToGrid w:val="0"/>
        </w:rPr>
        <w:tab/>
        <w:t>Proceedings</w:t>
      </w:r>
      <w:bookmarkEnd w:id="207"/>
      <w:bookmarkEnd w:id="208"/>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by No. 56 of 1995 s. 23(2); No. 53 of 2004 s. 74; No. 59 of 2004 s. 141; No. 84 of 2004 s. 78.]</w:t>
      </w:r>
    </w:p>
    <w:p>
      <w:pPr>
        <w:pStyle w:val="Heading5"/>
        <w:rPr>
          <w:snapToGrid w:val="0"/>
        </w:rPr>
      </w:pPr>
      <w:bookmarkStart w:id="209" w:name="_Toc378249347"/>
      <w:bookmarkStart w:id="210" w:name="_Toc416875807"/>
      <w:r>
        <w:rPr>
          <w:rStyle w:val="CharSectno"/>
        </w:rPr>
        <w:t>94</w:t>
      </w:r>
      <w:r>
        <w:rPr>
          <w:snapToGrid w:val="0"/>
        </w:rPr>
        <w:t>.</w:t>
      </w:r>
      <w:r>
        <w:rPr>
          <w:snapToGrid w:val="0"/>
        </w:rPr>
        <w:tab/>
        <w:t>Forms</w:t>
      </w:r>
      <w:bookmarkEnd w:id="209"/>
      <w:bookmarkEnd w:id="210"/>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by No. 53 of 2004 s. 75.]</w:t>
      </w:r>
    </w:p>
    <w:p>
      <w:pPr>
        <w:pStyle w:val="Heading5"/>
        <w:rPr>
          <w:snapToGrid w:val="0"/>
        </w:rPr>
      </w:pPr>
      <w:bookmarkStart w:id="211" w:name="_Toc378249348"/>
      <w:bookmarkStart w:id="212" w:name="_Toc416875808"/>
      <w:r>
        <w:rPr>
          <w:rStyle w:val="CharSectno"/>
        </w:rPr>
        <w:t>95</w:t>
      </w:r>
      <w:r>
        <w:rPr>
          <w:snapToGrid w:val="0"/>
        </w:rPr>
        <w:t>.</w:t>
      </w:r>
      <w:r>
        <w:rPr>
          <w:snapToGrid w:val="0"/>
        </w:rPr>
        <w:tab/>
        <w:t>Regulations</w:t>
      </w:r>
      <w:bookmarkEnd w:id="211"/>
      <w:bookmarkEnd w:id="212"/>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 xml:space="preserve">prescribe, and provide for the recovery of, any fee for the purposes of this Act, but not in connection with the commencement of a proceeding before the State </w:t>
      </w:r>
      <w:r>
        <w:rPr>
          <w:snapToGrid w:val="0"/>
          <w:spacing w:val="-4"/>
        </w:rPr>
        <w:t>Administrative Tribunal</w:t>
      </w:r>
      <w:r>
        <w:rPr>
          <w:snapToGrid w:val="0"/>
        </w:rPr>
        <w:t>;</w:t>
      </w:r>
    </w:p>
    <w:p>
      <w:pPr>
        <w:pStyle w:val="Indenta"/>
      </w:pPr>
      <w:r>
        <w:tab/>
        <w:t>(ea)</w:t>
      </w:r>
      <w:r>
        <w:tab/>
        <w:t>provide for the refund, on the expiry of a licence under section 30(1A), of the whole or part of a fee paid on the grant or most recent renewal of the licence;</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rPr>
          <w:i w:val="0"/>
        </w:rPr>
      </w:pPr>
      <w:r>
        <w:tab/>
        <w:t>[Section 95 amended by No. 65 of 1987 s. 37; No. 56 of 1995 s. 22; No. 53 of 2004 s. 76; No. 55 of 2004 s. 357; No. 14 of 2010 s. 77.]</w:t>
      </w:r>
    </w:p>
    <w:p>
      <w:pPr>
        <w:pStyle w:val="Ednotepart"/>
        <w:spacing w:before="400"/>
      </w:pPr>
      <w:r>
        <w:t>[Part VI (s. 96-98) deleted by No. 53 of 2004 s. 77.]</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13" w:name="_Toc378249349"/>
      <w:bookmarkStart w:id="214" w:name="_Toc416875705"/>
      <w:bookmarkStart w:id="215" w:name="_Toc416875809"/>
      <w:r>
        <w:rPr>
          <w:rStyle w:val="CharSchNo"/>
        </w:rPr>
        <w:t>Schedule</w:t>
      </w:r>
      <w:r>
        <w:t xml:space="preserve"> — </w:t>
      </w:r>
      <w:r>
        <w:rPr>
          <w:rStyle w:val="CharSchText"/>
        </w:rPr>
        <w:t>Formula for calculating percentage rate of interest</w:t>
      </w:r>
      <w:bookmarkEnd w:id="213"/>
      <w:bookmarkEnd w:id="214"/>
      <w:bookmarkEnd w:id="215"/>
    </w:p>
    <w:p>
      <w:pPr>
        <w:pStyle w:val="yShoulderClause"/>
        <w:rPr>
          <w:snapToGrid w:val="0"/>
        </w:rPr>
      </w:pPr>
      <w:r>
        <w:rPr>
          <w:snapToGrid w:val="0"/>
        </w:rPr>
        <w:t>[s. 45]</w:t>
      </w:r>
    </w:p>
    <w:p>
      <w:pPr>
        <w:pStyle w:val="yFootnotesection"/>
      </w:pPr>
      <w:r>
        <w:tab/>
        <w:t>[Heading amended by No. 19 of 2010 s. 4.]</w:t>
      </w:r>
    </w:p>
    <w:p>
      <w:pPr>
        <w:pStyle w:val="yHeading5"/>
        <w:rPr>
          <w:snapToGrid w:val="0"/>
        </w:rPr>
      </w:pPr>
      <w:bookmarkStart w:id="216" w:name="_Toc378249350"/>
      <w:bookmarkStart w:id="217" w:name="_Toc416875810"/>
      <w:r>
        <w:rPr>
          <w:rStyle w:val="CharSClsNo"/>
        </w:rPr>
        <w:t>1</w:t>
      </w:r>
      <w:r>
        <w:rPr>
          <w:snapToGrid w:val="0"/>
        </w:rPr>
        <w:t>.</w:t>
      </w:r>
      <w:r>
        <w:rPr>
          <w:snapToGrid w:val="0"/>
        </w:rPr>
        <w:tab/>
        <w:t>Formula for calculating percentage rate of interest</w:t>
      </w:r>
      <w:bookmarkEnd w:id="216"/>
      <w:bookmarkEnd w:id="217"/>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(a)</w:t>
      </w:r>
      <w:r>
        <w:rPr>
          <w:snapToGrid w:val="0"/>
        </w:rPr>
        <w:tab/>
        <w:t>to calculate the flat rate of interest per cent:</w:t>
      </w:r>
    </w:p>
    <w:p>
      <w:pPr>
        <w:pStyle w:val="Equation"/>
        <w:tabs>
          <w:tab w:val="left" w:pos="2410"/>
        </w:tabs>
        <w:spacing w:before="80"/>
        <w:rPr>
          <w:snapToGrid w:val="0"/>
          <w:sz w:val="22"/>
        </w:rPr>
      </w:pPr>
      <w:r>
        <w:rPr>
          <w:snapToGrid w:val="0"/>
          <w:sz w:val="22"/>
        </w:rPr>
        <w:tab/>
      </w:r>
      <w:r>
        <w:rPr>
          <w:snapToGrid w:val="0"/>
          <w:position w:val="-30"/>
          <w:sz w:val="22"/>
        </w:rPr>
        <w:object w:dxaOrig="1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o:ole="" fillcolor="window">
            <v:imagedata r:id="rId26" o:title=""/>
          </v:shape>
          <o:OLEObject Type="Embed" ProgID="Equation.3" ShapeID="_x0000_i1025" DrawAspect="Content" ObjectID="_1643250700" r:id="rId27"/>
        </w:object>
      </w:r>
    </w:p>
    <w:p>
      <w:pPr>
        <w:pStyle w:val="yIndenta"/>
        <w:rPr>
          <w:snapToGrid w:val="0"/>
        </w:rPr>
      </w:pPr>
      <w:r>
        <w:rPr>
          <w:snapToGrid w:val="0"/>
        </w:rPr>
        <w:tab/>
        <w:t>(b)</w:t>
      </w:r>
      <w:r>
        <w:rPr>
          <w:snapToGrid w:val="0"/>
        </w:rPr>
        <w:tab/>
        <w:t>to convert the flat rate of interest per cent into the nominal annual percentage rate:</w:t>
      </w:r>
    </w:p>
    <w:p>
      <w:pPr>
        <w:pStyle w:val="Equation"/>
        <w:tabs>
          <w:tab w:val="left" w:pos="2410"/>
        </w:tabs>
        <w:spacing w:before="80"/>
        <w:rPr>
          <w:sz w:val="22"/>
        </w:rPr>
      </w:pPr>
      <w:r>
        <w:rPr>
          <w:snapToGrid w:val="0"/>
          <w:sz w:val="22"/>
        </w:rPr>
        <w:tab/>
      </w:r>
      <w:r>
        <w:rPr>
          <w:position w:val="-30"/>
          <w:sz w:val="22"/>
        </w:rPr>
        <w:object w:dxaOrig="2740" w:dyaOrig="680">
          <v:shape id="_x0000_i1026" type="#_x0000_t75" style="width:143.25pt;height:33.75pt" o:ole="" fillcolor="window">
            <v:imagedata r:id="rId28" o:title=""/>
          </v:shape>
          <o:OLEObject Type="Embed" ProgID="Equation.3" ShapeID="_x0000_i1026" DrawAspect="Content" ObjectID="_1643250701" r:id="rId29"/>
        </w:object>
      </w:r>
    </w:p>
    <w:p>
      <w:pPr>
        <w:pStyle w:val="ySubsection"/>
        <w:rPr>
          <w:snapToGrid w:val="0"/>
        </w:rPr>
      </w:pPr>
      <w:r>
        <w:rPr>
          <w:snapToGrid w:val="0"/>
        </w:rPr>
        <w:tab/>
      </w:r>
      <w:r>
        <w:rPr>
          <w:snapToGrid w:val="0"/>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(2B)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pStyle w:val="yFootnotesection"/>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r>
        <w:tab/>
        <w:t>[Clause 1 amended by No. 19 of 2010 s. 51.]</w:t>
      </w:r>
    </w:p>
    <w:p>
      <w:pPr>
        <w:pStyle w:val="nHeading2"/>
      </w:pPr>
      <w:bookmarkStart w:id="219" w:name="_Toc378249351"/>
      <w:bookmarkStart w:id="220" w:name="_Toc416875707"/>
      <w:bookmarkStart w:id="221" w:name="_Toc416875811"/>
      <w:r>
        <w:t>Notes</w:t>
      </w:r>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noProof/>
          <w:snapToGrid w:val="0"/>
        </w:rPr>
        <w:t>Finance Brokers Control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22" w:name="_Toc378249352"/>
      <w:bookmarkStart w:id="223" w:name="_Toc416875812"/>
      <w:r>
        <w:rPr>
          <w:snapToGrid w:val="0"/>
        </w:rPr>
        <w:t>Compilation table</w:t>
      </w:r>
      <w:bookmarkEnd w:id="222"/>
      <w:bookmarkEnd w:id="223"/>
    </w:p>
    <w:tbl>
      <w:tblPr>
        <w:tblW w:w="7060" w:type="dxa"/>
        <w:tblInd w:w="55" w:type="dxa"/>
        <w:tblBorders>
          <w:bottom w:val="single" w:sz="4" w:space="0" w:color="auto"/>
        </w:tblBorders>
        <w:tblLayout w:type="fixed"/>
        <w:tblCellMar>
          <w:left w:w="56" w:type="dxa"/>
          <w:right w:w="56" w:type="dxa"/>
        </w:tblCellMar>
        <w:tblLook w:val="0000" w:firstRow="0" w:lastRow="0" w:firstColumn="0" w:lastColumn="0" w:noHBand="0" w:noVBand="0"/>
      </w:tblPr>
      <w:tblGrid>
        <w:gridCol w:w="15"/>
        <w:gridCol w:w="2221"/>
        <w:gridCol w:w="22"/>
        <w:gridCol w:w="1112"/>
        <w:gridCol w:w="18"/>
        <w:gridCol w:w="1113"/>
        <w:gridCol w:w="17"/>
        <w:gridCol w:w="2526"/>
        <w:gridCol w:w="16"/>
      </w:tblGrid>
      <w:tr>
        <w:trPr>
          <w:cantSplit/>
          <w:tblHeader/>
        </w:trPr>
        <w:tc>
          <w:tcPr>
            <w:tcW w:w="2258" w:type="dxa"/>
            <w:gridSpan w:val="3"/>
            <w:tcBorders>
              <w:top w:val="single" w:sz="8" w:space="0" w:color="auto"/>
              <w:bottom w:val="single" w:sz="8" w:space="0" w:color="auto"/>
            </w:tcBorders>
          </w:tcPr>
          <w:p>
            <w:pPr>
              <w:pStyle w:val="nTable"/>
              <w:spacing w:after="40"/>
              <w:ind w:right="113"/>
              <w:rPr>
                <w:b/>
              </w:rPr>
            </w:pPr>
            <w:r>
              <w:rPr>
                <w:b/>
              </w:rPr>
              <w:t>Short title</w:t>
            </w:r>
          </w:p>
        </w:tc>
        <w:tc>
          <w:tcPr>
            <w:tcW w:w="1130" w:type="dxa"/>
            <w:gridSpan w:val="2"/>
            <w:tcBorders>
              <w:top w:val="single" w:sz="8" w:space="0" w:color="auto"/>
              <w:bottom w:val="single" w:sz="8" w:space="0" w:color="auto"/>
            </w:tcBorders>
          </w:tcPr>
          <w:p>
            <w:pPr>
              <w:pStyle w:val="nTable"/>
              <w:spacing w:after="40"/>
              <w:rPr>
                <w:b/>
              </w:rPr>
            </w:pPr>
            <w:r>
              <w:rPr>
                <w:b/>
              </w:rPr>
              <w:t>Number and year</w:t>
            </w:r>
          </w:p>
        </w:tc>
        <w:tc>
          <w:tcPr>
            <w:tcW w:w="1130" w:type="dxa"/>
            <w:gridSpan w:val="2"/>
            <w:tcBorders>
              <w:top w:val="single" w:sz="8" w:space="0" w:color="auto"/>
              <w:bottom w:val="single" w:sz="8" w:space="0" w:color="auto"/>
            </w:tcBorders>
          </w:tcPr>
          <w:p>
            <w:pPr>
              <w:pStyle w:val="nTable"/>
              <w:spacing w:after="40"/>
              <w:rPr>
                <w:b/>
              </w:rPr>
            </w:pPr>
            <w:r>
              <w:rPr>
                <w:b/>
              </w:rPr>
              <w:t>Assent</w:t>
            </w:r>
          </w:p>
        </w:tc>
        <w:tc>
          <w:tcPr>
            <w:tcW w:w="254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58" w:type="dxa"/>
            <w:gridSpan w:val="3"/>
            <w:tcBorders>
              <w:top w:val="nil"/>
            </w:tcBorders>
          </w:tcPr>
          <w:p>
            <w:pPr>
              <w:pStyle w:val="nTable"/>
              <w:spacing w:after="40"/>
              <w:ind w:right="113"/>
            </w:pPr>
            <w:r>
              <w:rPr>
                <w:i/>
              </w:rPr>
              <w:t>Finance Brokers Control Act 1975</w:t>
            </w:r>
          </w:p>
        </w:tc>
        <w:tc>
          <w:tcPr>
            <w:tcW w:w="1130" w:type="dxa"/>
            <w:gridSpan w:val="2"/>
            <w:tcBorders>
              <w:top w:val="nil"/>
            </w:tcBorders>
          </w:tcPr>
          <w:p>
            <w:pPr>
              <w:pStyle w:val="nTable"/>
              <w:spacing w:after="40"/>
            </w:pPr>
            <w:r>
              <w:t>88 of 1975</w:t>
            </w:r>
          </w:p>
        </w:tc>
        <w:tc>
          <w:tcPr>
            <w:tcW w:w="1130" w:type="dxa"/>
            <w:gridSpan w:val="2"/>
            <w:tcBorders>
              <w:top w:val="nil"/>
            </w:tcBorders>
          </w:tcPr>
          <w:p>
            <w:pPr>
              <w:pStyle w:val="nTable"/>
              <w:spacing w:after="40"/>
            </w:pPr>
            <w:r>
              <w:t>20 Nov 1975</w:t>
            </w:r>
          </w:p>
        </w:tc>
        <w:tc>
          <w:tcPr>
            <w:tcW w:w="2542" w:type="dxa"/>
            <w:gridSpan w:val="2"/>
            <w:tcBorders>
              <w:top w:val="nil"/>
            </w:tcBorders>
          </w:tcPr>
          <w:p>
            <w:pPr>
              <w:pStyle w:val="nTable"/>
              <w:spacing w:after="40"/>
            </w:pPr>
            <w:r>
              <w:t>1 Nov 1976 (see s. 2 and</w:t>
            </w:r>
            <w:r>
              <w:rPr>
                <w:i/>
              </w:rPr>
              <w:t xml:space="preserve"> Gazette </w:t>
            </w:r>
            <w:r>
              <w:t>29 Oct 1976 p. 4103)</w:t>
            </w:r>
          </w:p>
        </w:tc>
      </w:tr>
      <w:tr>
        <w:trPr>
          <w:cantSplit/>
        </w:trPr>
        <w:tc>
          <w:tcPr>
            <w:tcW w:w="2258" w:type="dxa"/>
            <w:gridSpan w:val="3"/>
          </w:tcPr>
          <w:p>
            <w:pPr>
              <w:pStyle w:val="nTable"/>
              <w:spacing w:after="40"/>
              <w:ind w:right="113"/>
            </w:pPr>
            <w:r>
              <w:rPr>
                <w:i/>
              </w:rPr>
              <w:t>Companies (Consequential Amendments) Act 1982</w:t>
            </w:r>
            <w:r>
              <w:t xml:space="preserve"> s. 28</w:t>
            </w:r>
          </w:p>
        </w:tc>
        <w:tc>
          <w:tcPr>
            <w:tcW w:w="1130" w:type="dxa"/>
            <w:gridSpan w:val="2"/>
          </w:tcPr>
          <w:p>
            <w:pPr>
              <w:pStyle w:val="nTable"/>
              <w:spacing w:after="40"/>
            </w:pPr>
            <w:r>
              <w:t>10 of 1982</w:t>
            </w:r>
          </w:p>
        </w:tc>
        <w:tc>
          <w:tcPr>
            <w:tcW w:w="1130" w:type="dxa"/>
            <w:gridSpan w:val="2"/>
          </w:tcPr>
          <w:p>
            <w:pPr>
              <w:pStyle w:val="nTable"/>
              <w:spacing w:after="40"/>
            </w:pPr>
            <w:r>
              <w:t>14 May 1982</w:t>
            </w:r>
          </w:p>
        </w:tc>
        <w:tc>
          <w:tcPr>
            <w:tcW w:w="2542" w:type="dxa"/>
            <w:gridSpan w:val="2"/>
          </w:tcPr>
          <w:p>
            <w:pPr>
              <w:pStyle w:val="nTable"/>
              <w:spacing w:after="40"/>
            </w:pPr>
            <w:r>
              <w:t xml:space="preserve">1 Jul 1982 (see s. 2(1) and </w:t>
            </w:r>
            <w:r>
              <w:rPr>
                <w:i/>
              </w:rPr>
              <w:t>Gazette</w:t>
            </w:r>
            <w:r>
              <w:t xml:space="preserve"> 25 Jun 1982 p. 2079)</w:t>
            </w:r>
          </w:p>
        </w:tc>
      </w:tr>
      <w:tr>
        <w:trPr>
          <w:cantSplit/>
        </w:trPr>
        <w:tc>
          <w:tcPr>
            <w:tcW w:w="7060" w:type="dxa"/>
            <w:gridSpan w:val="9"/>
          </w:tcPr>
          <w:p>
            <w:pPr>
              <w:pStyle w:val="nTable"/>
              <w:spacing w:after="40"/>
            </w:pPr>
            <w:r>
              <w:rPr>
                <w:b/>
              </w:rPr>
              <w:t xml:space="preserve">Reprint of the </w:t>
            </w:r>
            <w:r>
              <w:rPr>
                <w:b/>
                <w:i/>
              </w:rPr>
              <w:t>Finance Brokers Control Act 1975</w:t>
            </w:r>
            <w:r>
              <w:rPr>
                <w:b/>
              </w:rPr>
              <w:t xml:space="preserve"> as at 2 Apr 1986 </w:t>
            </w:r>
            <w:r>
              <w:rPr>
                <w:b/>
              </w:rPr>
              <w:br/>
            </w:r>
            <w:r>
              <w:t xml:space="preserve">(includes amendments listed above) </w:t>
            </w:r>
          </w:p>
        </w:tc>
      </w:tr>
      <w:tr>
        <w:trPr>
          <w:cantSplit/>
        </w:trPr>
        <w:tc>
          <w:tcPr>
            <w:tcW w:w="2258" w:type="dxa"/>
            <w:gridSpan w:val="3"/>
          </w:tcPr>
          <w:p>
            <w:pPr>
              <w:pStyle w:val="nTable"/>
              <w:spacing w:after="40"/>
              <w:ind w:right="113"/>
            </w:pPr>
            <w:r>
              <w:rPr>
                <w:i/>
              </w:rPr>
              <w:t>Acts Amendment (Legal Practitioners, Costs and Taxation) Act 1987</w:t>
            </w:r>
            <w:r>
              <w:t xml:space="preserve"> Pt. X</w:t>
            </w:r>
          </w:p>
        </w:tc>
        <w:tc>
          <w:tcPr>
            <w:tcW w:w="1130" w:type="dxa"/>
            <w:gridSpan w:val="2"/>
          </w:tcPr>
          <w:p>
            <w:pPr>
              <w:pStyle w:val="nTable"/>
              <w:spacing w:after="40"/>
            </w:pPr>
            <w:r>
              <w:t>65 of 1987</w:t>
            </w:r>
          </w:p>
        </w:tc>
        <w:tc>
          <w:tcPr>
            <w:tcW w:w="1130" w:type="dxa"/>
            <w:gridSpan w:val="2"/>
          </w:tcPr>
          <w:p>
            <w:pPr>
              <w:pStyle w:val="nTable"/>
              <w:spacing w:after="40"/>
            </w:pPr>
            <w:r>
              <w:t>1 Dec 1987</w:t>
            </w:r>
          </w:p>
        </w:tc>
        <w:tc>
          <w:tcPr>
            <w:tcW w:w="2542" w:type="dxa"/>
            <w:gridSpan w:val="2"/>
          </w:tcPr>
          <w:p>
            <w:pPr>
              <w:pStyle w:val="nTable"/>
              <w:spacing w:after="40"/>
            </w:pPr>
            <w:r>
              <w:t>12 Feb 1988 (see s. 2(2) and</w:t>
            </w:r>
            <w:r>
              <w:rPr>
                <w:i/>
              </w:rPr>
              <w:t xml:space="preserve"> Gazette</w:t>
            </w:r>
            <w:r>
              <w:t xml:space="preserve"> 12 Feb 1988 p. 397)</w:t>
            </w:r>
          </w:p>
        </w:tc>
      </w:tr>
      <w:tr>
        <w:trPr>
          <w:cantSplit/>
        </w:trPr>
        <w:tc>
          <w:tcPr>
            <w:tcW w:w="2258" w:type="dxa"/>
            <w:gridSpan w:val="3"/>
          </w:tcPr>
          <w:p>
            <w:pPr>
              <w:pStyle w:val="nTable"/>
              <w:spacing w:after="40"/>
              <w:ind w:right="113"/>
            </w:pPr>
            <w:r>
              <w:rPr>
                <w:i/>
              </w:rPr>
              <w:t>Acts Amendment (Public Sector Management) Act 1994</w:t>
            </w:r>
            <w:r>
              <w:t xml:space="preserve"> s. 3(1)</w:t>
            </w:r>
          </w:p>
        </w:tc>
        <w:tc>
          <w:tcPr>
            <w:tcW w:w="1130" w:type="dxa"/>
            <w:gridSpan w:val="2"/>
          </w:tcPr>
          <w:p>
            <w:pPr>
              <w:pStyle w:val="nTable"/>
              <w:spacing w:after="40"/>
            </w:pPr>
            <w:r>
              <w:t>32 of 1994</w:t>
            </w:r>
          </w:p>
        </w:tc>
        <w:tc>
          <w:tcPr>
            <w:tcW w:w="1130" w:type="dxa"/>
            <w:gridSpan w:val="2"/>
          </w:tcPr>
          <w:p>
            <w:pPr>
              <w:pStyle w:val="nTable"/>
              <w:spacing w:after="40"/>
            </w:pPr>
            <w:r>
              <w:t>29 Jun 1994</w:t>
            </w:r>
          </w:p>
        </w:tc>
        <w:tc>
          <w:tcPr>
            <w:tcW w:w="2542" w:type="dxa"/>
            <w:gridSpan w:val="2"/>
          </w:tcPr>
          <w:p>
            <w:pPr>
              <w:pStyle w:val="nTable"/>
              <w:spacing w:after="40"/>
            </w:pPr>
            <w:r>
              <w:t>1 Oct 1994 (see s. 2 and</w:t>
            </w:r>
            <w:r>
              <w:rPr>
                <w:i/>
              </w:rPr>
              <w:t xml:space="preserve"> Gazette </w:t>
            </w:r>
            <w:r>
              <w:t>30 Sep 1994 p. 4948)</w:t>
            </w:r>
          </w:p>
        </w:tc>
      </w:tr>
      <w:tr>
        <w:trPr>
          <w:cantSplit/>
        </w:trPr>
        <w:tc>
          <w:tcPr>
            <w:tcW w:w="2258" w:type="dxa"/>
            <w:gridSpan w:val="3"/>
          </w:tcPr>
          <w:p>
            <w:pPr>
              <w:pStyle w:val="nTable"/>
              <w:spacing w:after="40"/>
              <w:ind w:right="113"/>
              <w:rPr>
                <w:vertAlign w:val="superscript"/>
              </w:rPr>
            </w:pPr>
            <w:r>
              <w:rPr>
                <w:i/>
              </w:rPr>
              <w:t>Business Licensing Amendment Act 1995</w:t>
            </w:r>
            <w:r>
              <w:t xml:space="preserve"> Pt. 5</w:t>
            </w:r>
            <w:r>
              <w:rPr>
                <w:vertAlign w:val="superscript"/>
              </w:rPr>
              <w:t> 3</w:t>
            </w:r>
          </w:p>
        </w:tc>
        <w:tc>
          <w:tcPr>
            <w:tcW w:w="1130" w:type="dxa"/>
            <w:gridSpan w:val="2"/>
          </w:tcPr>
          <w:p>
            <w:pPr>
              <w:pStyle w:val="nTable"/>
              <w:spacing w:after="40"/>
            </w:pPr>
            <w:r>
              <w:t>56 of 1995</w:t>
            </w:r>
          </w:p>
        </w:tc>
        <w:tc>
          <w:tcPr>
            <w:tcW w:w="1130" w:type="dxa"/>
            <w:gridSpan w:val="2"/>
          </w:tcPr>
          <w:p>
            <w:pPr>
              <w:pStyle w:val="nTable"/>
              <w:spacing w:after="40"/>
            </w:pPr>
            <w:r>
              <w:t>20 Dec 1995</w:t>
            </w:r>
          </w:p>
        </w:tc>
        <w:tc>
          <w:tcPr>
            <w:tcW w:w="2542" w:type="dxa"/>
            <w:gridSpan w:val="2"/>
          </w:tcPr>
          <w:p>
            <w:pPr>
              <w:pStyle w:val="nTable"/>
              <w:spacing w:after="40"/>
            </w:pPr>
            <w:r>
              <w:t>1 May 1996 (see s. 2(2) and</w:t>
            </w:r>
            <w:r>
              <w:rPr>
                <w:i/>
              </w:rPr>
              <w:t xml:space="preserve"> Gazette</w:t>
            </w:r>
            <w:r>
              <w:t xml:space="preserve"> 30 Apr 1996 p. 1853)</w:t>
            </w:r>
          </w:p>
        </w:tc>
      </w:tr>
      <w:tr>
        <w:trPr>
          <w:cantSplit/>
        </w:trPr>
        <w:tc>
          <w:tcPr>
            <w:tcW w:w="2258" w:type="dxa"/>
            <w:gridSpan w:val="3"/>
          </w:tcPr>
          <w:p>
            <w:pPr>
              <w:pStyle w:val="nTable"/>
              <w:spacing w:after="40"/>
              <w:ind w:right="113"/>
            </w:pPr>
            <w:r>
              <w:rPr>
                <w:i/>
              </w:rPr>
              <w:t>Financial Legislation Amendment Act 1996</w:t>
            </w:r>
            <w:r>
              <w:t xml:space="preserve"> s. 64</w:t>
            </w:r>
          </w:p>
        </w:tc>
        <w:tc>
          <w:tcPr>
            <w:tcW w:w="1130" w:type="dxa"/>
            <w:gridSpan w:val="2"/>
          </w:tcPr>
          <w:p>
            <w:pPr>
              <w:pStyle w:val="nTable"/>
              <w:spacing w:after="40"/>
            </w:pPr>
            <w:r>
              <w:t>49 of 1996</w:t>
            </w:r>
          </w:p>
        </w:tc>
        <w:tc>
          <w:tcPr>
            <w:tcW w:w="1130" w:type="dxa"/>
            <w:gridSpan w:val="2"/>
          </w:tcPr>
          <w:p>
            <w:pPr>
              <w:pStyle w:val="nTable"/>
              <w:spacing w:after="40"/>
            </w:pPr>
            <w:r>
              <w:t>25 Oct 1996</w:t>
            </w:r>
          </w:p>
        </w:tc>
        <w:tc>
          <w:tcPr>
            <w:tcW w:w="2542" w:type="dxa"/>
            <w:gridSpan w:val="2"/>
          </w:tcPr>
          <w:p>
            <w:pPr>
              <w:pStyle w:val="nTable"/>
              <w:spacing w:after="40"/>
            </w:pPr>
            <w:r>
              <w:t>25 Oct 1996 (see s. 2(1))</w:t>
            </w:r>
          </w:p>
        </w:tc>
      </w:tr>
      <w:tr>
        <w:trPr>
          <w:cantSplit/>
        </w:trPr>
        <w:tc>
          <w:tcPr>
            <w:tcW w:w="2258" w:type="dxa"/>
            <w:gridSpan w:val="3"/>
          </w:tcPr>
          <w:p>
            <w:pPr>
              <w:pStyle w:val="nTable"/>
              <w:spacing w:after="40"/>
              <w:ind w:right="113"/>
            </w:pPr>
            <w:r>
              <w:rPr>
                <w:i/>
              </w:rPr>
              <w:t>Statutes (Repeals and Minor Amendments) Act (No. 2) 1998</w:t>
            </w:r>
            <w:r>
              <w:t xml:space="preserve"> s. 76</w:t>
            </w:r>
          </w:p>
        </w:tc>
        <w:tc>
          <w:tcPr>
            <w:tcW w:w="1130" w:type="dxa"/>
            <w:gridSpan w:val="2"/>
          </w:tcPr>
          <w:p>
            <w:pPr>
              <w:pStyle w:val="nTable"/>
              <w:spacing w:after="40"/>
            </w:pPr>
            <w:r>
              <w:t>10 of 1998</w:t>
            </w:r>
          </w:p>
        </w:tc>
        <w:tc>
          <w:tcPr>
            <w:tcW w:w="1130" w:type="dxa"/>
            <w:gridSpan w:val="2"/>
          </w:tcPr>
          <w:p>
            <w:pPr>
              <w:pStyle w:val="nTable"/>
              <w:spacing w:after="40"/>
            </w:pPr>
            <w:r>
              <w:t>30 Apr 1998</w:t>
            </w:r>
          </w:p>
        </w:tc>
        <w:tc>
          <w:tcPr>
            <w:tcW w:w="2542" w:type="dxa"/>
            <w:gridSpan w:val="2"/>
          </w:tcPr>
          <w:p>
            <w:pPr>
              <w:pStyle w:val="nTable"/>
              <w:spacing w:after="40"/>
            </w:pPr>
            <w:r>
              <w:t>30 Apr 1998 (see s. 2(1))</w:t>
            </w:r>
          </w:p>
        </w:tc>
      </w:tr>
      <w:tr>
        <w:trPr>
          <w:cantSplit/>
        </w:trPr>
        <w:tc>
          <w:tcPr>
            <w:tcW w:w="2258" w:type="dxa"/>
            <w:gridSpan w:val="3"/>
          </w:tcPr>
          <w:p>
            <w:pPr>
              <w:pStyle w:val="nTable"/>
              <w:spacing w:after="40"/>
              <w:ind w:right="113"/>
            </w:pPr>
            <w:r>
              <w:rPr>
                <w:i/>
              </w:rPr>
              <w:t>Acts Amendment and Repeal (Financial Sector Reform) Act 1999</w:t>
            </w:r>
            <w:r>
              <w:t xml:space="preserve"> s. 79</w:t>
            </w:r>
          </w:p>
        </w:tc>
        <w:tc>
          <w:tcPr>
            <w:tcW w:w="1130" w:type="dxa"/>
            <w:gridSpan w:val="2"/>
          </w:tcPr>
          <w:p>
            <w:pPr>
              <w:pStyle w:val="nTable"/>
              <w:keepLines/>
              <w:spacing w:after="40"/>
            </w:pPr>
            <w:r>
              <w:t>26 of 1999</w:t>
            </w:r>
          </w:p>
        </w:tc>
        <w:tc>
          <w:tcPr>
            <w:tcW w:w="1130" w:type="dxa"/>
            <w:gridSpan w:val="2"/>
          </w:tcPr>
          <w:p>
            <w:pPr>
              <w:pStyle w:val="nTable"/>
              <w:keepLines/>
              <w:spacing w:after="40"/>
            </w:pPr>
            <w:r>
              <w:t>29 Jun 1999</w:t>
            </w:r>
          </w:p>
        </w:tc>
        <w:tc>
          <w:tcPr>
            <w:tcW w:w="2542" w:type="dxa"/>
            <w:gridSpan w:val="2"/>
          </w:tcPr>
          <w:p>
            <w:pPr>
              <w:pStyle w:val="nTable"/>
              <w:keepLines/>
              <w:spacing w:after="40"/>
            </w:pPr>
            <w:r>
              <w:t xml:space="preserve">1 Jul 1999 (see s. 2(1) and </w:t>
            </w:r>
            <w:r>
              <w:rPr>
                <w:i/>
              </w:rPr>
              <w:t>Gazette</w:t>
            </w:r>
            <w:r>
              <w:t xml:space="preserve"> 30 Jun 1999 p. 2905)</w:t>
            </w:r>
          </w:p>
        </w:tc>
      </w:tr>
      <w:tr>
        <w:trPr>
          <w:cantSplit/>
        </w:trPr>
        <w:tc>
          <w:tcPr>
            <w:tcW w:w="7060" w:type="dxa"/>
            <w:gridSpan w:val="9"/>
            <w:tcBorders>
              <w:bottom w:val="nil"/>
            </w:tcBorders>
          </w:tcPr>
          <w:p>
            <w:pPr>
              <w:pStyle w:val="nTable"/>
              <w:spacing w:after="40"/>
            </w:pPr>
            <w:r>
              <w:rPr>
                <w:b/>
              </w:rPr>
              <w:t xml:space="preserve">Reprint of the </w:t>
            </w:r>
            <w:r>
              <w:rPr>
                <w:b/>
                <w:i/>
              </w:rPr>
              <w:t>Finance Brokers Control Act 1975</w:t>
            </w:r>
            <w:r>
              <w:rPr>
                <w:b/>
              </w:rPr>
              <w:t xml:space="preserve"> as at 3 Mar 2000</w:t>
            </w:r>
            <w:r>
              <w:rPr>
                <w:b/>
              </w:rPr>
              <w:br/>
            </w:r>
            <w:r>
              <w:t xml:space="preserve">(includes amendments listed above) </w:t>
            </w:r>
            <w:r>
              <w:rPr>
                <w:iCs/>
              </w:rPr>
              <w:t>(correction in</w:t>
            </w:r>
            <w:r>
              <w:rPr>
                <w:i/>
              </w:rPr>
              <w:t xml:space="preserve"> Gazette </w:t>
            </w:r>
            <w:r>
              <w:rPr>
                <w:iCs/>
              </w:rPr>
              <w:t>11 Mar 2003 p. 751)</w:t>
            </w:r>
          </w:p>
        </w:tc>
      </w:tr>
      <w:tr>
        <w:trPr>
          <w:cantSplit/>
        </w:trPr>
        <w:tc>
          <w:tcPr>
            <w:tcW w:w="2258" w:type="dxa"/>
            <w:gridSpan w:val="3"/>
            <w:tcBorders>
              <w:bottom w:val="nil"/>
            </w:tcBorders>
          </w:tcPr>
          <w:p>
            <w:pPr>
              <w:pStyle w:val="nTable"/>
              <w:spacing w:after="40"/>
              <w:ind w:right="113"/>
              <w:rPr>
                <w:i/>
              </w:rPr>
            </w:pPr>
            <w:r>
              <w:rPr>
                <w:i/>
              </w:rPr>
              <w:t>Corporations (Consequential Amendments) Act 2001</w:t>
            </w:r>
            <w:r>
              <w:t xml:space="preserve"> s. 221</w:t>
            </w:r>
          </w:p>
        </w:tc>
        <w:tc>
          <w:tcPr>
            <w:tcW w:w="1130" w:type="dxa"/>
            <w:gridSpan w:val="2"/>
            <w:tcBorders>
              <w:bottom w:val="nil"/>
            </w:tcBorders>
          </w:tcPr>
          <w:p>
            <w:pPr>
              <w:pStyle w:val="nTable"/>
              <w:keepLines/>
              <w:spacing w:after="40"/>
            </w:pPr>
            <w:r>
              <w:t>10 of 2001</w:t>
            </w:r>
          </w:p>
        </w:tc>
        <w:tc>
          <w:tcPr>
            <w:tcW w:w="1130" w:type="dxa"/>
            <w:gridSpan w:val="2"/>
            <w:tcBorders>
              <w:bottom w:val="nil"/>
            </w:tcBorders>
          </w:tcPr>
          <w:p>
            <w:pPr>
              <w:pStyle w:val="nTable"/>
              <w:keepLines/>
              <w:spacing w:after="40"/>
            </w:pPr>
            <w:r>
              <w:t>28 Jun 2001</w:t>
            </w:r>
          </w:p>
        </w:tc>
        <w:tc>
          <w:tcPr>
            <w:tcW w:w="2542" w:type="dxa"/>
            <w:gridSpan w:val="2"/>
            <w:tcBorders>
              <w:bottom w:val="nil"/>
            </w:tcBorders>
          </w:tcPr>
          <w:p>
            <w:pPr>
              <w:pStyle w:val="nTable"/>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58" w:type="dxa"/>
            <w:gridSpan w:val="3"/>
            <w:tcBorders>
              <w:top w:val="nil"/>
            </w:tcBorders>
          </w:tcPr>
          <w:p>
            <w:pPr>
              <w:pStyle w:val="nTable"/>
              <w:spacing w:after="40"/>
              <w:ind w:right="113"/>
            </w:pPr>
            <w:r>
              <w:rPr>
                <w:i/>
              </w:rPr>
              <w:t>Building Societies Amendment Act 2001</w:t>
            </w:r>
            <w:r>
              <w:t xml:space="preserve"> s. 51</w:t>
            </w:r>
          </w:p>
        </w:tc>
        <w:tc>
          <w:tcPr>
            <w:tcW w:w="1130" w:type="dxa"/>
            <w:gridSpan w:val="2"/>
            <w:tcBorders>
              <w:top w:val="nil"/>
            </w:tcBorders>
          </w:tcPr>
          <w:p>
            <w:pPr>
              <w:pStyle w:val="nTable"/>
              <w:keepLines/>
              <w:spacing w:after="40"/>
            </w:pPr>
            <w:r>
              <w:t>12 of 2001</w:t>
            </w:r>
          </w:p>
        </w:tc>
        <w:tc>
          <w:tcPr>
            <w:tcW w:w="1130" w:type="dxa"/>
            <w:gridSpan w:val="2"/>
            <w:tcBorders>
              <w:top w:val="nil"/>
            </w:tcBorders>
          </w:tcPr>
          <w:p>
            <w:pPr>
              <w:pStyle w:val="nTable"/>
              <w:keepLines/>
              <w:spacing w:after="40"/>
            </w:pPr>
            <w:r>
              <w:t>13 Jul 2001</w:t>
            </w:r>
          </w:p>
        </w:tc>
        <w:tc>
          <w:tcPr>
            <w:tcW w:w="2542" w:type="dxa"/>
            <w:gridSpan w:val="2"/>
            <w:tcBorders>
              <w:top w:val="nil"/>
            </w:tcBorders>
          </w:tcPr>
          <w:p>
            <w:pPr>
              <w:pStyle w:val="nTable"/>
              <w:keepLines/>
              <w:spacing w:after="40"/>
            </w:pPr>
            <w:r>
              <w:t>13 Jul 2001 (see s. 2)</w:t>
            </w:r>
          </w:p>
        </w:tc>
      </w:tr>
      <w:tr>
        <w:trPr>
          <w:cantSplit/>
        </w:trPr>
        <w:tc>
          <w:tcPr>
            <w:tcW w:w="2258" w:type="dxa"/>
            <w:gridSpan w:val="3"/>
          </w:tcPr>
          <w:p>
            <w:pPr>
              <w:pStyle w:val="nTable"/>
              <w:spacing w:after="40"/>
              <w:ind w:right="113"/>
            </w:pPr>
            <w:r>
              <w:rPr>
                <w:i/>
              </w:rPr>
              <w:t>Corporations (Consequential Amendments) Act (No. 3) 2003</w:t>
            </w:r>
            <w:r>
              <w:t xml:space="preserve"> Pt. 5</w:t>
            </w:r>
            <w:r>
              <w:rPr>
                <w:vertAlign w:val="superscript"/>
              </w:rPr>
              <w:t> 4</w:t>
            </w:r>
          </w:p>
        </w:tc>
        <w:tc>
          <w:tcPr>
            <w:tcW w:w="1130" w:type="dxa"/>
            <w:gridSpan w:val="2"/>
          </w:tcPr>
          <w:p>
            <w:pPr>
              <w:pStyle w:val="nTable"/>
              <w:keepLines/>
              <w:spacing w:after="40"/>
            </w:pPr>
            <w:r>
              <w:t>21 of 2003</w:t>
            </w:r>
          </w:p>
        </w:tc>
        <w:tc>
          <w:tcPr>
            <w:tcW w:w="1130" w:type="dxa"/>
            <w:gridSpan w:val="2"/>
          </w:tcPr>
          <w:p>
            <w:pPr>
              <w:pStyle w:val="nTable"/>
              <w:keepLines/>
              <w:spacing w:after="40"/>
            </w:pPr>
            <w:r>
              <w:t>23 Apr 2003</w:t>
            </w:r>
          </w:p>
        </w:tc>
        <w:tc>
          <w:tcPr>
            <w:tcW w:w="2542" w:type="dxa"/>
            <w:gridSpan w:val="2"/>
          </w:tcPr>
          <w:p>
            <w:pPr>
              <w:pStyle w:val="nTable"/>
              <w:keepLines/>
              <w:spacing w:after="40"/>
            </w:pPr>
            <w:r>
              <w:t xml:space="preserve">11 Mar 2002 (see s. 2 and Cwlth </w:t>
            </w:r>
            <w:r>
              <w:rPr>
                <w:i/>
              </w:rPr>
              <w:t>Gazette</w:t>
            </w:r>
            <w:r>
              <w:t xml:space="preserve"> 24 Oct 2001 No. GN42)</w:t>
            </w:r>
          </w:p>
        </w:tc>
      </w:tr>
      <w:tr>
        <w:trPr>
          <w:cantSplit/>
        </w:trPr>
        <w:tc>
          <w:tcPr>
            <w:tcW w:w="2258" w:type="dxa"/>
            <w:gridSpan w:val="3"/>
          </w:tcPr>
          <w:p>
            <w:pPr>
              <w:pStyle w:val="nTable"/>
              <w:spacing w:after="40"/>
              <w:ind w:right="113"/>
            </w:pPr>
            <w:r>
              <w:rPr>
                <w:i/>
              </w:rPr>
              <w:t>Acts Amendment and Repeal (Courts and Legal Practice) Act 2003</w:t>
            </w:r>
            <w:r>
              <w:t xml:space="preserve"> s. 35</w:t>
            </w:r>
          </w:p>
        </w:tc>
        <w:tc>
          <w:tcPr>
            <w:tcW w:w="1130" w:type="dxa"/>
            <w:gridSpan w:val="2"/>
          </w:tcPr>
          <w:p>
            <w:pPr>
              <w:pStyle w:val="nTable"/>
              <w:keepNext/>
              <w:keepLines/>
              <w:spacing w:after="40"/>
            </w:pPr>
            <w:r>
              <w:t>65 of 2003</w:t>
            </w:r>
          </w:p>
        </w:tc>
        <w:tc>
          <w:tcPr>
            <w:tcW w:w="1130" w:type="dxa"/>
            <w:gridSpan w:val="2"/>
          </w:tcPr>
          <w:p>
            <w:pPr>
              <w:pStyle w:val="nTable"/>
              <w:keepNext/>
              <w:keepLines/>
              <w:spacing w:after="40"/>
            </w:pPr>
            <w:r>
              <w:t>4 Dec 2003</w:t>
            </w:r>
          </w:p>
        </w:tc>
        <w:tc>
          <w:tcPr>
            <w:tcW w:w="2542" w:type="dxa"/>
            <w:gridSpan w:val="2"/>
          </w:tcPr>
          <w:p>
            <w:pPr>
              <w:pStyle w:val="nTable"/>
              <w:keepNext/>
              <w:keepLines/>
              <w:spacing w:after="40"/>
            </w:pPr>
            <w:r>
              <w:t xml:space="preserve">1 Jan 2004 (see s. 2 and </w:t>
            </w:r>
            <w:r>
              <w:rPr>
                <w:i/>
              </w:rPr>
              <w:t>Gazette</w:t>
            </w:r>
            <w:r>
              <w:t xml:space="preserve"> 30 Dec 2003 p. 5722)</w:t>
            </w:r>
          </w:p>
        </w:tc>
      </w:tr>
      <w:tr>
        <w:tblPrEx>
          <w:tblBorders>
            <w:bottom w:val="none" w:sz="0" w:space="0" w:color="auto"/>
          </w:tblBorders>
        </w:tblPrEx>
        <w:tc>
          <w:tcPr>
            <w:tcW w:w="2258" w:type="dxa"/>
            <w:gridSpan w:val="3"/>
          </w:tcPr>
          <w:p>
            <w:pPr>
              <w:pStyle w:val="nTable"/>
              <w:spacing w:after="40"/>
              <w:rPr>
                <w:snapToGrid w:val="0"/>
              </w:rPr>
            </w:pPr>
            <w:r>
              <w:rPr>
                <w:i/>
                <w:iCs/>
                <w:snapToGrid w:val="0"/>
              </w:rPr>
              <w:t>Finance Brokers Control Amendment Act 2004</w:t>
            </w:r>
            <w:r>
              <w:rPr>
                <w:snapToGrid w:val="0"/>
              </w:rPr>
              <w:t xml:space="preserve"> </w:t>
            </w:r>
            <w:r>
              <w:rPr>
                <w:snapToGrid w:val="0"/>
                <w:vertAlign w:val="superscript"/>
              </w:rPr>
              <w:t>5, 6</w:t>
            </w:r>
          </w:p>
        </w:tc>
        <w:tc>
          <w:tcPr>
            <w:tcW w:w="1130" w:type="dxa"/>
            <w:gridSpan w:val="2"/>
          </w:tcPr>
          <w:p>
            <w:pPr>
              <w:pStyle w:val="nTable"/>
              <w:spacing w:after="40"/>
              <w:rPr>
                <w:snapToGrid w:val="0"/>
              </w:rPr>
            </w:pPr>
            <w:r>
              <w:rPr>
                <w:snapToGrid w:val="0"/>
              </w:rPr>
              <w:t>53 of 2004</w:t>
            </w:r>
          </w:p>
        </w:tc>
        <w:tc>
          <w:tcPr>
            <w:tcW w:w="1130" w:type="dxa"/>
            <w:gridSpan w:val="2"/>
          </w:tcPr>
          <w:p>
            <w:pPr>
              <w:pStyle w:val="nTable"/>
              <w:spacing w:after="40"/>
            </w:pPr>
            <w:r>
              <w:t>18 Nov 2004</w:t>
            </w:r>
          </w:p>
        </w:tc>
        <w:tc>
          <w:tcPr>
            <w:tcW w:w="2542" w:type="dxa"/>
            <w:gridSpan w:val="2"/>
          </w:tcPr>
          <w:p>
            <w:pPr>
              <w:pStyle w:val="nTable"/>
              <w:spacing w:after="40"/>
              <w:rPr>
                <w:snapToGrid w:val="0"/>
              </w:rPr>
            </w:pPr>
            <w:r>
              <w:rPr>
                <w:snapToGrid w:val="0"/>
              </w:rPr>
              <w:t xml:space="preserve">31 Oct 2005 (see s. 2 and </w:t>
            </w:r>
            <w:r>
              <w:rPr>
                <w:i/>
                <w:iCs/>
                <w:snapToGrid w:val="0"/>
              </w:rPr>
              <w:t>Gazette</w:t>
            </w:r>
            <w:r>
              <w:rPr>
                <w:snapToGrid w:val="0"/>
              </w:rPr>
              <w:t xml:space="preserve"> 28 Oct 2005 p. 4839)</w:t>
            </w:r>
          </w:p>
        </w:tc>
      </w:tr>
      <w:tr>
        <w:trPr>
          <w:cantSplit/>
        </w:trPr>
        <w:tc>
          <w:tcPr>
            <w:tcW w:w="2258" w:type="dxa"/>
            <w:gridSpan w:val="3"/>
          </w:tcPr>
          <w:p>
            <w:pPr>
              <w:pStyle w:val="nTable"/>
              <w:spacing w:after="40"/>
              <w:ind w:right="113"/>
              <w:rPr>
                <w:i/>
              </w:rPr>
            </w:pPr>
            <w:r>
              <w:rPr>
                <w:i/>
                <w:iCs/>
                <w:snapToGrid w:val="0"/>
              </w:rPr>
              <w:t xml:space="preserve">Courts Legislation Amendment and Repeal Act 2004 </w:t>
            </w:r>
            <w:r>
              <w:rPr>
                <w:snapToGrid w:val="0"/>
              </w:rPr>
              <w:t>s. 141</w:t>
            </w:r>
          </w:p>
        </w:tc>
        <w:tc>
          <w:tcPr>
            <w:tcW w:w="1130" w:type="dxa"/>
            <w:gridSpan w:val="2"/>
          </w:tcPr>
          <w:p>
            <w:pPr>
              <w:pStyle w:val="nTable"/>
              <w:keepNext/>
              <w:keepLines/>
              <w:spacing w:after="40"/>
            </w:pPr>
            <w:r>
              <w:rPr>
                <w:snapToGrid w:val="0"/>
              </w:rPr>
              <w:t>59 of 2004</w:t>
            </w:r>
          </w:p>
        </w:tc>
        <w:tc>
          <w:tcPr>
            <w:tcW w:w="1130" w:type="dxa"/>
            <w:gridSpan w:val="2"/>
          </w:tcPr>
          <w:p>
            <w:pPr>
              <w:pStyle w:val="nTable"/>
              <w:keepNext/>
              <w:keepLines/>
              <w:spacing w:after="40"/>
            </w:pPr>
            <w:r>
              <w:rPr>
                <w:snapToGrid w:val="0"/>
              </w:rPr>
              <w:t>23 Nov 2004</w:t>
            </w:r>
          </w:p>
        </w:tc>
        <w:tc>
          <w:tcPr>
            <w:tcW w:w="2542" w:type="dxa"/>
            <w:gridSpan w:val="2"/>
          </w:tcPr>
          <w:p>
            <w:pPr>
              <w:pStyle w:val="nTable"/>
              <w:keepNext/>
              <w:keepLines/>
              <w:spacing w:after="40"/>
            </w:pPr>
            <w:r>
              <w:rPr>
                <w:snapToGrid w:val="0"/>
              </w:rPr>
              <w:t xml:space="preserve">1 May 2005 (see s. 2 and </w:t>
            </w:r>
            <w:r>
              <w:rPr>
                <w:i/>
                <w:iCs/>
                <w:snapToGrid w:val="0"/>
              </w:rPr>
              <w:t>Gazette</w:t>
            </w:r>
            <w:r>
              <w:rPr>
                <w:snapToGrid w:val="0"/>
              </w:rPr>
              <w:t xml:space="preserve"> 31 Dec 2004 p. 7128)</w:t>
            </w:r>
          </w:p>
        </w:tc>
      </w:tr>
      <w:tr>
        <w:tblPrEx>
          <w:tblBorders>
            <w:bottom w:val="none" w:sz="0" w:space="0" w:color="auto"/>
          </w:tblBorders>
        </w:tblPrEx>
        <w:trPr>
          <w:cantSplit/>
        </w:trPr>
        <w:tc>
          <w:tcPr>
            <w:tcW w:w="2258" w:type="dxa"/>
            <w:gridSpan w:val="3"/>
          </w:tcPr>
          <w:p>
            <w:pPr>
              <w:pStyle w:val="nTable"/>
              <w:spacing w:after="40"/>
              <w:ind w:right="113"/>
              <w:rPr>
                <w:iCs/>
              </w:rPr>
            </w:pPr>
            <w:r>
              <w:rPr>
                <w:i/>
              </w:rPr>
              <w:t>State Administrative Tribunal (Conferral of Jurisdiction) Amendment and Repeal Act 2004</w:t>
            </w:r>
            <w:r>
              <w:rPr>
                <w:iCs/>
              </w:rPr>
              <w:t xml:space="preserve"> Pt. 2 Div. 46</w:t>
            </w:r>
            <w:r>
              <w:rPr>
                <w:iCs/>
                <w:vertAlign w:val="superscript"/>
              </w:rPr>
              <w:t> 7</w:t>
            </w:r>
          </w:p>
        </w:tc>
        <w:tc>
          <w:tcPr>
            <w:tcW w:w="1130" w:type="dxa"/>
            <w:gridSpan w:val="2"/>
          </w:tcPr>
          <w:p>
            <w:pPr>
              <w:pStyle w:val="nTable"/>
              <w:spacing w:after="40"/>
            </w:pPr>
            <w:r>
              <w:t>55 of 2004</w:t>
            </w:r>
          </w:p>
        </w:tc>
        <w:tc>
          <w:tcPr>
            <w:tcW w:w="1130" w:type="dxa"/>
            <w:gridSpan w:val="2"/>
          </w:tcPr>
          <w:p>
            <w:pPr>
              <w:pStyle w:val="nTable"/>
              <w:spacing w:after="40"/>
            </w:pPr>
            <w:r>
              <w:t>24 Nov 2004</w:t>
            </w:r>
          </w:p>
        </w:tc>
        <w:tc>
          <w:tcPr>
            <w:tcW w:w="2542" w:type="dxa"/>
            <w:gridSpan w:val="2"/>
          </w:tcPr>
          <w:p>
            <w:pPr>
              <w:pStyle w:val="nTable"/>
              <w:spacing w:after="40"/>
              <w:ind w:right="65"/>
              <w:rPr>
                <w:spacing w:val="-2"/>
              </w:rPr>
            </w:pPr>
            <w:r>
              <w:rPr>
                <w:spacing w:val="-2"/>
              </w:rPr>
              <w:t xml:space="preserve">1 Jan 2005 (see s. 2 and </w:t>
            </w:r>
            <w:r>
              <w:rPr>
                <w:i/>
                <w:iCs/>
                <w:spacing w:val="-2"/>
              </w:rPr>
              <w:t>Gazette</w:t>
            </w:r>
            <w:r>
              <w:rPr>
                <w:spacing w:val="-2"/>
              </w:rPr>
              <w:t xml:space="preserve"> 31 Dec 2004 p. 7130)</w:t>
            </w:r>
          </w:p>
        </w:tc>
      </w:tr>
      <w:tr>
        <w:tblPrEx>
          <w:tblBorders>
            <w:bottom w:val="none" w:sz="0" w:space="0" w:color="auto"/>
          </w:tblBorders>
        </w:tblPrEx>
        <w:trPr>
          <w:cantSplit/>
        </w:trPr>
        <w:tc>
          <w:tcPr>
            <w:tcW w:w="2258" w:type="dxa"/>
            <w:gridSpan w:val="3"/>
          </w:tcPr>
          <w:p>
            <w:pPr>
              <w:pStyle w:val="nTable"/>
              <w:spacing w:after="40"/>
              <w:ind w:right="113"/>
              <w:rPr>
                <w:i/>
              </w:rPr>
            </w:pPr>
            <w:r>
              <w:rPr>
                <w:i/>
                <w:iCs/>
                <w:snapToGrid w:val="0"/>
              </w:rPr>
              <w:t>Criminal Procedure and Appeals (Consequential and Other Provisions) Act 2004</w:t>
            </w:r>
            <w:r>
              <w:rPr>
                <w:snapToGrid w:val="0"/>
              </w:rPr>
              <w:t xml:space="preserve"> s. 78, 80 and 82</w:t>
            </w:r>
          </w:p>
        </w:tc>
        <w:tc>
          <w:tcPr>
            <w:tcW w:w="1130" w:type="dxa"/>
            <w:gridSpan w:val="2"/>
          </w:tcPr>
          <w:p>
            <w:pPr>
              <w:pStyle w:val="nTable"/>
              <w:spacing w:after="40"/>
            </w:pPr>
            <w:r>
              <w:rPr>
                <w:snapToGrid w:val="0"/>
              </w:rPr>
              <w:t>84 of 2004</w:t>
            </w:r>
          </w:p>
        </w:tc>
        <w:tc>
          <w:tcPr>
            <w:tcW w:w="1130" w:type="dxa"/>
            <w:gridSpan w:val="2"/>
          </w:tcPr>
          <w:p>
            <w:pPr>
              <w:pStyle w:val="nTable"/>
              <w:spacing w:after="40"/>
            </w:pPr>
            <w:r>
              <w:t>16 Dec 2004</w:t>
            </w:r>
          </w:p>
        </w:tc>
        <w:tc>
          <w:tcPr>
            <w:tcW w:w="2542" w:type="dxa"/>
            <w:gridSpan w:val="2"/>
          </w:tcPr>
          <w:p>
            <w:pPr>
              <w:pStyle w:val="nTable"/>
              <w:spacing w:after="40"/>
              <w:ind w:right="65"/>
              <w:rPr>
                <w:spacing w:val="-2"/>
              </w:rPr>
            </w:pPr>
            <w:r>
              <w:rPr>
                <w:snapToGrid w:val="0"/>
              </w:rPr>
              <w:t xml:space="preserve">s. 78: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r>
              <w:rPr>
                <w:snapToGrid w:val="0"/>
              </w:rPr>
              <w:br/>
              <w:t xml:space="preserve">s. 80 and 82: 31 Oct 2005 (see s. 2 and </w:t>
            </w:r>
            <w:r>
              <w:rPr>
                <w:i/>
                <w:iCs/>
                <w:snapToGrid w:val="0"/>
              </w:rPr>
              <w:t>Gazette</w:t>
            </w:r>
            <w:r>
              <w:rPr>
                <w:snapToGrid w:val="0"/>
              </w:rPr>
              <w:t xml:space="preserve"> 28 Oct 2005 p. 4839)</w:t>
            </w:r>
          </w:p>
        </w:tc>
      </w:tr>
      <w:tr>
        <w:tblPrEx>
          <w:tblBorders>
            <w:bottom w:val="none" w:sz="0" w:space="0" w:color="auto"/>
          </w:tblBorders>
        </w:tblPrEx>
        <w:trPr>
          <w:cantSplit/>
        </w:trPr>
        <w:tc>
          <w:tcPr>
            <w:tcW w:w="7060" w:type="dxa"/>
            <w:gridSpan w:val="9"/>
          </w:tcPr>
          <w:p>
            <w:pPr>
              <w:pStyle w:val="nTable"/>
              <w:spacing w:after="40"/>
              <w:ind w:right="65"/>
              <w:rPr>
                <w:snapToGrid w:val="0"/>
              </w:rPr>
            </w:pPr>
            <w:r>
              <w:rPr>
                <w:b/>
              </w:rPr>
              <w:t xml:space="preserve">Reprint 3: The </w:t>
            </w:r>
            <w:r>
              <w:rPr>
                <w:b/>
                <w:i/>
              </w:rPr>
              <w:t>Finance Brokers Control Act 1975</w:t>
            </w:r>
            <w:r>
              <w:rPr>
                <w:b/>
              </w:rPr>
              <w:t xml:space="preserve"> as at 5 Aug 2005 </w:t>
            </w:r>
            <w:r>
              <w:t xml:space="preserve">(includes amendments listed above except those in the </w:t>
            </w:r>
            <w:r>
              <w:rPr>
                <w:i/>
                <w:iCs/>
                <w:snapToGrid w:val="0"/>
              </w:rPr>
              <w:t xml:space="preserve">Finance Brokers Control Amendment Act 2004 </w:t>
            </w:r>
            <w:r>
              <w:rPr>
                <w:snapToGrid w:val="0"/>
              </w:rPr>
              <w:t>and the</w:t>
            </w:r>
            <w:r>
              <w:rPr>
                <w:i/>
                <w:iCs/>
                <w:snapToGrid w:val="0"/>
              </w:rPr>
              <w:t xml:space="preserve"> Criminal Procedure and Appeals (Consequential and Other Provisions) Act 2004 </w:t>
            </w:r>
            <w:r>
              <w:rPr>
                <w:snapToGrid w:val="0"/>
              </w:rPr>
              <w:t>s. 80 and 82</w:t>
            </w:r>
            <w:r>
              <w:t>)</w:t>
            </w:r>
          </w:p>
        </w:tc>
      </w:tr>
      <w:tr>
        <w:tblPrEx>
          <w:tblBorders>
            <w:bottom w:val="none" w:sz="0" w:space="0" w:color="auto"/>
          </w:tblBorders>
        </w:tblPrEx>
        <w:trPr>
          <w:cantSplit/>
        </w:trPr>
        <w:tc>
          <w:tcPr>
            <w:tcW w:w="2258" w:type="dxa"/>
            <w:gridSpan w:val="3"/>
          </w:tcPr>
          <w:p>
            <w:pPr>
              <w:pStyle w:val="nTable"/>
              <w:spacing w:after="40"/>
              <w:ind w:right="113"/>
              <w:rPr>
                <w:i/>
              </w:rPr>
            </w:pPr>
            <w:r>
              <w:rPr>
                <w:i/>
                <w:iCs/>
              </w:rPr>
              <w:t>Housing Societies Repeal Act 2005</w:t>
            </w:r>
            <w:r>
              <w:t xml:space="preserve"> s. 27 </w:t>
            </w:r>
          </w:p>
        </w:tc>
        <w:tc>
          <w:tcPr>
            <w:tcW w:w="1130" w:type="dxa"/>
            <w:gridSpan w:val="2"/>
          </w:tcPr>
          <w:p>
            <w:pPr>
              <w:pStyle w:val="nTable"/>
              <w:spacing w:after="40"/>
            </w:pPr>
            <w:r>
              <w:t>17 of 2005</w:t>
            </w:r>
          </w:p>
        </w:tc>
        <w:tc>
          <w:tcPr>
            <w:tcW w:w="1130" w:type="dxa"/>
            <w:gridSpan w:val="2"/>
          </w:tcPr>
          <w:p>
            <w:pPr>
              <w:pStyle w:val="nTable"/>
              <w:spacing w:after="40"/>
            </w:pPr>
            <w:r>
              <w:t>5 Oct 2005</w:t>
            </w:r>
          </w:p>
        </w:tc>
        <w:tc>
          <w:tcPr>
            <w:tcW w:w="2542" w:type="dxa"/>
            <w:gridSpan w:val="2"/>
          </w:tcPr>
          <w:p>
            <w:pPr>
              <w:pStyle w:val="nTable"/>
              <w:spacing w:after="40"/>
            </w:pPr>
            <w:r>
              <w:t xml:space="preserve">10 Jul 2010 (see s. 2(3) and </w:t>
            </w:r>
            <w:r>
              <w:rPr>
                <w:i/>
                <w:iCs/>
              </w:rPr>
              <w:t>Gazette</w:t>
            </w:r>
            <w:r>
              <w:t xml:space="preserve"> 9 Jul 2010 p. 3239)</w:t>
            </w:r>
          </w:p>
        </w:tc>
      </w:tr>
      <w:tr>
        <w:tblPrEx>
          <w:tblBorders>
            <w:bottom w:val="none" w:sz="0" w:space="0" w:color="auto"/>
          </w:tblBorders>
        </w:tblPrEx>
        <w:trPr>
          <w:cantSplit/>
        </w:trPr>
        <w:tc>
          <w:tcPr>
            <w:tcW w:w="2258" w:type="dxa"/>
            <w:gridSpan w:val="3"/>
          </w:tcPr>
          <w:p>
            <w:pPr>
              <w:pStyle w:val="nTable"/>
              <w:spacing w:after="40"/>
              <w:ind w:right="113"/>
              <w:rPr>
                <w:i/>
              </w:rPr>
            </w:pPr>
            <w:r>
              <w:rPr>
                <w:i/>
              </w:rPr>
              <w:t>Oaths, Affidavits and Statutory Declarations (Consequential Provisions) Act 2005</w:t>
            </w:r>
            <w:r>
              <w:rPr>
                <w:iCs/>
              </w:rPr>
              <w:t xml:space="preserve"> s. 63</w:t>
            </w:r>
            <w:r>
              <w:rPr>
                <w:iCs/>
                <w:vertAlign w:val="superscript"/>
              </w:rPr>
              <w:t> 8</w:t>
            </w:r>
          </w:p>
        </w:tc>
        <w:tc>
          <w:tcPr>
            <w:tcW w:w="1130" w:type="dxa"/>
            <w:gridSpan w:val="2"/>
          </w:tcPr>
          <w:p>
            <w:pPr>
              <w:pStyle w:val="nTable"/>
              <w:spacing w:after="40"/>
            </w:pPr>
            <w:r>
              <w:t>24 of 2005</w:t>
            </w:r>
          </w:p>
        </w:tc>
        <w:tc>
          <w:tcPr>
            <w:tcW w:w="1130" w:type="dxa"/>
            <w:gridSpan w:val="2"/>
          </w:tcPr>
          <w:p>
            <w:pPr>
              <w:pStyle w:val="nTable"/>
              <w:spacing w:after="40"/>
            </w:pPr>
            <w:r>
              <w:t>2 Dec 2005</w:t>
            </w:r>
          </w:p>
        </w:tc>
        <w:tc>
          <w:tcPr>
            <w:tcW w:w="2542" w:type="dxa"/>
            <w:gridSpan w:val="2"/>
          </w:tcPr>
          <w:p>
            <w:pPr>
              <w:pStyle w:val="nTable"/>
              <w:spacing w:after="40"/>
            </w:pPr>
            <w:r>
              <w:t xml:space="preserve">1 Jan 2006 (see s. 2 and </w:t>
            </w:r>
            <w:r>
              <w:rPr>
                <w:i/>
                <w:iCs/>
              </w:rPr>
              <w:t>Gazette</w:t>
            </w:r>
            <w:r>
              <w:t xml:space="preserve"> 23 Dec 2005 p. 6244)</w:t>
            </w:r>
          </w:p>
        </w:tc>
      </w:tr>
      <w:tr>
        <w:tblPrEx>
          <w:tblBorders>
            <w:bottom w:val="none" w:sz="0" w:space="0" w:color="auto"/>
          </w:tblBorders>
        </w:tblPrEx>
        <w:trPr>
          <w:cantSplit/>
        </w:trPr>
        <w:tc>
          <w:tcPr>
            <w:tcW w:w="7060" w:type="dxa"/>
            <w:gridSpan w:val="9"/>
          </w:tcPr>
          <w:p>
            <w:pPr>
              <w:pStyle w:val="nTable"/>
              <w:spacing w:after="40"/>
            </w:pPr>
            <w:r>
              <w:rPr>
                <w:b/>
              </w:rPr>
              <w:t xml:space="preserve">Reprint 4: The </w:t>
            </w:r>
            <w:r>
              <w:rPr>
                <w:b/>
                <w:i/>
              </w:rPr>
              <w:t>Finance Brokers Control Act 1975</w:t>
            </w:r>
            <w:r>
              <w:rPr>
                <w:b/>
              </w:rPr>
              <w:t xml:space="preserve"> as at 13 Oct 2006 </w:t>
            </w:r>
            <w:r>
              <w:t xml:space="preserve">(includes amendments listed above </w:t>
            </w:r>
            <w:r>
              <w:rPr>
                <w:snapToGrid w:val="0"/>
              </w:rPr>
              <w:t xml:space="preserve">except those in the </w:t>
            </w:r>
            <w:r>
              <w:rPr>
                <w:i/>
                <w:iCs/>
              </w:rPr>
              <w:t>Housing Societies Repeal Act 2005</w:t>
            </w:r>
            <w:r>
              <w:t xml:space="preserve"> s. 27)</w:t>
            </w:r>
          </w:p>
        </w:tc>
      </w:tr>
      <w:tr>
        <w:tblPrEx>
          <w:tblBorders>
            <w:bottom w:val="none" w:sz="0" w:space="0" w:color="auto"/>
          </w:tblBorders>
        </w:tblPrEx>
        <w:trPr>
          <w:cantSplit/>
        </w:trPr>
        <w:tc>
          <w:tcPr>
            <w:tcW w:w="2258" w:type="dxa"/>
            <w:gridSpan w:val="3"/>
          </w:tcPr>
          <w:p>
            <w:pPr>
              <w:pStyle w:val="nTable"/>
              <w:spacing w:before="120"/>
              <w:ind w:right="113"/>
              <w:rPr>
                <w:i/>
              </w:rPr>
            </w:pPr>
            <w:r>
              <w:rPr>
                <w:i/>
                <w:snapToGrid w:val="0"/>
              </w:rPr>
              <w:t xml:space="preserve">Financial Legislation Amendment and Repeal Act 2006 </w:t>
            </w:r>
            <w:r>
              <w:rPr>
                <w:iCs/>
                <w:snapToGrid w:val="0"/>
              </w:rPr>
              <w:t>s. 17</w:t>
            </w:r>
          </w:p>
        </w:tc>
        <w:tc>
          <w:tcPr>
            <w:tcW w:w="1130" w:type="dxa"/>
            <w:gridSpan w:val="2"/>
          </w:tcPr>
          <w:p>
            <w:pPr>
              <w:pStyle w:val="nTable"/>
              <w:spacing w:before="120"/>
            </w:pPr>
            <w:r>
              <w:rPr>
                <w:snapToGrid w:val="0"/>
              </w:rPr>
              <w:t xml:space="preserve">77 of 2006 </w:t>
            </w:r>
          </w:p>
        </w:tc>
        <w:tc>
          <w:tcPr>
            <w:tcW w:w="1130" w:type="dxa"/>
            <w:gridSpan w:val="2"/>
          </w:tcPr>
          <w:p>
            <w:pPr>
              <w:pStyle w:val="nTable"/>
              <w:spacing w:before="120"/>
            </w:pPr>
            <w:r>
              <w:rPr>
                <w:snapToGrid w:val="0"/>
              </w:rPr>
              <w:t>21 Dec 2006</w:t>
            </w:r>
          </w:p>
        </w:tc>
        <w:tc>
          <w:tcPr>
            <w:tcW w:w="2542" w:type="dxa"/>
            <w:gridSpan w:val="2"/>
          </w:tcPr>
          <w:p>
            <w:pPr>
              <w:pStyle w:val="nTable"/>
              <w:spacing w:before="120"/>
            </w:pPr>
            <w:r>
              <w:rPr>
                <w:snapToGrid w:val="0"/>
              </w:rPr>
              <w:t xml:space="preserve">1 Feb 2007 (see s. 2 and </w:t>
            </w:r>
            <w:r>
              <w:rPr>
                <w:i/>
                <w:iCs/>
                <w:snapToGrid w:val="0"/>
              </w:rPr>
              <w:t>Gazette</w:t>
            </w:r>
            <w:r>
              <w:rPr>
                <w:snapToGrid w:val="0"/>
              </w:rPr>
              <w:t xml:space="preserve"> 19 Jan 2007 p. 137)</w:t>
            </w:r>
          </w:p>
        </w:tc>
      </w:tr>
      <w:tr>
        <w:tblPrEx>
          <w:tblBorders>
            <w:bottom w:val="none" w:sz="0" w:space="0" w:color="auto"/>
          </w:tblBorders>
        </w:tblPrEx>
        <w:trPr>
          <w:cantSplit/>
        </w:trPr>
        <w:tc>
          <w:tcPr>
            <w:tcW w:w="2258" w:type="dxa"/>
            <w:gridSpan w:val="3"/>
          </w:tcPr>
          <w:p>
            <w:pPr>
              <w:pStyle w:val="nTable"/>
              <w:spacing w:before="120"/>
              <w:ind w:right="113"/>
              <w:rPr>
                <w:i/>
                <w:snapToGrid w:val="0"/>
              </w:rPr>
            </w:pPr>
            <w:r>
              <w:rPr>
                <w:i/>
                <w:iCs/>
                <w:snapToGrid w:val="0"/>
              </w:rPr>
              <w:t xml:space="preserve">Legal Profession Act 2008 </w:t>
            </w:r>
            <w:r>
              <w:rPr>
                <w:snapToGrid w:val="0"/>
              </w:rPr>
              <w:t xml:space="preserve">s. 664 </w:t>
            </w:r>
          </w:p>
        </w:tc>
        <w:tc>
          <w:tcPr>
            <w:tcW w:w="1130" w:type="dxa"/>
            <w:gridSpan w:val="2"/>
          </w:tcPr>
          <w:p>
            <w:pPr>
              <w:pStyle w:val="nTable"/>
              <w:spacing w:before="120"/>
              <w:rPr>
                <w:snapToGrid w:val="0"/>
              </w:rPr>
            </w:pPr>
            <w:r>
              <w:rPr>
                <w:snapToGrid w:val="0"/>
              </w:rPr>
              <w:t>21 of 2008</w:t>
            </w:r>
          </w:p>
        </w:tc>
        <w:tc>
          <w:tcPr>
            <w:tcW w:w="1130" w:type="dxa"/>
            <w:gridSpan w:val="2"/>
          </w:tcPr>
          <w:p>
            <w:pPr>
              <w:pStyle w:val="nTable"/>
              <w:spacing w:before="120"/>
              <w:rPr>
                <w:snapToGrid w:val="0"/>
              </w:rPr>
            </w:pPr>
            <w:r>
              <w:rPr>
                <w:snapToGrid w:val="0"/>
              </w:rPr>
              <w:t>27 May 2008</w:t>
            </w:r>
          </w:p>
        </w:tc>
        <w:tc>
          <w:tcPr>
            <w:tcW w:w="2542" w:type="dxa"/>
            <w:gridSpan w:val="2"/>
          </w:tcPr>
          <w:p>
            <w:pPr>
              <w:pStyle w:val="nTable"/>
              <w:spacing w:before="12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bottom w:val="none" w:sz="0" w:space="0" w:color="auto"/>
          </w:tblBorders>
        </w:tblPrEx>
        <w:trPr>
          <w:cantSplit/>
        </w:trPr>
        <w:tc>
          <w:tcPr>
            <w:tcW w:w="2258" w:type="dxa"/>
            <w:gridSpan w:val="3"/>
          </w:tcPr>
          <w:p>
            <w:pPr>
              <w:pStyle w:val="nTable"/>
              <w:spacing w:after="40"/>
              <w:ind w:right="113"/>
              <w:rPr>
                <w:i/>
              </w:rPr>
            </w:pPr>
            <w:r>
              <w:rPr>
                <w:i/>
              </w:rPr>
              <w:t>Statutes (Repeals and Minor Amendments) Act 2009</w:t>
            </w:r>
            <w:r>
              <w:rPr>
                <w:iCs/>
              </w:rPr>
              <w:t xml:space="preserve"> s. 17</w:t>
            </w:r>
          </w:p>
        </w:tc>
        <w:tc>
          <w:tcPr>
            <w:tcW w:w="1130" w:type="dxa"/>
            <w:gridSpan w:val="2"/>
          </w:tcPr>
          <w:p>
            <w:pPr>
              <w:pStyle w:val="nTable"/>
              <w:spacing w:after="40"/>
            </w:pPr>
            <w:r>
              <w:t>46 of 2009</w:t>
            </w:r>
          </w:p>
        </w:tc>
        <w:tc>
          <w:tcPr>
            <w:tcW w:w="1130" w:type="dxa"/>
            <w:gridSpan w:val="2"/>
          </w:tcPr>
          <w:p>
            <w:pPr>
              <w:pStyle w:val="nTable"/>
              <w:spacing w:after="40"/>
            </w:pPr>
            <w:r>
              <w:t>3 Dec 2009</w:t>
            </w:r>
          </w:p>
        </w:tc>
        <w:tc>
          <w:tcPr>
            <w:tcW w:w="2542" w:type="dxa"/>
            <w:gridSpan w:val="2"/>
          </w:tcPr>
          <w:p>
            <w:pPr>
              <w:pStyle w:val="nTable"/>
              <w:spacing w:after="40"/>
            </w:pPr>
            <w:r>
              <w:t>4 Dec 2009 (see s. 2(b))</w:t>
            </w:r>
          </w:p>
        </w:tc>
      </w:tr>
      <w:tr>
        <w:tblPrEx>
          <w:tblBorders>
            <w:bottom w:val="none" w:sz="0" w:space="0" w:color="auto"/>
          </w:tblBorders>
        </w:tblPrEx>
        <w:trPr>
          <w:cantSplit/>
        </w:trPr>
        <w:tc>
          <w:tcPr>
            <w:tcW w:w="2258" w:type="dxa"/>
            <w:gridSpan w:val="3"/>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Pt. 4 Div. 1</w:t>
            </w:r>
          </w:p>
        </w:tc>
        <w:tc>
          <w:tcPr>
            <w:tcW w:w="1130" w:type="dxa"/>
            <w:gridSpan w:val="2"/>
          </w:tcPr>
          <w:p>
            <w:pPr>
              <w:pStyle w:val="nTable"/>
              <w:spacing w:after="40"/>
            </w:pPr>
            <w:r>
              <w:t>14 of 2010</w:t>
            </w:r>
          </w:p>
        </w:tc>
        <w:tc>
          <w:tcPr>
            <w:tcW w:w="1130" w:type="dxa"/>
            <w:gridSpan w:val="2"/>
          </w:tcPr>
          <w:p>
            <w:pPr>
              <w:pStyle w:val="nTable"/>
              <w:spacing w:after="40"/>
            </w:pPr>
            <w:r>
              <w:t>25 Jun 2010</w:t>
            </w:r>
          </w:p>
        </w:tc>
        <w:tc>
          <w:tcPr>
            <w:tcW w:w="2542" w:type="dxa"/>
            <w:gridSpan w:val="2"/>
          </w:tcPr>
          <w:p>
            <w:pPr>
              <w:pStyle w:val="nTable"/>
              <w:spacing w:after="40"/>
            </w:pPr>
            <w:r>
              <w:t xml:space="preserve">1 Jul 2010 (see s. 2(b) and </w:t>
            </w:r>
            <w:r>
              <w:rPr>
                <w:i/>
                <w:iCs/>
              </w:rPr>
              <w:t xml:space="preserve">Gazette </w:t>
            </w:r>
            <w:r>
              <w:t>30 Jun 2010 p. 3185)</w:t>
            </w:r>
          </w:p>
        </w:tc>
      </w:tr>
      <w:tr>
        <w:trPr>
          <w:gridBefore w:val="1"/>
          <w:gridAfter w:val="1"/>
          <w:wBefore w:w="15" w:type="dxa"/>
          <w:wAfter w:w="16" w:type="dxa"/>
          <w:cantSplit/>
        </w:trPr>
        <w:tc>
          <w:tcPr>
            <w:tcW w:w="2221"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gridSpan w:val="2"/>
          </w:tcPr>
          <w:p>
            <w:pPr>
              <w:pStyle w:val="nTable"/>
              <w:spacing w:after="40"/>
              <w:rPr>
                <w:snapToGrid w:val="0"/>
              </w:rPr>
            </w:pPr>
            <w:r>
              <w:rPr>
                <w:snapToGrid w:val="0"/>
              </w:rPr>
              <w:t>19 of 2010</w:t>
            </w:r>
          </w:p>
        </w:tc>
        <w:tc>
          <w:tcPr>
            <w:tcW w:w="1131" w:type="dxa"/>
            <w:gridSpan w:val="2"/>
          </w:tcPr>
          <w:p>
            <w:pPr>
              <w:pStyle w:val="nTable"/>
              <w:spacing w:after="40"/>
              <w:rPr>
                <w:snapToGrid w:val="0"/>
              </w:rPr>
            </w:pPr>
            <w:r>
              <w:rPr>
                <w:snapToGrid w:val="0"/>
              </w:rPr>
              <w:t>28 Jun 2010</w:t>
            </w:r>
          </w:p>
        </w:tc>
        <w:tc>
          <w:tcPr>
            <w:tcW w:w="254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bottom w:val="none" w:sz="0" w:space="0" w:color="auto"/>
          </w:tblBorders>
        </w:tblPrEx>
        <w:trPr>
          <w:gridBefore w:val="1"/>
          <w:gridAfter w:val="1"/>
          <w:wBefore w:w="15" w:type="dxa"/>
          <w:wAfter w:w="16" w:type="dxa"/>
          <w:cantSplit/>
        </w:trPr>
        <w:tc>
          <w:tcPr>
            <w:tcW w:w="2221" w:type="dxa"/>
            <w:tcBorders>
              <w:bottom w:val="single" w:sz="4" w:space="0" w:color="auto"/>
            </w:tcBorders>
          </w:tcPr>
          <w:p>
            <w:pPr>
              <w:pStyle w:val="nTable"/>
              <w:spacing w:after="40"/>
              <w:ind w:right="113"/>
              <w:rPr>
                <w:i/>
                <w:snapToGrid w:val="0"/>
              </w:rPr>
            </w:pPr>
            <w:r>
              <w:rPr>
                <w:i/>
                <w:iCs/>
                <w:snapToGrid w:val="0"/>
              </w:rPr>
              <w:t xml:space="preserve">Road Traffic Legislation Amendment Act 2012 </w:t>
            </w:r>
            <w:r>
              <w:rPr>
                <w:iCs/>
                <w:snapToGrid w:val="0"/>
              </w:rPr>
              <w:t>Pt. 4 Div. 22</w:t>
            </w:r>
            <w:r>
              <w:rPr>
                <w:rFonts w:ascii="Times" w:hAnsi="Times"/>
                <w:iCs/>
                <w:snapToGrid w:val="0"/>
                <w:vertAlign w:val="superscript"/>
              </w:rPr>
              <w:t> </w:t>
            </w:r>
          </w:p>
        </w:tc>
        <w:tc>
          <w:tcPr>
            <w:tcW w:w="1134" w:type="dxa"/>
            <w:gridSpan w:val="2"/>
            <w:tcBorders>
              <w:bottom w:val="single" w:sz="4" w:space="0" w:color="auto"/>
            </w:tcBorders>
          </w:tcPr>
          <w:p>
            <w:pPr>
              <w:pStyle w:val="nTable"/>
              <w:spacing w:after="40"/>
              <w:rPr>
                <w:snapToGrid w:val="0"/>
              </w:rPr>
            </w:pPr>
            <w:r>
              <w:rPr>
                <w:snapToGrid w:val="0"/>
              </w:rPr>
              <w:t>8 of 2012</w:t>
            </w:r>
          </w:p>
        </w:tc>
        <w:tc>
          <w:tcPr>
            <w:tcW w:w="1131" w:type="dxa"/>
            <w:gridSpan w:val="2"/>
            <w:tcBorders>
              <w:bottom w:val="single" w:sz="4" w:space="0" w:color="auto"/>
            </w:tcBorders>
          </w:tcPr>
          <w:p>
            <w:pPr>
              <w:pStyle w:val="nTable"/>
              <w:spacing w:after="40"/>
              <w:rPr>
                <w:snapToGrid w:val="0"/>
              </w:rPr>
            </w:pPr>
            <w:r>
              <w:t>21 May 2012</w:t>
            </w:r>
          </w:p>
        </w:tc>
        <w:tc>
          <w:tcPr>
            <w:tcW w:w="2543" w:type="dxa"/>
            <w:gridSpan w:val="2"/>
            <w:tcBorders>
              <w:bottom w:val="single" w:sz="4" w:space="0" w:color="auto"/>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bl>
    <w:p>
      <w:pPr>
        <w:pStyle w:val="nSubsection"/>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224" w:name="_Toc378249353"/>
      <w:bookmarkStart w:id="225" w:name="_Toc416875813"/>
      <w:r>
        <w:t>Provisions that have not come into operation</w:t>
      </w:r>
      <w:bookmarkEnd w:id="224"/>
      <w:bookmarkEnd w:id="225"/>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9"/>
        <w:gridCol w:w="2551"/>
      </w:tblGrid>
      <w:tr>
        <w:trPr>
          <w:cantSplit/>
          <w:tblHeader/>
        </w:trPr>
        <w:tc>
          <w:tcPr>
            <w:tcW w:w="2273" w:type="dxa"/>
            <w:tcBorders>
              <w:top w:val="single" w:sz="8" w:space="0" w:color="auto"/>
              <w:bottom w:val="single" w:sz="8" w:space="0" w:color="auto"/>
            </w:tcBorders>
          </w:tcPr>
          <w:p>
            <w:pPr>
              <w:pStyle w:val="nTable"/>
              <w:keepNext/>
              <w:keepLines/>
              <w:spacing w:after="40"/>
              <w:ind w:right="113"/>
              <w:rPr>
                <w:b/>
              </w:rPr>
            </w:pPr>
            <w:r>
              <w:rPr>
                <w:b/>
              </w:rPr>
              <w:t>Short title</w:t>
            </w:r>
          </w:p>
        </w:tc>
        <w:tc>
          <w:tcPr>
            <w:tcW w:w="1139" w:type="dxa"/>
            <w:tcBorders>
              <w:top w:val="single" w:sz="8" w:space="0" w:color="auto"/>
              <w:bottom w:val="single" w:sz="8" w:space="0" w:color="auto"/>
            </w:tcBorders>
          </w:tcPr>
          <w:p>
            <w:pPr>
              <w:pStyle w:val="nTable"/>
              <w:keepNext/>
              <w:keepLines/>
              <w:spacing w:after="40"/>
              <w:rPr>
                <w:b/>
              </w:rPr>
            </w:pPr>
            <w:r>
              <w:rPr>
                <w:b/>
              </w:rPr>
              <w:t>Number and year</w:t>
            </w:r>
          </w:p>
        </w:tc>
        <w:tc>
          <w:tcPr>
            <w:tcW w:w="1139" w:type="dxa"/>
            <w:tcBorders>
              <w:top w:val="single" w:sz="8" w:space="0" w:color="auto"/>
              <w:bottom w:val="single" w:sz="8" w:space="0" w:color="auto"/>
            </w:tcBorders>
          </w:tcPr>
          <w:p>
            <w:pPr>
              <w:pStyle w:val="nTable"/>
              <w:keepNext/>
              <w:keepLines/>
              <w:spacing w:after="40"/>
              <w:rPr>
                <w:b/>
              </w:rPr>
            </w:pPr>
            <w:r>
              <w:rPr>
                <w:b/>
              </w:rPr>
              <w:t>Assent</w:t>
            </w:r>
          </w:p>
        </w:tc>
        <w:tc>
          <w:tcPr>
            <w:tcW w:w="2551" w:type="dxa"/>
            <w:tcBorders>
              <w:top w:val="single" w:sz="8" w:space="0" w:color="auto"/>
              <w:bottom w:val="single" w:sz="8" w:space="0" w:color="auto"/>
            </w:tcBorders>
          </w:tcPr>
          <w:p>
            <w:pPr>
              <w:pStyle w:val="nTable"/>
              <w:keepNext/>
              <w:keepLines/>
              <w:spacing w:after="40"/>
              <w:rPr>
                <w:b/>
              </w:rPr>
            </w:pPr>
            <w:r>
              <w:rPr>
                <w:b/>
              </w:rPr>
              <w:t>Commencement</w:t>
            </w:r>
          </w:p>
        </w:tc>
      </w:tr>
      <w:tr>
        <w:tc>
          <w:tcPr>
            <w:tcW w:w="2273" w:type="dxa"/>
            <w:tcBorders>
              <w:top w:val="single" w:sz="8" w:space="0" w:color="auto"/>
              <w:bottom w:val="single" w:sz="4" w:space="0" w:color="auto"/>
            </w:tcBorders>
          </w:tcPr>
          <w:p>
            <w:pPr>
              <w:pStyle w:val="nTable"/>
              <w:spacing w:after="40"/>
              <w:rPr>
                <w:vertAlign w:val="superscript"/>
              </w:rPr>
            </w:pPr>
            <w:r>
              <w:rPr>
                <w:i/>
                <w:iCs/>
                <w:snapToGrid w:val="0"/>
              </w:rPr>
              <w:t xml:space="preserve">Credit (Commonwealth Powers) (Transitional and Consequential Provisions) Act 2010 </w:t>
            </w:r>
            <w:r>
              <w:rPr>
                <w:snapToGrid w:val="0"/>
              </w:rPr>
              <w:t xml:space="preserve">Pt. 5 Div. 1 </w:t>
            </w:r>
            <w:r>
              <w:rPr>
                <w:snapToGrid w:val="0"/>
                <w:vertAlign w:val="superscript"/>
              </w:rPr>
              <w:t>10</w:t>
            </w:r>
          </w:p>
        </w:tc>
        <w:tc>
          <w:tcPr>
            <w:tcW w:w="1139" w:type="dxa"/>
            <w:tcBorders>
              <w:top w:val="single" w:sz="8" w:space="0" w:color="auto"/>
              <w:bottom w:val="single" w:sz="4" w:space="0" w:color="auto"/>
            </w:tcBorders>
          </w:tcPr>
          <w:p>
            <w:pPr>
              <w:pStyle w:val="nTable"/>
              <w:keepNext/>
              <w:keepLines/>
              <w:spacing w:after="40"/>
            </w:pPr>
            <w:r>
              <w:t>14 of 2010</w:t>
            </w:r>
          </w:p>
        </w:tc>
        <w:tc>
          <w:tcPr>
            <w:tcW w:w="1139" w:type="dxa"/>
            <w:tcBorders>
              <w:top w:val="single" w:sz="8" w:space="0" w:color="auto"/>
              <w:bottom w:val="single" w:sz="4" w:space="0" w:color="auto"/>
            </w:tcBorders>
          </w:tcPr>
          <w:p>
            <w:pPr>
              <w:pStyle w:val="nTable"/>
              <w:keepNext/>
              <w:keepLines/>
              <w:spacing w:after="40"/>
            </w:pPr>
            <w:r>
              <w:t>25 Jun 2010</w:t>
            </w:r>
          </w:p>
        </w:tc>
        <w:tc>
          <w:tcPr>
            <w:tcW w:w="2551" w:type="dxa"/>
            <w:tcBorders>
              <w:top w:val="single" w:sz="8" w:space="0" w:color="auto"/>
              <w:bottom w:val="single" w:sz="4" w:space="0" w:color="auto"/>
            </w:tcBorders>
          </w:tcPr>
          <w:p>
            <w:pPr>
              <w:pStyle w:val="nTable"/>
              <w:keepNext/>
              <w:keepLines/>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The appointed day is 1 August 1977; see </w:t>
      </w:r>
      <w:r>
        <w:rPr>
          <w:i/>
          <w:snapToGrid w:val="0"/>
        </w:rPr>
        <w:t>Gazette</w:t>
      </w:r>
      <w:r>
        <w:rPr>
          <w:snapToGrid w:val="0"/>
        </w:rPr>
        <w:t xml:space="preserve"> 17 June 1977 p. 1834.</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Subsection"/>
      </w:pPr>
      <w:r>
        <w:rPr>
          <w:vertAlign w:val="superscript"/>
        </w:rPr>
        <w:t>4</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keepLines/>
        <w:rPr>
          <w:snapToGrid w:val="0"/>
        </w:rPr>
      </w:pPr>
      <w:r>
        <w:rPr>
          <w:vertAlign w:val="superscript"/>
        </w:rPr>
        <w:t>5</w:t>
      </w:r>
      <w:r>
        <w:rPr>
          <w:vertAlign w:val="superscript"/>
        </w:rPr>
        <w:tab/>
      </w:r>
      <w:r>
        <w:rPr>
          <w:snapToGrid w:val="0"/>
        </w:rPr>
        <w:t xml:space="preserve">The </w:t>
      </w:r>
      <w:r>
        <w:rPr>
          <w:i/>
          <w:iCs/>
          <w:snapToGrid w:val="0"/>
        </w:rPr>
        <w:t>Finance Brokers Control Amendment Act 2004</w:t>
      </w:r>
      <w:r>
        <w:rPr>
          <w:snapToGrid w:val="0"/>
        </w:rPr>
        <w:t xml:space="preserve"> Sch. 1 reads as follows:</w:t>
      </w:r>
    </w:p>
    <w:p>
      <w:pPr>
        <w:pStyle w:val="BlankOpen"/>
      </w:pPr>
    </w:p>
    <w:p>
      <w:pPr>
        <w:pStyle w:val="nzHeading2"/>
        <w:keepLines/>
      </w:pPr>
      <w:r>
        <w:rPr>
          <w:rStyle w:val="CharSchNo"/>
        </w:rPr>
        <w:t>Schedule 1</w:t>
      </w:r>
      <w:r>
        <w:t> — </w:t>
      </w:r>
      <w:r>
        <w:rPr>
          <w:rStyle w:val="CharSchText"/>
        </w:rPr>
        <w:t>Transitional and savings</w:t>
      </w:r>
    </w:p>
    <w:p>
      <w:pPr>
        <w:pStyle w:val="nzMiscellaneousBody"/>
        <w:keepNext/>
        <w:keepLines/>
        <w:jc w:val="right"/>
      </w:pPr>
      <w:r>
        <w:t>[s. 78]</w:t>
      </w:r>
    </w:p>
    <w:p>
      <w:pPr>
        <w:pStyle w:val="nzHeading5"/>
      </w:pPr>
      <w:r>
        <w:t>1.</w:t>
      </w:r>
      <w:r>
        <w:tab/>
        <w:t>Meanings of terms used in this Schedule</w:t>
      </w:r>
    </w:p>
    <w:p>
      <w:pPr>
        <w:pStyle w:val="nzSubsection"/>
        <w:keepNext/>
        <w:keepLines/>
      </w:pPr>
      <w:r>
        <w:tab/>
      </w:r>
      <w:r>
        <w:tab/>
        <w:t xml:space="preserve">In this Schedule, unless the contrary intention appears — </w:t>
      </w:r>
    </w:p>
    <w:p>
      <w:pPr>
        <w:pStyle w:val="nzDefstart"/>
      </w:pPr>
      <w:r>
        <w:tab/>
      </w:r>
      <w:r>
        <w:rPr>
          <w:rStyle w:val="CharDefText"/>
        </w:rPr>
        <w:t>Board</w:t>
      </w:r>
      <w:r>
        <w:t xml:space="preserve"> means the Finance Brokers Supervisory Board as constituted under the Finance Brokers Act;</w:t>
      </w:r>
    </w:p>
    <w:p>
      <w:pPr>
        <w:pStyle w:val="nzDefstart"/>
      </w:pPr>
      <w:r>
        <w:tab/>
      </w:r>
      <w:r>
        <w:rPr>
          <w:rStyle w:val="CharDefText"/>
        </w:rPr>
        <w:t>commencement day</w:t>
      </w:r>
      <w:r>
        <w:t xml:space="preserve"> means the day fixed under section 2 as the day on which this Act comes into operation;</w:t>
      </w:r>
    </w:p>
    <w:p>
      <w:pPr>
        <w:pStyle w:val="nzDefstart"/>
      </w:pPr>
      <w:r>
        <w:tab/>
      </w:r>
      <w:r>
        <w:rPr>
          <w:rStyle w:val="CharDefText"/>
        </w:rPr>
        <w:t>Finance Brokers Act</w:t>
      </w:r>
      <w:r>
        <w:t xml:space="preserve"> means the </w:t>
      </w:r>
      <w:r>
        <w:rPr>
          <w:i/>
        </w:rPr>
        <w:t>Finance Brokers Control Act 1975</w:t>
      </w:r>
      <w:r>
        <w:t xml:space="preserve"> as in force immediately before the commencement day.</w:t>
      </w:r>
    </w:p>
    <w:p>
      <w:pPr>
        <w:pStyle w:val="nzHeading5"/>
        <w:keepNext w:val="0"/>
        <w:keepLines w:val="0"/>
      </w:pPr>
      <w:r>
        <w:t>2.</w:t>
      </w:r>
      <w:r>
        <w:tab/>
        <w:t>Interpretation Act to apply</w:t>
      </w:r>
    </w:p>
    <w:p>
      <w:pPr>
        <w:pStyle w:val="nzSubsection"/>
      </w:pPr>
      <w:r>
        <w:tab/>
      </w:r>
      <w:r>
        <w:tab/>
        <w:t xml:space="preserve">This Schedule does not limit the operation of the </w:t>
      </w:r>
      <w:r>
        <w:rPr>
          <w:i/>
        </w:rPr>
        <w:t>Interpretation Act 1984</w:t>
      </w:r>
      <w:r>
        <w:t>.</w:t>
      </w:r>
    </w:p>
    <w:p>
      <w:pPr>
        <w:pStyle w:val="nzHeading5"/>
        <w:keepNext w:val="0"/>
        <w:keepLines w:val="0"/>
      </w:pPr>
      <w:r>
        <w:t>3.</w:t>
      </w:r>
      <w:r>
        <w:tab/>
        <w:t>Board dissolved</w:t>
      </w:r>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r>
        <w:t>4.</w:t>
      </w:r>
      <w:r>
        <w:tab/>
        <w:t>Winding up of affairs of the Board</w:t>
      </w:r>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r>
        <w:t>5.</w:t>
      </w:r>
      <w:r>
        <w:tab/>
        <w:t>Registrar’s certificate</w:t>
      </w:r>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r>
        <w:t>6.</w:t>
      </w:r>
      <w:r>
        <w:tab/>
        <w:t>Final report</w:t>
      </w:r>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(1) as if the section had not been repealed.</w:t>
      </w:r>
    </w:p>
    <w:p>
      <w:pPr>
        <w:pStyle w:val="nzHeading5"/>
      </w:pPr>
      <w:r>
        <w:t>7.</w:t>
      </w:r>
      <w:r>
        <w:tab/>
        <w:t>Bond in respect of business certificate</w:t>
      </w:r>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r>
        <w:t>8.</w:t>
      </w:r>
      <w:r>
        <w:tab/>
        <w:t>Persons licensed or to whom an exception applied under the Finance Brokers Act before the commencement day</w:t>
      </w:r>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r>
        <w:t>9.</w:t>
      </w:r>
      <w:r>
        <w:tab/>
        <w:t>Persons licensed, but without a business certificate, under the Finance Brokers Act before the commencement day</w:t>
      </w:r>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r>
        <w:t>10.</w:t>
      </w:r>
      <w:r>
        <w:tab/>
      </w:r>
      <w:r>
        <w:rPr>
          <w:snapToGrid w:val="0"/>
        </w:rPr>
        <w:t>Licence condition revoked on commencement day</w:t>
      </w:r>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pPr>
      <w:r>
        <w:t>11.</w:t>
      </w:r>
      <w:r>
        <w:tab/>
        <w:t>Applications for certificates and licenses</w:t>
      </w:r>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pPr>
      <w:r>
        <w:t>12.</w:t>
      </w:r>
      <w:r>
        <w:tab/>
        <w:t>Further transitional provision may be made</w:t>
      </w:r>
    </w:p>
    <w:p>
      <w:pPr>
        <w:pStyle w:val="nz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r>
      <w:r>
        <w:rPr>
          <w:rStyle w:val="CharDefText"/>
        </w:rPr>
        <w:t>transitional matter</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BlankClose"/>
      </w:pPr>
    </w:p>
    <w:p>
      <w:pPr>
        <w:pStyle w:val="nSubsection"/>
        <w:keepNext/>
        <w:keepLines/>
        <w:rPr>
          <w:snapToGrid w:val="0"/>
        </w:rPr>
      </w:pPr>
      <w:r>
        <w:rPr>
          <w:vertAlign w:val="superscript"/>
        </w:rPr>
        <w:t>6</w:t>
      </w:r>
      <w:r>
        <w:tab/>
        <w:t xml:space="preserve">The amendment in the </w:t>
      </w:r>
      <w:r>
        <w:rPr>
          <w:i/>
          <w:iCs/>
        </w:rPr>
        <w:t>Finance Brokers Amendment Act 2004</w:t>
      </w:r>
      <w:r>
        <w:t xml:space="preserve"> s. 74(2) is not included because the subsection it sought to amend had been replaced by the </w:t>
      </w:r>
      <w:r>
        <w:rPr>
          <w:i/>
          <w:iCs/>
          <w:snapToGrid w:val="0"/>
        </w:rPr>
        <w:t xml:space="preserve">Criminal Procedure and Appeals (Consequential and Other Provisions) Act 2004 </w:t>
      </w:r>
      <w:r>
        <w:t>s. 78 before it purported to come into operation.</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snapToGrid w:val="0"/>
        </w:rPr>
      </w:pPr>
      <w:r>
        <w:rPr>
          <w:snapToGrid w:val="0"/>
          <w:vertAlign w:val="superscript"/>
        </w:rPr>
        <w:t>8</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vertAlign w:val="superscript"/>
        </w:rPr>
        <w:t>10</w:t>
      </w:r>
      <w:r>
        <w:tab/>
      </w:r>
      <w:r>
        <w:rPr>
          <w:snapToGrid w:val="0"/>
        </w:rPr>
        <w:t xml:space="preserve">On the date as at which this compilation was prepared, the </w:t>
      </w:r>
      <w:r>
        <w:rPr>
          <w:i/>
          <w:snapToGrid w:val="0"/>
        </w:rPr>
        <w:t>Credit (Commonwealth Powers) (Transitional and Consequential Provisions) Act 2010</w:t>
      </w:r>
      <w:r>
        <w:rPr>
          <w:iCs/>
          <w:snapToGrid w:val="0"/>
        </w:rPr>
        <w:t xml:space="preserve"> Pt. 5 Div. 1</w:t>
      </w:r>
      <w:r>
        <w:rPr>
          <w:snapToGrid w:val="0"/>
        </w:rPr>
        <w:t xml:space="preserve"> </w:t>
      </w:r>
      <w:r>
        <w:rPr>
          <w:iCs/>
          <w:snapToGrid w:val="0"/>
        </w:rPr>
        <w:t>had</w:t>
      </w:r>
      <w:r>
        <w:rPr>
          <w:snapToGrid w:val="0"/>
        </w:rPr>
        <w:t xml:space="preserve"> not come into operation.  It reads as follows:</w:t>
      </w:r>
    </w:p>
    <w:p>
      <w:pPr>
        <w:pStyle w:val="BlankOpen"/>
      </w:pPr>
    </w:p>
    <w:p>
      <w:pPr>
        <w:pStyle w:val="nzHeading2"/>
      </w:pPr>
      <w:r>
        <w:rPr>
          <w:rStyle w:val="CharPartNo"/>
        </w:rPr>
        <w:t>Part 5</w:t>
      </w:r>
      <w:r>
        <w:t> — </w:t>
      </w:r>
      <w:r>
        <w:rPr>
          <w:rStyle w:val="CharPartText"/>
          <w:i/>
          <w:iCs/>
        </w:rPr>
        <w:t>Finance Brokers Control Act 1975</w:t>
      </w:r>
      <w:r>
        <w:rPr>
          <w:rStyle w:val="CharPartText"/>
        </w:rPr>
        <w:t xml:space="preserve"> repealed</w:t>
      </w:r>
    </w:p>
    <w:p>
      <w:pPr>
        <w:pStyle w:val="nzHeading3"/>
      </w:pPr>
      <w:r>
        <w:rPr>
          <w:rStyle w:val="CharDivNo"/>
        </w:rPr>
        <w:t>Division 1</w:t>
      </w:r>
      <w:r>
        <w:t> — </w:t>
      </w:r>
      <w:r>
        <w:rPr>
          <w:rStyle w:val="CharDivText"/>
        </w:rPr>
        <w:t>Repeal</w:t>
      </w:r>
    </w:p>
    <w:p>
      <w:pPr>
        <w:pStyle w:val="nzHeading5"/>
      </w:pPr>
      <w:r>
        <w:rPr>
          <w:rStyle w:val="CharSectno"/>
        </w:rPr>
        <w:t>80</w:t>
      </w:r>
      <w:r>
        <w:t>.</w:t>
      </w:r>
      <w:r>
        <w:tab/>
      </w:r>
      <w:r>
        <w:rPr>
          <w:i/>
        </w:rPr>
        <w:t>Finance Brokers Control Act 1975</w:t>
      </w:r>
      <w:r>
        <w:rPr>
          <w:iCs/>
        </w:rPr>
        <w:t xml:space="preserve"> repealed</w:t>
      </w:r>
    </w:p>
    <w:p>
      <w:pPr>
        <w:pStyle w:val="nzSubsection"/>
      </w:pPr>
      <w:r>
        <w:tab/>
      </w:r>
      <w:r>
        <w:tab/>
        <w:t xml:space="preserve">The </w:t>
      </w:r>
      <w:r>
        <w:rPr>
          <w:i/>
        </w:rPr>
        <w:t>Finance Brokers Control Act 1975</w:t>
      </w:r>
      <w:r>
        <w:t xml:space="preserve"> is repealed.</w:t>
      </w:r>
    </w:p>
    <w:p>
      <w:pPr>
        <w:pStyle w:val="BlankClose"/>
      </w:pPr>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rPr>
          <w:sz w:val="28"/>
        </w:rPr>
      </w:pPr>
      <w:bookmarkStart w:id="227" w:name="_Toc416875814"/>
      <w:r>
        <w:rPr>
          <w:sz w:val="28"/>
        </w:rPr>
        <w:t>Defined terms</w:t>
      </w:r>
      <w:bookmarkEnd w:id="2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4, 26(2)</w:t>
      </w:r>
    </w:p>
    <w:p>
      <w:pPr>
        <w:pStyle w:val="DefinedTerms"/>
      </w:pPr>
      <w:r>
        <w:t>approved</w:t>
      </w:r>
      <w:r>
        <w:tab/>
        <w:t>4</w:t>
      </w:r>
    </w:p>
    <w:p>
      <w:pPr>
        <w:pStyle w:val="DefinedTerms"/>
      </w:pPr>
      <w:r>
        <w:t>auditor</w:t>
      </w:r>
      <w:r>
        <w:tab/>
        <w:t>4</w:t>
      </w:r>
    </w:p>
    <w:p>
      <w:pPr>
        <w:pStyle w:val="DefinedTerms"/>
      </w:pPr>
      <w:r>
        <w:t>authorised person</w:t>
      </w:r>
      <w:r>
        <w:tab/>
        <w:t>92A(1)</w:t>
      </w:r>
    </w:p>
    <w:p>
      <w:pPr>
        <w:pStyle w:val="DefinedTerms"/>
      </w:pPr>
      <w:r>
        <w:t>bank</w:t>
      </w:r>
      <w:r>
        <w:tab/>
        <w:t>4</w:t>
      </w:r>
    </w:p>
    <w:p>
      <w:pPr>
        <w:pStyle w:val="DefinedTerms"/>
      </w:pPr>
      <w:r>
        <w:t>banker</w:t>
      </w:r>
      <w:r>
        <w:tab/>
        <w:t>47</w:t>
      </w:r>
    </w:p>
    <w:p>
      <w:pPr>
        <w:pStyle w:val="DefinedTerms"/>
      </w:pPr>
      <w:r>
        <w:t>business</w:t>
      </w:r>
      <w:r>
        <w:tab/>
        <w:t>4</w:t>
      </w:r>
    </w:p>
    <w:p>
      <w:pPr>
        <w:pStyle w:val="DefinedTerms"/>
      </w:pPr>
      <w:r>
        <w:t>business day</w:t>
      </w:r>
      <w:r>
        <w:tab/>
        <w:t>47</w:t>
      </w:r>
    </w:p>
    <w:p>
      <w:pPr>
        <w:pStyle w:val="DefinedTerms"/>
      </w:pPr>
      <w:r>
        <w:t>Commissioner</w:t>
      </w:r>
      <w:r>
        <w:tab/>
        <w:t>4</w:t>
      </w:r>
    </w:p>
    <w:p>
      <w:pPr>
        <w:pStyle w:val="DefinedTerms"/>
      </w:pPr>
      <w:r>
        <w:t>condition</w:t>
      </w:r>
      <w:r>
        <w:tab/>
        <w:t>4</w:t>
      </w:r>
    </w:p>
    <w:p>
      <w:pPr>
        <w:pStyle w:val="DefinedTerms"/>
      </w:pPr>
      <w:r>
        <w:t>Consumer Credit (Western Australia) Code</w:t>
      </w:r>
      <w:r>
        <w:tab/>
        <w:t>45(5)</w:t>
      </w:r>
    </w:p>
    <w:p>
      <w:pPr>
        <w:pStyle w:val="DefinedTerms"/>
      </w:pPr>
      <w:r>
        <w:t>department</w:t>
      </w:r>
      <w:r>
        <w:tab/>
        <w:t>4</w:t>
      </w:r>
    </w:p>
    <w:p>
      <w:pPr>
        <w:pStyle w:val="DefinedTerms"/>
      </w:pPr>
      <w:r>
        <w:t>executive officer</w:t>
      </w:r>
      <w:r>
        <w:tab/>
        <w:t>6(3)</w:t>
      </w:r>
    </w:p>
    <w:p>
      <w:pPr>
        <w:pStyle w:val="DefinedTerms"/>
      </w:pPr>
      <w:r>
        <w:t>finance broker</w:t>
      </w:r>
      <w:r>
        <w:tab/>
        <w:t>4, 5(1), 72(5)</w:t>
      </w:r>
    </w:p>
    <w:p>
      <w:pPr>
        <w:pStyle w:val="DefinedTerms"/>
      </w:pPr>
      <w:r>
        <w:t>finance brokers code of conduct</w:t>
      </w:r>
      <w:r>
        <w:tab/>
        <w:t>4</w:t>
      </w:r>
    </w:p>
    <w:p>
      <w:pPr>
        <w:pStyle w:val="DefinedTerms"/>
      </w:pPr>
      <w:r>
        <w:t>former Board</w:t>
      </w:r>
      <w:r>
        <w:tab/>
        <w:t>88(4)</w:t>
      </w:r>
    </w:p>
    <w:p>
      <w:pPr>
        <w:pStyle w:val="DefinedTerms"/>
      </w:pPr>
      <w:r>
        <w:t>information</w:t>
      </w:r>
      <w:r>
        <w:tab/>
        <w:t>18H(3)</w:t>
      </w:r>
    </w:p>
    <w:p>
      <w:pPr>
        <w:pStyle w:val="DefinedTerms"/>
      </w:pPr>
      <w:r>
        <w:t>investigative function</w:t>
      </w:r>
      <w:r>
        <w:tab/>
        <w:t>15(4)</w:t>
      </w:r>
    </w:p>
    <w:p>
      <w:pPr>
        <w:pStyle w:val="DefinedTerms"/>
      </w:pPr>
      <w:r>
        <w:t>investigator</w:t>
      </w:r>
      <w:r>
        <w:tab/>
        <w:t>4</w:t>
      </w:r>
    </w:p>
    <w:p>
      <w:pPr>
        <w:pStyle w:val="DefinedTerms"/>
      </w:pPr>
      <w:r>
        <w:t>licence</w:t>
      </w:r>
      <w:r>
        <w:tab/>
        <w:t>4</w:t>
      </w:r>
    </w:p>
    <w:p>
      <w:pPr>
        <w:pStyle w:val="DefinedTerms"/>
      </w:pPr>
      <w:r>
        <w:t>licensed</w:t>
      </w:r>
      <w:r>
        <w:tab/>
        <w:t>4</w:t>
      </w:r>
    </w:p>
    <w:p>
      <w:pPr>
        <w:pStyle w:val="DefinedTerms"/>
      </w:pPr>
      <w:r>
        <w:t>licensee</w:t>
      </w:r>
      <w:r>
        <w:tab/>
        <w:t>4</w:t>
      </w:r>
    </w:p>
    <w:p>
      <w:pPr>
        <w:pStyle w:val="DefinedTerms"/>
      </w:pPr>
      <w:r>
        <w:t>motor vehicle</w:t>
      </w:r>
      <w:r>
        <w:tab/>
        <w:t>4</w:t>
      </w:r>
    </w:p>
    <w:p>
      <w:pPr>
        <w:pStyle w:val="DefinedTerms"/>
      </w:pPr>
      <w:r>
        <w:t>person aggrieved</w:t>
      </w:r>
      <w:r>
        <w:tab/>
        <w:t>23(2)</w:t>
      </w:r>
    </w:p>
    <w:p>
      <w:pPr>
        <w:pStyle w:val="DefinedTerms"/>
      </w:pPr>
      <w:r>
        <w:t>renewal</w:t>
      </w:r>
      <w:r>
        <w:tab/>
        <w:t>4</w:t>
      </w:r>
    </w:p>
    <w:p>
      <w:pPr>
        <w:pStyle w:val="DefinedTerms"/>
      </w:pPr>
      <w:r>
        <w:t>reviewable decision</w:t>
      </w:r>
      <w:r>
        <w:tab/>
        <w:t>23(2)</w:t>
      </w:r>
    </w:p>
    <w:p>
      <w:pPr>
        <w:pStyle w:val="DefinedTerms"/>
      </w:pPr>
      <w:r>
        <w:t>supervisor</w:t>
      </w:r>
      <w:r>
        <w:tab/>
        <w:t>4</w:t>
      </w:r>
    </w:p>
    <w:p>
      <w:pPr>
        <w:pStyle w:val="DefinedTerms"/>
      </w:pPr>
      <w:r>
        <w:t>trust account</w:t>
      </w:r>
      <w:r>
        <w:tab/>
        <w:t>72(5)</w:t>
      </w:r>
    </w:p>
    <w:p>
      <w:pPr>
        <w:pStyle w:val="DefinedTerms"/>
      </w:pPr>
      <w:r>
        <w:t>trust accounts</w:t>
      </w:r>
      <w:r>
        <w:tab/>
        <w:t>47</w:t>
      </w:r>
    </w:p>
    <w:p>
      <w:pPr>
        <w:pStyle w:val="DefinedTerms"/>
      </w:pPr>
      <w:r>
        <w:t>unlicensed finance broker</w:t>
      </w:r>
      <w:r>
        <w:tab/>
        <w:t>40A(1)</w:t>
      </w:r>
    </w:p>
    <w:p>
      <w:pPr>
        <w:pStyle w:val="DefinedTerms"/>
      </w:pPr>
      <w:r>
        <w:t>year</w:t>
      </w:r>
      <w:r>
        <w:tab/>
        <w:t>47</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04-j0-00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Finance Brokers Control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8" w:name="Schedule"/>
    <w:bookmarkEnd w:id="2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6" w:name="Compilation"/>
    <w:bookmarkEnd w:id="2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8" w:name="DefinedTerms"/>
    <w:bookmarkEnd w:id="2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9" w:name="Coversheet"/>
    <w:bookmarkEnd w:id="2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II</w:t>
          </w:r>
          <w:r>
            <w:rPr>
              <w:b/>
            </w:rPr>
            <w:fldChar w:fldCharType="end"/>
          </w:r>
        </w:p>
      </w:tc>
      <w:tc>
        <w:tcPr>
          <w:tcW w:w="5715" w:type="dxa"/>
        </w:tcPr>
        <w:p>
          <w:pPr>
            <w:pStyle w:val="Header"/>
            <w:spacing w:before="40"/>
          </w:pPr>
          <w:r>
            <w:fldChar w:fldCharType="begin"/>
          </w:r>
          <w:r>
            <w:instrText>styleref CharPartText</w:instrText>
          </w:r>
          <w:r>
            <w:fldChar w:fldCharType="separate"/>
          </w:r>
          <w:r>
            <w:t>The Commissioner</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General</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6</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5E4C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9479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9A8D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68F9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010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981D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64E0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EAB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AC696"/>
    <w:lvl w:ilvl="0">
      <w:start w:val="1"/>
      <w:numFmt w:val="decimal"/>
      <w:pStyle w:val="ListNumber"/>
      <w:lvlText w:val="%1."/>
      <w:lvlJc w:val="left"/>
      <w:pPr>
        <w:tabs>
          <w:tab w:val="num" w:pos="360"/>
        </w:tabs>
        <w:ind w:left="360" w:hanging="360"/>
      </w:pPr>
    </w:lvl>
  </w:abstractNum>
  <w:abstractNum w:abstractNumId="9">
    <w:nsid w:val="FFFFFF89"/>
    <w:multiLevelType w:val="singleLevel"/>
    <w:tmpl w:val="9508D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FD68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A8A72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108"/>
    <w:docVar w:name="WAFER_20140123135643" w:val="RemoveTocBookmarks,RemoveUnusedBookmarks,RemoveLanguageTags,UsedStyles,ResetPageSize,UpdateArrangement"/>
    <w:docVar w:name="WAFER_20140123135643_GUID" w:val="cd8f9861-d3e8-4f4a-a9b2-8be57fe95878"/>
    <w:docVar w:name="WAFER_20140123135910" w:val="RemoveTocBookmarks,RunningHeaders"/>
    <w:docVar w:name="WAFER_20140123135910_GUID" w:val="4427560f-2930-447a-afda-e400c9b5da31"/>
    <w:docVar w:name="WAFER_20150415152108" w:val="ResetPageSize,UpdateArrangement,UpdateNTable"/>
    <w:docVar w:name="WAFER_20150415152108_GUID" w:val="a169cb76-e7db-4b87-ac0f-12dd1a1ecc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2.bin"/><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20258</Words>
  <Characters>94406</Characters>
  <Application>Microsoft Office Word</Application>
  <DocSecurity>0</DocSecurity>
  <Lines>2551</Lines>
  <Paragraphs>1333</Paragraphs>
  <ScaleCrop>false</ScaleCrop>
  <HeadingPairs>
    <vt:vector size="2" baseType="variant">
      <vt:variant>
        <vt:lpstr>Title</vt:lpstr>
      </vt:variant>
      <vt:variant>
        <vt:i4>1</vt:i4>
      </vt:variant>
    </vt:vector>
  </HeadingPairs>
  <TitlesOfParts>
    <vt:vector size="1" baseType="lpstr">
      <vt:lpstr>Finance Brokers Control Act 1975</vt:lpstr>
    </vt:vector>
  </TitlesOfParts>
  <Manager/>
  <Company/>
  <LinksUpToDate>false</LinksUpToDate>
  <CharactersWithSpaces>113331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1975 - 04-j0-00</dc:title>
  <dc:subject/>
  <dc:creator/>
  <cp:keywords/>
  <dc:description/>
  <cp:lastModifiedBy>svcMRProcess</cp:lastModifiedBy>
  <cp:revision>4</cp:revision>
  <cp:lastPrinted>2006-10-04T00:53:00Z</cp:lastPrinted>
  <dcterms:created xsi:type="dcterms:W3CDTF">2020-02-14T21:45:00Z</dcterms:created>
  <dcterms:modified xsi:type="dcterms:W3CDTF">2020-02-14T21:45:00Z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269</vt:i4>
  </property>
  <property fmtid="{D5CDD505-2E9C-101B-9397-08002B2CF9AE}" pid="6" name="AsAtDate">
    <vt:lpwstr>27 Apr 2015</vt:lpwstr>
  </property>
  <property fmtid="{D5CDD505-2E9C-101B-9397-08002B2CF9AE}" pid="7" name="Suffix">
    <vt:lpwstr>04-j0-00</vt:lpwstr>
  </property>
</Properties>
</file>