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Supply Commission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Supply Commission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_Toc418581336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_Toc418581337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authorities that are totally exempt from section 19(1) of Act</w:t>
      </w:r>
      <w:r>
        <w:tab/>
      </w:r>
      <w:r>
        <w:fldChar w:fldCharType="begin"/>
      </w:r>
      <w:r>
        <w:instrText xml:space="preserve"> PAGEREF _Toc418581338 \h </w:instrText>
      </w:r>
      <w:r>
        <w:fldChar w:fldCharType="separate"/>
      </w:r>
      <w:r>
        <w:t>1</w:t>
      </w:r>
      <w:r>
        <w:fldChar w:fldCharType="end"/>
      </w:r>
    </w:p>
    <w:p>
      <w:pPr>
        <w:pStyle w:val="TOC8"/>
        <w:rPr>
          <w:rFonts w:asciiTheme="minorHAnsi" w:eastAsiaTheme="minorEastAsia" w:hAnsiTheme="minorHAnsi" w:cstheme="minorBidi"/>
          <w:szCs w:val="22"/>
        </w:rPr>
      </w:pPr>
      <w:r>
        <w:t>3.</w:t>
      </w:r>
      <w:r>
        <w:tab/>
        <w:t>Partial exemptions</w:t>
      </w:r>
      <w:r>
        <w:tab/>
      </w:r>
      <w:r>
        <w:fldChar w:fldCharType="begin"/>
      </w:r>
      <w:r>
        <w:instrText xml:space="preserve"> PAGEREF _Toc418581339 \h </w:instrText>
      </w:r>
      <w:r>
        <w:fldChar w:fldCharType="separate"/>
      </w:r>
      <w:r>
        <w:t>1</w:t>
      </w:r>
      <w:r>
        <w:fldChar w:fldCharType="end"/>
      </w:r>
    </w:p>
    <w:p>
      <w:pPr>
        <w:pStyle w:val="TOC8"/>
        <w:rPr>
          <w:rFonts w:asciiTheme="minorHAnsi" w:eastAsiaTheme="minorEastAsia" w:hAnsiTheme="minorHAnsi" w:cstheme="minorBidi"/>
          <w:szCs w:val="22"/>
        </w:rPr>
      </w:pPr>
      <w:r>
        <w:t>4.</w:t>
      </w:r>
      <w:r>
        <w:tab/>
        <w:t>Review of partial exemptions</w:t>
      </w:r>
      <w:r>
        <w:tab/>
      </w:r>
      <w:r>
        <w:fldChar w:fldCharType="begin"/>
      </w:r>
      <w:r>
        <w:instrText xml:space="preserve"> PAGEREF _Toc418581340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Consequences of non</w:t>
      </w:r>
      <w:r>
        <w:rPr>
          <w:snapToGrid w:val="0"/>
        </w:rPr>
        <w:noBreakHyphen/>
        <w:t>compliance with supply policies</w:t>
      </w:r>
      <w:r>
        <w:tab/>
      </w:r>
      <w:r>
        <w:fldChar w:fldCharType="begin"/>
      </w:r>
      <w:r>
        <w:instrText xml:space="preserve"> PAGEREF _Toc418581341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_Toc418581344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State Supply Commission Act 1991</w:t>
      </w:r>
    </w:p>
    <w:p>
      <w:pPr>
        <w:pStyle w:val="NameofActReg"/>
      </w:pPr>
      <w:r>
        <w:t>State Supply Commission Regulations 1991</w:t>
      </w:r>
    </w:p>
    <w:p>
      <w:pPr>
        <w:pStyle w:val="Heading5"/>
        <w:rPr>
          <w:snapToGrid w:val="0"/>
        </w:rPr>
      </w:pPr>
      <w:bookmarkStart w:id="3" w:name="_Toc410385000"/>
      <w:bookmarkStart w:id="4" w:name="_Toc41858133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pPr>
        <w:pStyle w:val="Heading5"/>
        <w:rPr>
          <w:snapToGrid w:val="0"/>
        </w:rPr>
      </w:pPr>
      <w:bookmarkStart w:id="5" w:name="_Toc410385001"/>
      <w:bookmarkStart w:id="6" w:name="_Toc418581337"/>
      <w:r>
        <w:rPr>
          <w:rStyle w:val="CharSectno"/>
        </w:rPr>
        <w:t>1A</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 </w:t>
      </w:r>
    </w:p>
    <w:p>
      <w:pPr>
        <w:pStyle w:val="Defstart"/>
      </w:pPr>
      <w:r>
        <w:tab/>
      </w:r>
      <w:r>
        <w:rPr>
          <w:rStyle w:val="CharDefText"/>
        </w:rPr>
        <w:t>accountable authority</w:t>
      </w:r>
      <w:r>
        <w:t xml:space="preserve">, of a public authority, means the accountable authority of the public authority under the </w:t>
      </w:r>
      <w:r>
        <w:rPr>
          <w:i/>
        </w:rPr>
        <w:t>Financial Management Act 2006</w:t>
      </w:r>
      <w:r>
        <w:t>;</w:t>
      </w:r>
    </w:p>
    <w:p>
      <w:pPr>
        <w:pStyle w:val="Defstart"/>
      </w:pPr>
      <w:r>
        <w:tab/>
      </w:r>
      <w:r>
        <w:rPr>
          <w:rStyle w:val="CharDefText"/>
        </w:rPr>
        <w:t>partial exemption</w:t>
      </w:r>
      <w:r>
        <w:t xml:space="preserve"> means a partial exemption from section 19(1) of the Act.</w:t>
      </w:r>
    </w:p>
    <w:p>
      <w:pPr>
        <w:pStyle w:val="Footnotesection"/>
      </w:pPr>
      <w:r>
        <w:tab/>
        <w:t xml:space="preserve">[Regulation 1A inserted: Gazette 9 Feb 1996 p. 500; amended: Gazette 7 May 2002 p. 2318; 5 May 2015 p. 1598.] </w:t>
      </w:r>
    </w:p>
    <w:p>
      <w:pPr>
        <w:pStyle w:val="Heading5"/>
        <w:rPr>
          <w:snapToGrid w:val="0"/>
        </w:rPr>
      </w:pPr>
      <w:bookmarkStart w:id="7" w:name="_Toc410385002"/>
      <w:bookmarkStart w:id="8" w:name="_Toc418581338"/>
      <w:r>
        <w:rPr>
          <w:rStyle w:val="CharSectno"/>
        </w:rPr>
        <w:t>2</w:t>
      </w:r>
      <w:r>
        <w:rPr>
          <w:snapToGrid w:val="0"/>
        </w:rPr>
        <w:t>.</w:t>
      </w:r>
      <w:r>
        <w:rPr>
          <w:snapToGrid w:val="0"/>
        </w:rPr>
        <w:tab/>
        <w:t>Public authorities that are totally exempt from section 19(1) of Act</w:t>
      </w:r>
      <w:bookmarkEnd w:id="7"/>
      <w:bookmarkEnd w:id="8"/>
    </w:p>
    <w:p>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pPr>
        <w:pStyle w:val="Heading5"/>
      </w:pPr>
      <w:bookmarkStart w:id="9" w:name="_Toc410385003"/>
      <w:bookmarkStart w:id="10" w:name="_Toc418581339"/>
      <w:r>
        <w:rPr>
          <w:rStyle w:val="CharSectno"/>
        </w:rPr>
        <w:t>3</w:t>
      </w:r>
      <w:r>
        <w:t>.</w:t>
      </w:r>
      <w:r>
        <w:tab/>
        <w:t>Partial exemptions</w:t>
      </w:r>
      <w:bookmarkEnd w:id="9"/>
      <w:bookmarkEnd w:id="10"/>
    </w:p>
    <w:p>
      <w:pPr>
        <w:pStyle w:val="Subsection"/>
      </w:pPr>
      <w:r>
        <w:tab/>
        <w:t>(1)</w:t>
      </w:r>
      <w:r>
        <w:tab/>
        <w:t>The Commission must receive from a public authority a written request for the authority to be granted a partial exemption before the Commission grants the authority a partial exemption.</w:t>
      </w:r>
    </w:p>
    <w:p>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pPr>
        <w:pStyle w:val="Indenta"/>
      </w:pPr>
      <w:r>
        <w:tab/>
        <w:t>(a)</w:t>
      </w:r>
      <w:r>
        <w:tab/>
        <w:t>the public authority’s level of competence in relation to arranging and coordinating the supply of goods and services necessary for the operation of the authority; and</w:t>
      </w:r>
    </w:p>
    <w:p>
      <w:pPr>
        <w:pStyle w:val="Indenta"/>
      </w:pPr>
      <w:r>
        <w:tab/>
        <w:t>(b)</w:t>
      </w:r>
      <w:r>
        <w:tab/>
        <w:t>the public authority’s risk management practices.</w:t>
      </w:r>
    </w:p>
    <w:p>
      <w:pPr>
        <w:pStyle w:val="Subsection"/>
      </w:pPr>
      <w:r>
        <w:tab/>
        <w:t>(3)</w:t>
      </w:r>
      <w:r>
        <w:tab/>
        <w:t>A public authority that is granted a partial exemption shall manage the supply of goods and services in accordance with the terms and conditions of the exemption.</w:t>
      </w:r>
    </w:p>
    <w:p>
      <w:pPr>
        <w:pStyle w:val="Footnotesection"/>
      </w:pPr>
      <w:r>
        <w:tab/>
        <w:t>[Regulation 3 inserted: Gazette 7 May 2002 p. 2318.]</w:t>
      </w:r>
    </w:p>
    <w:p>
      <w:pPr>
        <w:pStyle w:val="Heading5"/>
      </w:pPr>
      <w:bookmarkStart w:id="11" w:name="_Toc410385004"/>
      <w:bookmarkStart w:id="12" w:name="_Toc418581340"/>
      <w:r>
        <w:rPr>
          <w:rStyle w:val="CharSectno"/>
        </w:rPr>
        <w:t>4</w:t>
      </w:r>
      <w:r>
        <w:t>.</w:t>
      </w:r>
      <w:r>
        <w:tab/>
        <w:t>Review of partial exemptions</w:t>
      </w:r>
      <w:bookmarkEnd w:id="11"/>
      <w:bookmarkEnd w:id="12"/>
    </w:p>
    <w:p>
      <w:pPr>
        <w:pStyle w:val="Subsection"/>
      </w:pPr>
      <w:r>
        <w:tab/>
        <w:t>(1)</w:t>
      </w:r>
      <w:r>
        <w:tab/>
        <w:t>Subject to subregulation (2), the Commission shall review a partial exemption granted to a public authority as provided in the terms and conditions of the exemption.</w:t>
      </w:r>
    </w:p>
    <w:p>
      <w:pPr>
        <w:pStyle w:val="Subsection"/>
      </w:pPr>
      <w:r>
        <w:tab/>
        <w:t>(2)</w:t>
      </w:r>
      <w:r>
        <w:tab/>
        <w:t>The Commission may, at any time, review a partial exemption granted to a public authority if the Commission is of the opinion that a review is required.</w:t>
      </w:r>
    </w:p>
    <w:p>
      <w:pPr>
        <w:pStyle w:val="Subsection"/>
      </w:pPr>
      <w:r>
        <w:tab/>
        <w:t>(3)</w:t>
      </w:r>
      <w:r>
        <w:tab/>
        <w:t xml:space="preserve">When reviewing a partial exemption granted to a public authority, the Commission shall have regard to the level of the authority’s compliance with — </w:t>
      </w:r>
    </w:p>
    <w:p>
      <w:pPr>
        <w:pStyle w:val="Indenta"/>
      </w:pPr>
      <w:r>
        <w:tab/>
        <w:t>(a)</w:t>
      </w:r>
      <w:r>
        <w:tab/>
        <w:t>supply policies; and</w:t>
      </w:r>
    </w:p>
    <w:p>
      <w:pPr>
        <w:pStyle w:val="Indenta"/>
      </w:pPr>
      <w:r>
        <w:tab/>
        <w:t>(b)</w:t>
      </w:r>
      <w:r>
        <w:tab/>
        <w:t>directions supplementing supply policies; and</w:t>
      </w:r>
    </w:p>
    <w:p>
      <w:pPr>
        <w:pStyle w:val="Indenta"/>
      </w:pPr>
      <w:r>
        <w:tab/>
        <w:t>(c)</w:t>
      </w:r>
      <w:r>
        <w:tab/>
        <w:t>the terms and conditions of the exemption.</w:t>
      </w:r>
    </w:p>
    <w:p>
      <w:pPr>
        <w:pStyle w:val="Footnotesection"/>
      </w:pPr>
      <w:r>
        <w:tab/>
        <w:t>[Regulation 4 inserted: Gazette 7 May 2002 p. 2319.]</w:t>
      </w:r>
    </w:p>
    <w:p>
      <w:pPr>
        <w:pStyle w:val="Heading5"/>
        <w:rPr>
          <w:snapToGrid w:val="0"/>
        </w:rPr>
      </w:pPr>
      <w:bookmarkStart w:id="13" w:name="_Toc410385005"/>
      <w:bookmarkStart w:id="14" w:name="_Toc418581341"/>
      <w:r>
        <w:rPr>
          <w:rStyle w:val="CharSectno"/>
        </w:rPr>
        <w:t>5</w:t>
      </w:r>
      <w:r>
        <w:rPr>
          <w:snapToGrid w:val="0"/>
        </w:rPr>
        <w:t>.</w:t>
      </w:r>
      <w:r>
        <w:rPr>
          <w:snapToGrid w:val="0"/>
        </w:rPr>
        <w:tab/>
        <w:t>Consequences of non</w:t>
      </w:r>
      <w:r>
        <w:rPr>
          <w:snapToGrid w:val="0"/>
        </w:rPr>
        <w:noBreakHyphen/>
        <w:t>compliance with supply policies</w:t>
      </w:r>
      <w:bookmarkEnd w:id="13"/>
      <w:bookmarkEnd w:id="14"/>
      <w:r>
        <w:rPr>
          <w:snapToGrid w:val="0"/>
        </w:rPr>
        <w:t xml:space="preserve"> </w:t>
      </w:r>
    </w:p>
    <w:p>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pPr>
        <w:pStyle w:val="Indenti"/>
        <w:rPr>
          <w:snapToGrid w:val="0"/>
        </w:rPr>
      </w:pPr>
      <w:r>
        <w:rPr>
          <w:snapToGrid w:val="0"/>
        </w:rPr>
        <w:tab/>
        <w:t>(i)</w:t>
      </w:r>
      <w:r>
        <w:rPr>
          <w:snapToGrid w:val="0"/>
        </w:rPr>
        <w:tab/>
        <w:t>detailing the measures to be taken by the public authority to comply with the policy or direction; and</w:t>
      </w:r>
    </w:p>
    <w:p>
      <w:pPr>
        <w:pStyle w:val="Indenti"/>
        <w:rPr>
          <w:snapToGrid w:val="0"/>
        </w:rPr>
      </w:pPr>
      <w:r>
        <w:rPr>
          <w:snapToGrid w:val="0"/>
        </w:rPr>
        <w:tab/>
        <w:t>(ii)</w:t>
      </w:r>
      <w:r>
        <w:rPr>
          <w:snapToGrid w:val="0"/>
        </w:rPr>
        <w:tab/>
        <w:t>specifying the period within which the measures referred to in subparagraph (i) are to be taken;</w:t>
      </w:r>
    </w:p>
    <w:p>
      <w:pPr>
        <w:pStyle w:val="Indenta"/>
        <w:rPr>
          <w:snapToGrid w:val="0"/>
        </w:rPr>
      </w:pPr>
      <w:r>
        <w:rPr>
          <w:snapToGrid w:val="0"/>
        </w:rPr>
        <w:tab/>
        <w:t>(b)</w:t>
      </w:r>
      <w:r>
        <w:rPr>
          <w:snapToGrid w:val="0"/>
        </w:rPr>
        <w:tab/>
        <w:t xml:space="preserve">require </w:t>
      </w:r>
      <w:r>
        <w:t>the accountable authority</w:t>
      </w:r>
      <w:r>
        <w:rPr>
          <w:snapToGrid w:val="0"/>
        </w:rPr>
        <w:t xml:space="preserve"> of the public authority to attend at a meeting of the Commission to answer questions or give information relating to the supply procedures of the public authority;</w:t>
      </w:r>
    </w:p>
    <w:p>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pPr>
        <w:pStyle w:val="Indenta"/>
        <w:rPr>
          <w:snapToGrid w:val="0"/>
        </w:rPr>
      </w:pPr>
      <w:r>
        <w:rPr>
          <w:snapToGrid w:val="0"/>
        </w:rPr>
        <w:tab/>
        <w:t>(d)</w:t>
      </w:r>
      <w:r>
        <w:rPr>
          <w:snapToGrid w:val="0"/>
        </w:rPr>
        <w:tab/>
        <w:t xml:space="preserve">publish in the annual report submitted by the accountable authority of the Commission under </w:t>
      </w:r>
      <w:r>
        <w:t xml:space="preserve">the </w:t>
      </w:r>
      <w:r>
        <w:rPr>
          <w:i/>
        </w:rPr>
        <w:t>Financial Management Act 2006</w:t>
      </w:r>
      <w:r>
        <w:t xml:space="preserve"> Part 5 </w:t>
      </w:r>
      <w:r>
        <w:rPr>
          <w:snapToGrid w:val="0"/>
        </w:rPr>
        <w:t>the name of the public authority and the manner in which that public authority has failed to comply;</w:t>
      </w:r>
    </w:p>
    <w:p>
      <w:pPr>
        <w:pStyle w:val="Indenta"/>
        <w:rPr>
          <w:snapToGrid w:val="0"/>
        </w:rPr>
      </w:pPr>
      <w:r>
        <w:rPr>
          <w:snapToGrid w:val="0"/>
        </w:rPr>
        <w:tab/>
        <w:t>(e)</w:t>
      </w:r>
      <w:r>
        <w:rPr>
          <w:snapToGrid w:val="0"/>
        </w:rPr>
        <w:tab/>
        <w:t>recommend to the Minister that the exemption of the public authority under section 20 of the Act be cancelled.</w:t>
      </w:r>
    </w:p>
    <w:p>
      <w:pPr>
        <w:pStyle w:val="Footnotesection"/>
      </w:pPr>
      <w:r>
        <w:tab/>
        <w:t>[Regulation 5 inserted: Gazette 9 Feb 1996 p. 500</w:t>
      </w:r>
      <w:r>
        <w:noBreakHyphen/>
        <w:t xml:space="preserve">1; amended: Gazette 5 May 2015 p. 1598.]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8581342"/>
      <w:bookmarkStart w:id="16" w:name="_Toc408819701"/>
      <w:bookmarkStart w:id="17" w:name="_Toc408819775"/>
      <w:bookmarkStart w:id="18" w:name="_Toc410385006"/>
      <w:bookmarkStart w:id="19" w:name="_Toc418505705"/>
      <w:bookmarkStart w:id="20" w:name="_Toc418505735"/>
      <w:bookmarkStart w:id="21" w:name="_Toc408819702"/>
      <w:bookmarkStart w:id="22" w:name="_Toc408819776"/>
      <w:bookmarkStart w:id="23" w:name="_Toc410385007"/>
      <w:bookmarkStart w:id="24" w:name="_Toc418505706"/>
      <w:bookmarkStart w:id="25" w:name="_Toc418505736"/>
      <w:bookmarkStart w:id="26" w:name="_Toc418581343"/>
      <w:r>
        <w:rPr>
          <w:rStyle w:val="CharSchNo"/>
        </w:rPr>
        <w:t>Schedule 1</w:t>
      </w:r>
      <w:r>
        <w:t> — </w:t>
      </w:r>
      <w:r>
        <w:rPr>
          <w:rStyle w:val="CharSchText"/>
        </w:rPr>
        <w:t>Public authorities</w:t>
      </w:r>
      <w:bookmarkEnd w:id="15"/>
    </w:p>
    <w:p>
      <w:pPr>
        <w:pStyle w:val="yShoulderClause"/>
      </w:pPr>
      <w:r>
        <w:t>[r. 2]</w:t>
      </w:r>
    </w:p>
    <w:p>
      <w:pPr>
        <w:pStyle w:val="yFootnoteheading"/>
      </w:pPr>
      <w:r>
        <w:tab/>
        <w:t xml:space="preserve">[Heading inserted: Gazette 5 May 2015 p. 1599.] </w:t>
      </w:r>
    </w:p>
    <w:p>
      <w:pPr>
        <w:pStyle w:val="yNumberedItem"/>
        <w:rPr>
          <w:snapToGrid w:val="0"/>
        </w:rPr>
      </w:pPr>
      <w:r>
        <w:rPr>
          <w:snapToGrid w:val="0"/>
        </w:rPr>
        <w:tab/>
        <w:t xml:space="preserve">Commissioner of Main Roads appointed under the </w:t>
      </w:r>
      <w:r>
        <w:rPr>
          <w:i/>
          <w:snapToGrid w:val="0"/>
        </w:rPr>
        <w:t>Main Roads Act 1930</w:t>
      </w:r>
      <w:r>
        <w:rPr>
          <w:snapToGrid w:val="0"/>
        </w:rPr>
        <w:t xml:space="preserve"> section 7.</w:t>
      </w:r>
    </w:p>
    <w:p>
      <w:pPr>
        <w:pStyle w:val="yNumberedItem"/>
        <w:rPr>
          <w:snapToGrid w:val="0"/>
        </w:rPr>
      </w:pPr>
      <w:r>
        <w:rPr>
          <w:snapToGrid w:val="0"/>
        </w:rPr>
        <w:tab/>
        <w:t xml:space="preserve">Insurance Commission of Western Australia continued by the </w:t>
      </w:r>
      <w:r>
        <w:rPr>
          <w:i/>
          <w:snapToGrid w:val="0"/>
        </w:rPr>
        <w:t>Insurance Commission of Western Australia Act 1986</w:t>
      </w:r>
      <w:r>
        <w:rPr>
          <w:snapToGrid w:val="0"/>
        </w:rPr>
        <w:t xml:space="preserve"> section 4.</w:t>
      </w:r>
    </w:p>
    <w:p>
      <w:pPr>
        <w:pStyle w:val="yNumberedItem"/>
        <w:rPr>
          <w:snapToGrid w:val="0"/>
        </w:rPr>
      </w:pPr>
      <w:r>
        <w:rPr>
          <w:snapToGrid w:val="0"/>
        </w:rPr>
        <w:tab/>
        <w:t xml:space="preserve">Public Transport Authority of Western Australia established by the </w:t>
      </w:r>
      <w:r>
        <w:rPr>
          <w:i/>
          <w:snapToGrid w:val="0"/>
        </w:rPr>
        <w:t>Public Transport Authority Act 2003</w:t>
      </w:r>
      <w:r>
        <w:rPr>
          <w:snapToGrid w:val="0"/>
        </w:rPr>
        <w:t xml:space="preserve"> section 5.</w:t>
      </w:r>
    </w:p>
    <w:p>
      <w:pPr>
        <w:pStyle w:val="yFootnotesection"/>
      </w:pPr>
      <w:r>
        <w:tab/>
        <w:t>[Schedule 1 inserted: Gazette 5 May 2015 p. 1599.]</w:t>
      </w:r>
    </w:p>
    <w:bookmarkEnd w:id="16"/>
    <w:bookmarkEnd w:id="17"/>
    <w:bookmarkEnd w:id="18"/>
    <w:bookmarkEnd w:id="19"/>
    <w:bookmarkEnd w:id="2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r>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Supply Commission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410385008"/>
      <w:bookmarkStart w:id="29" w:name="_Toc418581344"/>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State Supply Commission Regulations 1991</w:t>
            </w:r>
          </w:p>
        </w:tc>
        <w:tc>
          <w:tcPr>
            <w:tcW w:w="1276" w:type="dxa"/>
          </w:tcPr>
          <w:p>
            <w:pPr>
              <w:pStyle w:val="nTable"/>
              <w:spacing w:after="40"/>
            </w:pPr>
            <w:r>
              <w:t>13 Mar 1992 p. 1206</w:t>
            </w:r>
            <w:r>
              <w:noBreakHyphen/>
              <w:t>7</w:t>
            </w:r>
          </w:p>
        </w:tc>
        <w:tc>
          <w:tcPr>
            <w:tcW w:w="2693" w:type="dxa"/>
          </w:tcPr>
          <w:p>
            <w:pPr>
              <w:pStyle w:val="nTable"/>
              <w:spacing w:after="40"/>
            </w:pPr>
            <w:r>
              <w:t>13 Mar 1992</w:t>
            </w:r>
          </w:p>
        </w:tc>
      </w:tr>
      <w:tr>
        <w:tc>
          <w:tcPr>
            <w:tcW w:w="3118" w:type="dxa"/>
          </w:tcPr>
          <w:p>
            <w:pPr>
              <w:pStyle w:val="nTable"/>
              <w:spacing w:after="40"/>
            </w:pPr>
            <w:r>
              <w:rPr>
                <w:i/>
              </w:rPr>
              <w:t>State Supply Commission Amendment Regulations 1993</w:t>
            </w:r>
          </w:p>
        </w:tc>
        <w:tc>
          <w:tcPr>
            <w:tcW w:w="1276" w:type="dxa"/>
          </w:tcPr>
          <w:p>
            <w:pPr>
              <w:pStyle w:val="nTable"/>
              <w:spacing w:after="40"/>
            </w:pPr>
            <w:r>
              <w:t>30 Jul 1993 p. 4164</w:t>
            </w:r>
            <w:r>
              <w:noBreakHyphen/>
              <w:t>5</w:t>
            </w:r>
          </w:p>
        </w:tc>
        <w:tc>
          <w:tcPr>
            <w:tcW w:w="2693" w:type="dxa"/>
          </w:tcPr>
          <w:p>
            <w:pPr>
              <w:pStyle w:val="nTable"/>
              <w:spacing w:after="40"/>
            </w:pPr>
            <w:r>
              <w:t>30 Jul 1993</w:t>
            </w:r>
          </w:p>
        </w:tc>
      </w:tr>
      <w:tr>
        <w:tc>
          <w:tcPr>
            <w:tcW w:w="3118" w:type="dxa"/>
          </w:tcPr>
          <w:p>
            <w:pPr>
              <w:pStyle w:val="nTable"/>
              <w:spacing w:after="40"/>
            </w:pPr>
            <w:r>
              <w:rPr>
                <w:i/>
              </w:rPr>
              <w:t>State Supply Commission Amendment Regulations 1995</w:t>
            </w:r>
          </w:p>
        </w:tc>
        <w:tc>
          <w:tcPr>
            <w:tcW w:w="1276" w:type="dxa"/>
          </w:tcPr>
          <w:p>
            <w:pPr>
              <w:pStyle w:val="nTable"/>
              <w:spacing w:after="40"/>
            </w:pPr>
            <w:r>
              <w:t>9 Feb 1996 p. 500</w:t>
            </w:r>
            <w:r>
              <w:noBreakHyphen/>
              <w:t>1</w:t>
            </w:r>
          </w:p>
        </w:tc>
        <w:tc>
          <w:tcPr>
            <w:tcW w:w="2693" w:type="dxa"/>
          </w:tcPr>
          <w:p>
            <w:pPr>
              <w:pStyle w:val="nTable"/>
              <w:spacing w:after="40"/>
            </w:pPr>
            <w:r>
              <w:t>9 Feb 1996</w:t>
            </w:r>
          </w:p>
        </w:tc>
      </w:tr>
      <w:tr>
        <w:tc>
          <w:tcPr>
            <w:tcW w:w="3118" w:type="dxa"/>
          </w:tcPr>
          <w:p>
            <w:pPr>
              <w:pStyle w:val="nTable"/>
              <w:spacing w:after="40"/>
              <w:rPr>
                <w:i/>
              </w:rPr>
            </w:pPr>
            <w:r>
              <w:rPr>
                <w:i/>
              </w:rPr>
              <w:t>State Supply Commission Amendment Regulations 2000</w:t>
            </w:r>
          </w:p>
        </w:tc>
        <w:tc>
          <w:tcPr>
            <w:tcW w:w="1276" w:type="dxa"/>
          </w:tcPr>
          <w:p>
            <w:pPr>
              <w:pStyle w:val="nTable"/>
              <w:spacing w:after="40"/>
            </w:pPr>
            <w:r>
              <w:t>14 Nov 2000 p. 6253</w:t>
            </w:r>
          </w:p>
        </w:tc>
        <w:tc>
          <w:tcPr>
            <w:tcW w:w="2693" w:type="dxa"/>
          </w:tcPr>
          <w:p>
            <w:pPr>
              <w:pStyle w:val="nTable"/>
              <w:spacing w:after="40"/>
            </w:pPr>
            <w:r>
              <w:t>14 Nov 2000</w:t>
            </w:r>
          </w:p>
        </w:tc>
      </w:tr>
      <w:tr>
        <w:tc>
          <w:tcPr>
            <w:tcW w:w="3118" w:type="dxa"/>
          </w:tcPr>
          <w:p>
            <w:pPr>
              <w:pStyle w:val="nTable"/>
              <w:spacing w:after="40"/>
              <w:rPr>
                <w:i/>
              </w:rPr>
            </w:pPr>
            <w:r>
              <w:rPr>
                <w:i/>
              </w:rPr>
              <w:t>State Supply Commission Amendment Regulations 2002</w:t>
            </w:r>
          </w:p>
        </w:tc>
        <w:tc>
          <w:tcPr>
            <w:tcW w:w="1276" w:type="dxa"/>
          </w:tcPr>
          <w:p>
            <w:pPr>
              <w:pStyle w:val="nTable"/>
              <w:spacing w:after="40"/>
            </w:pPr>
            <w:r>
              <w:t>7 May 2002 p. 2317</w:t>
            </w:r>
            <w:r>
              <w:noBreakHyphen/>
              <w:t>19</w:t>
            </w:r>
          </w:p>
        </w:tc>
        <w:tc>
          <w:tcPr>
            <w:tcW w:w="2693" w:type="dxa"/>
          </w:tcPr>
          <w:p>
            <w:pPr>
              <w:pStyle w:val="nTable"/>
              <w:spacing w:after="40"/>
            </w:pPr>
            <w:r>
              <w:t>7 May 2002</w:t>
            </w:r>
          </w:p>
        </w:tc>
      </w:tr>
      <w:tr>
        <w:trPr>
          <w:cantSplit/>
        </w:trPr>
        <w:tc>
          <w:tcPr>
            <w:tcW w:w="7087" w:type="dxa"/>
            <w:gridSpan w:val="3"/>
          </w:tcPr>
          <w:p>
            <w:pPr>
              <w:pStyle w:val="nTable"/>
              <w:spacing w:after="40"/>
            </w:pPr>
            <w:r>
              <w:rPr>
                <w:b/>
              </w:rPr>
              <w:t xml:space="preserve">Reprint of the </w:t>
            </w:r>
            <w:r>
              <w:rPr>
                <w:b/>
                <w:i/>
              </w:rPr>
              <w:t>State Supply Commission Regulations 1991</w:t>
            </w:r>
            <w:r>
              <w:rPr>
                <w:b/>
              </w:rPr>
              <w:t xml:space="preserve"> as at 11 Oct 2002</w:t>
            </w:r>
            <w:r>
              <w:t xml:space="preserve"> (includes amendments listed above)</w:t>
            </w:r>
          </w:p>
        </w:tc>
      </w:tr>
      <w:tr>
        <w:tc>
          <w:tcPr>
            <w:tcW w:w="3118" w:type="dxa"/>
          </w:tcPr>
          <w:p>
            <w:pPr>
              <w:pStyle w:val="nTable"/>
              <w:spacing w:after="40"/>
              <w:rPr>
                <w:i/>
              </w:rPr>
            </w:pPr>
            <w:r>
              <w:rPr>
                <w:i/>
              </w:rPr>
              <w:t>State Supply Commission Amendment Regulations 2012</w:t>
            </w:r>
          </w:p>
        </w:tc>
        <w:tc>
          <w:tcPr>
            <w:tcW w:w="1276" w:type="dxa"/>
          </w:tcPr>
          <w:p>
            <w:pPr>
              <w:pStyle w:val="nTable"/>
              <w:spacing w:after="40"/>
            </w:pPr>
            <w:r>
              <w:t>12 Jul 2013 p. 3227</w:t>
            </w:r>
          </w:p>
        </w:tc>
        <w:tc>
          <w:tcPr>
            <w:tcW w:w="2693" w:type="dxa"/>
          </w:tcPr>
          <w:p>
            <w:pPr>
              <w:pStyle w:val="nTable"/>
              <w:spacing w:after="40"/>
            </w:pPr>
            <w:r>
              <w:t>r. 1 and 2: 12 Jul 2013 (see r. 2(a));</w:t>
            </w:r>
            <w:r>
              <w:br/>
              <w:t>Regulations other than r. 1 and 2: 13 Jul 2013 (see r. 2(b))</w:t>
            </w:r>
          </w:p>
        </w:tc>
      </w:tr>
      <w:tr>
        <w:tc>
          <w:tcPr>
            <w:tcW w:w="3118" w:type="dxa"/>
          </w:tcPr>
          <w:p>
            <w:pPr>
              <w:pStyle w:val="nTable"/>
              <w:spacing w:after="40"/>
              <w:rPr>
                <w:i/>
              </w:rPr>
            </w:pPr>
            <w:r>
              <w:rPr>
                <w:i/>
              </w:rPr>
              <w:t>State Supply Commission Amendment Regulations 2013</w:t>
            </w:r>
          </w:p>
        </w:tc>
        <w:tc>
          <w:tcPr>
            <w:tcW w:w="1276" w:type="dxa"/>
          </w:tcPr>
          <w:p>
            <w:pPr>
              <w:pStyle w:val="nTable"/>
              <w:spacing w:after="40"/>
            </w:pPr>
            <w:r>
              <w:t>14 Nov 2013 p. 5075</w:t>
            </w:r>
          </w:p>
        </w:tc>
        <w:tc>
          <w:tcPr>
            <w:tcW w:w="2693" w:type="dxa"/>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7087" w:type="dxa"/>
            <w:gridSpan w:val="3"/>
            <w:shd w:val="clear" w:color="auto" w:fill="auto"/>
          </w:tcPr>
          <w:p>
            <w:pPr>
              <w:pStyle w:val="nTable"/>
              <w:spacing w:after="40"/>
              <w:rPr>
                <w:bCs/>
                <w:snapToGrid w:val="0"/>
              </w:rPr>
            </w:pPr>
            <w:r>
              <w:rPr>
                <w:b/>
              </w:rPr>
              <w:t xml:space="preserve">Reprint 2: The </w:t>
            </w:r>
            <w:r>
              <w:rPr>
                <w:b/>
                <w:i/>
              </w:rPr>
              <w:t>State Supply Commission Regulations 1991</w:t>
            </w:r>
            <w:r>
              <w:rPr>
                <w:b/>
              </w:rPr>
              <w:t xml:space="preserve"> as at 23 Jan 2015</w:t>
            </w:r>
            <w:r>
              <w:t xml:space="preserve"> (includes amendments listed above)</w:t>
            </w:r>
          </w:p>
        </w:tc>
      </w:tr>
      <w:tr>
        <w:tc>
          <w:tcPr>
            <w:tcW w:w="3118" w:type="dxa"/>
            <w:tcBorders>
              <w:bottom w:val="single" w:sz="4" w:space="0" w:color="auto"/>
            </w:tcBorders>
          </w:tcPr>
          <w:p>
            <w:pPr>
              <w:pStyle w:val="nTable"/>
              <w:spacing w:after="40"/>
              <w:rPr>
                <w:i/>
              </w:rPr>
            </w:pPr>
            <w:r>
              <w:rPr>
                <w:i/>
              </w:rPr>
              <w:t>State Supply Commission Amendment Regulations 2015</w:t>
            </w:r>
          </w:p>
        </w:tc>
        <w:tc>
          <w:tcPr>
            <w:tcW w:w="1276" w:type="dxa"/>
            <w:tcBorders>
              <w:bottom w:val="single" w:sz="4" w:space="0" w:color="auto"/>
            </w:tcBorders>
          </w:tcPr>
          <w:p>
            <w:pPr>
              <w:pStyle w:val="nTable"/>
              <w:spacing w:after="40"/>
            </w:pPr>
            <w:r>
              <w:t>5 May 2015 p. 1598</w:t>
            </w:r>
            <w:r>
              <w:noBreakHyphen/>
              <w:t>9</w:t>
            </w:r>
          </w:p>
        </w:tc>
        <w:tc>
          <w:tcPr>
            <w:tcW w:w="2693" w:type="dxa"/>
            <w:tcBorders>
              <w:bottom w:val="single" w:sz="4" w:space="0" w:color="auto"/>
            </w:tcBorders>
          </w:tcPr>
          <w:p>
            <w:pPr>
              <w:pStyle w:val="nTable"/>
              <w:spacing w:after="40"/>
            </w:pPr>
            <w:r>
              <w:rPr>
                <w:bCs/>
                <w:snapToGrid w:val="0"/>
              </w:rPr>
              <w:t>r. 1 and 2: 5 May 2015 (see r. 2(a));</w:t>
            </w:r>
            <w:r>
              <w:rPr>
                <w:bCs/>
                <w:snapToGrid w:val="0"/>
              </w:rPr>
              <w:br/>
              <w:t>Regulations other than r. 1 and 2: 6 May 2015 (see r. 2(b))</w:t>
            </w:r>
          </w:p>
        </w:tc>
      </w:tr>
    </w:tbl>
    <w:p>
      <w:pPr>
        <w:pStyle w:val="nSubsection"/>
        <w:spacing w:before="160"/>
      </w:pPr>
      <w:r>
        <w:rPr>
          <w:vertAlign w:val="superscript"/>
        </w:rPr>
        <w:t>2</w:t>
      </w:r>
      <w:r>
        <w:rPr>
          <w:vertAlign w:val="superscript"/>
        </w:rPr>
        <w:tab/>
      </w:r>
      <w:r>
        <w:rPr>
          <w:spacing w:val="-2"/>
        </w:rPr>
        <w:t xml:space="preserve">The </w:t>
      </w:r>
      <w:r>
        <w:rPr>
          <w:i/>
          <w:spacing w:val="-2"/>
        </w:rPr>
        <w:t>Financial Administration and Audit Act 1985</w:t>
      </w:r>
      <w:r>
        <w:rPr>
          <w:spacing w:val="-2"/>
        </w:rPr>
        <w:t xml:space="preserve"> was r</w:t>
      </w:r>
      <w:r>
        <w:t xml:space="preserve">epealed by the </w:t>
      </w:r>
      <w:r>
        <w:rPr>
          <w:i/>
        </w:rPr>
        <w:t>Financial Legislation Amendment and Repeal Act 2006</w:t>
      </w:r>
      <w:r>
        <w:t xml:space="preserve"> s. 3.</w:t>
      </w:r>
    </w:p>
    <w:p>
      <w:pPr>
        <w:pStyle w:val="nSubsection"/>
      </w:pPr>
      <w:r>
        <w:rPr>
          <w:vertAlign w:val="superscript"/>
        </w:rPr>
        <w:t>3</w:t>
      </w:r>
      <w:r>
        <w:rPr>
          <w:vertAlign w:val="superscript"/>
        </w:rPr>
        <w:tab/>
      </w:r>
      <w:r>
        <w:t xml:space="preserve">The </w:t>
      </w:r>
      <w:r>
        <w:rPr>
          <w:i/>
        </w:rPr>
        <w:t>Metropolitan (Perth) Passenger Transport Trust Act 1957</w:t>
      </w:r>
      <w:r>
        <w:t xml:space="preserve"> was repealed by the </w:t>
      </w:r>
      <w:r>
        <w:rPr>
          <w:i/>
        </w:rPr>
        <w:t>Public Transport Authority Act 2003</w:t>
      </w:r>
      <w:r>
        <w:t xml:space="preserve"> s. 156.</w:t>
      </w:r>
    </w:p>
    <w:p>
      <w:pPr>
        <w:pStyle w:val="nSubsection"/>
        <w:rPr>
          <w:spacing w:val="-2"/>
        </w:rPr>
      </w:pPr>
      <w:r>
        <w:rPr>
          <w:vertAlign w:val="superscript"/>
        </w:rPr>
        <w:t>4</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pPr>
        <w:pStyle w:val="nSubsection"/>
      </w:pPr>
      <w:r>
        <w:rPr>
          <w:vertAlign w:val="superscript"/>
        </w:rPr>
        <w:t>5</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pPr>
        <w:pStyle w:val="nSubsection"/>
      </w:pPr>
      <w:r>
        <w:rPr>
          <w:vertAlign w:val="superscript"/>
        </w:rPr>
        <w:t>6</w:t>
      </w:r>
      <w:r>
        <w:rPr>
          <w:vertAlign w:val="superscript"/>
        </w:rPr>
        <w:tab/>
      </w:r>
      <w:r>
        <w:t xml:space="preserve">The </w:t>
      </w:r>
      <w:r>
        <w:rPr>
          <w:i/>
        </w:rPr>
        <w:t>Totalisator Agency Board Betting Act 1960</w:t>
      </w:r>
      <w:r>
        <w:t xml:space="preserve"> was repealed by the </w:t>
      </w:r>
      <w:r>
        <w:rPr>
          <w:i/>
        </w:rPr>
        <w:t>Racing and Gambling Legislation Amendment and Repeal Act 2003</w:t>
      </w:r>
      <w:r>
        <w:t xml:space="preserve"> s. 32.</w:t>
      </w:r>
    </w:p>
    <w:p>
      <w:pPr>
        <w:pStyle w:val="nSubsection"/>
      </w:pPr>
      <w:r>
        <w:rPr>
          <w:vertAlign w:val="superscript"/>
        </w:rPr>
        <w:t>7</w:t>
      </w:r>
      <w:r>
        <w:rPr>
          <w:vertAlign w:val="superscript"/>
        </w:rPr>
        <w:tab/>
      </w:r>
      <w:r>
        <w:rPr>
          <w:snapToGrid w:val="0"/>
        </w:rPr>
        <w:t>Formerly referred to the</w:t>
      </w:r>
      <w:r>
        <w:rPr>
          <w:i/>
          <w:snapToGrid w:val="0"/>
        </w:rPr>
        <w:t xml:space="preserve"> Water Corporation Act 1995</w:t>
      </w:r>
      <w:r>
        <w:rPr>
          <w:snapToGrid w:val="0"/>
        </w:rPr>
        <w:t>,</w:t>
      </w:r>
      <w:r>
        <w:rPr>
          <w:i/>
          <w:snapToGrid w:val="0"/>
        </w:rPr>
        <w:t xml:space="preserve"> </w:t>
      </w:r>
      <w:r>
        <w:rPr>
          <w:snapToGrid w:val="0"/>
        </w:rPr>
        <w:t>the short title of which was changed to the</w:t>
      </w:r>
      <w:r>
        <w:rPr>
          <w:i/>
          <w:snapToGrid w:val="0"/>
        </w:rPr>
        <w:t xml:space="preserve"> Water Corporations Act 1995</w:t>
      </w:r>
      <w:r>
        <w:rPr>
          <w:snapToGrid w:val="0"/>
        </w:rPr>
        <w:t xml:space="preserve"> by the </w:t>
      </w:r>
      <w:r>
        <w:rPr>
          <w:i/>
          <w:snapToGrid w:val="0"/>
        </w:rPr>
        <w:t>Water Services Legislation Amendment and Repeal Act 2012</w:t>
      </w:r>
      <w:r>
        <w:rPr>
          <w:snapToGrid w:val="0"/>
        </w:rPr>
        <w:t xml:space="preserve"> s. 112. The reference was changed under the </w:t>
      </w:r>
      <w:r>
        <w:rPr>
          <w:i/>
          <w:snapToGrid w:val="0"/>
        </w:rPr>
        <w:t>Reprints Act 1984</w:t>
      </w:r>
      <w:r>
        <w:rPr>
          <w:snapToGrid w:val="0"/>
        </w:rPr>
        <w:t xml:space="preserve"> s. 7(3)(gb).</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1" w:name="_Toc418581345"/>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1A</w:t>
      </w:r>
    </w:p>
    <w:p>
      <w:pPr>
        <w:pStyle w:val="DefinedTerms"/>
      </w:pPr>
      <w:r>
        <w:t>partial exemption</w:t>
      </w:r>
      <w:r>
        <w:tab/>
        <w:t>1A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Supply Commission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04416"/>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 w:name="WAFER_20150504121928" w:val="ResetPageSize,UpdateArrangement,UpdateNTable"/>
    <w:docVar w:name="WAFER_20150504121928_GUID" w:val="9d37b6ea-6e22-4157-b349-626a012ac1b7"/>
    <w:docVar w:name="WAFER_20151111104416" w:val="UpdateStyles,UsedStyles"/>
    <w:docVar w:name="WAFER_20151111104416_GUID" w:val="224cf618-556a-4506-a152-1c6b148a65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8DA5-0D22-4B69-B529-55362FDD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1468</Words>
  <Characters>7296</Characters>
  <Application>Microsoft Office Word</Application>
  <DocSecurity>0</DocSecurity>
  <Lines>235</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1991 - 02-b0-03</dc:title>
  <dc:subject/>
  <dc:creator/>
  <cp:keywords/>
  <dc:description/>
  <cp:lastModifiedBy>svcMRProcess</cp:lastModifiedBy>
  <cp:revision>4</cp:revision>
  <cp:lastPrinted>2015-02-02T07:05:00Z</cp:lastPrinted>
  <dcterms:created xsi:type="dcterms:W3CDTF">2019-01-18T02:19:00Z</dcterms:created>
  <dcterms:modified xsi:type="dcterms:W3CDTF">2019-01-18T02:19:00Z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20150506</vt:lpwstr>
  </property>
  <property fmtid="{D5CDD505-2E9C-101B-9397-08002B2CF9AE}" pid="4" name="OWLSUId">
    <vt:i4>4788</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2015-01-22T16:00:00Z</vt:filetime>
  </property>
  <property fmtid="{D5CDD505-2E9C-101B-9397-08002B2CF9AE}" pid="8" name="AsAtDate">
    <vt:lpwstr>06 May 2015</vt:lpwstr>
  </property>
  <property fmtid="{D5CDD505-2E9C-101B-9397-08002B2CF9AE}" pid="9" name="Suffix">
    <vt:lpwstr>02-b0-03</vt:lpwstr>
  </property>
</Properties>
</file>