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_Toc419453262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_Toc419453263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_Toc419453264 \h </w:instrText>
      </w:r>
      <w:r>
        <w:fldChar w:fldCharType="separate"/>
      </w:r>
      <w:r>
        <w:t>2</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_Toc419453265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_Toc419453266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_Toc419453267 \h </w:instrText>
      </w:r>
      <w:r>
        <w:fldChar w:fldCharType="separate"/>
      </w:r>
      <w:r>
        <w:t>2</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_Toc419453268 \h </w:instrText>
      </w:r>
      <w:r>
        <w:fldChar w:fldCharType="separate"/>
      </w:r>
      <w:r>
        <w:t>2</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_Toc419453269 \h </w:instrText>
      </w:r>
      <w:r>
        <w:fldChar w:fldCharType="separate"/>
      </w:r>
      <w:r>
        <w:t>2</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_Toc419453270 \h </w:instrText>
      </w:r>
      <w:r>
        <w:fldChar w:fldCharType="separate"/>
      </w:r>
      <w:r>
        <w:t>2</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_Toc419453271 \h </w:instrText>
      </w:r>
      <w:r>
        <w:fldChar w:fldCharType="separate"/>
      </w:r>
      <w:r>
        <w:t>2</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_Toc419453272 \h </w:instrText>
      </w:r>
      <w:r>
        <w:fldChar w:fldCharType="separate"/>
      </w:r>
      <w:r>
        <w:t>2</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_Toc419453273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The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_Toc419453280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_Toc419453281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3" w:name="_Toc419453262"/>
      <w:r>
        <w:rPr>
          <w:rStyle w:val="CharSectno"/>
        </w:rPr>
        <w:t>1</w:t>
      </w:r>
      <w:r>
        <w:t>.</w:t>
      </w:r>
      <w:r>
        <w:tab/>
        <w:t>Citation</w:t>
      </w:r>
      <w:bookmarkEnd w:id="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19453263"/>
      <w:r>
        <w:rPr>
          <w:rStyle w:val="CharSectno"/>
        </w:rPr>
        <w:t>2</w:t>
      </w:r>
      <w:r>
        <w:t>.</w:t>
      </w:r>
      <w:r>
        <w:tab/>
        <w:t>Commencement</w:t>
      </w:r>
      <w:bookmarkEnd w:id="4"/>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5" w:name="_Toc419453264"/>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6" w:name="_Toc419453265"/>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7" w:name="_Toc419453266"/>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8" w:name="_Toc419453267"/>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9" w:name="_Toc419453268"/>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419453269"/>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1" w:name="_Toc419453270"/>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419453271"/>
      <w:r>
        <w:rPr>
          <w:rStyle w:val="CharSectno"/>
        </w:rPr>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419453272"/>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419453273"/>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19375132"/>
      <w:bookmarkStart w:id="16" w:name="_Toc419375152"/>
      <w:bookmarkStart w:id="17" w:name="_Toc419453274"/>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5"/>
      <w:bookmarkEnd w:id="16"/>
      <w:bookmarkEnd w:id="17"/>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18" w:name="_Toc419375133"/>
      <w:bookmarkStart w:id="19" w:name="_Toc419375153"/>
      <w:bookmarkStart w:id="20" w:name="_Toc419453275"/>
      <w:r>
        <w:rPr>
          <w:rStyle w:val="CharSchNo"/>
        </w:rPr>
        <w:t>Schedule 2</w:t>
      </w:r>
      <w:r>
        <w:t xml:space="preserve"> — </w:t>
      </w:r>
      <w:r>
        <w:rPr>
          <w:rStyle w:val="CharSchText"/>
        </w:rPr>
        <w:t>Licence fees</w:t>
      </w:r>
      <w:bookmarkEnd w:id="18"/>
      <w:bookmarkEnd w:id="19"/>
      <w:bookmarkEnd w:id="20"/>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879.50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911.20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w:t>
      </w:r>
    </w:p>
    <w:p>
      <w:pPr>
        <w:pStyle w:val="yScheduleHeading"/>
      </w:pPr>
      <w:bookmarkStart w:id="21" w:name="_Toc419375134"/>
      <w:bookmarkStart w:id="22" w:name="_Toc419375154"/>
      <w:bookmarkStart w:id="23" w:name="_Toc419453276"/>
      <w:r>
        <w:rPr>
          <w:rStyle w:val="CharSchNo"/>
        </w:rPr>
        <w:t>Schedule 3</w:t>
      </w:r>
      <w:r>
        <w:t xml:space="preserve"> — </w:t>
      </w:r>
      <w:r>
        <w:rPr>
          <w:rStyle w:val="CharSchText"/>
        </w:rPr>
        <w:t>Infringement notice offences and modified penalties</w:t>
      </w:r>
      <w:bookmarkEnd w:id="21"/>
      <w:bookmarkEnd w:id="22"/>
      <w:bookmarkEnd w:id="2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4" w:name="_Toc419375135"/>
      <w:bookmarkStart w:id="25" w:name="_Toc419375155"/>
      <w:bookmarkStart w:id="26" w:name="_Toc419453277"/>
      <w:r>
        <w:rPr>
          <w:rStyle w:val="CharSchNo"/>
        </w:rPr>
        <w:t>Schedule 4</w:t>
      </w:r>
      <w:r>
        <w:t xml:space="preserve"> — </w:t>
      </w:r>
      <w:r>
        <w:rPr>
          <w:rStyle w:val="CharSchText"/>
        </w:rPr>
        <w:t>Form of infringement notice</w:t>
      </w:r>
      <w:bookmarkEnd w:id="24"/>
      <w:bookmarkEnd w:id="25"/>
      <w:bookmarkEnd w:id="26"/>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7" w:name="_Toc419375136"/>
      <w:bookmarkStart w:id="28" w:name="_Toc419375156"/>
      <w:bookmarkStart w:id="29" w:name="_Toc419453278"/>
      <w:r>
        <w:rPr>
          <w:rStyle w:val="CharSchNo"/>
        </w:rPr>
        <w:t>Schedule 5</w:t>
      </w:r>
      <w:r>
        <w:t xml:space="preserve"> — </w:t>
      </w:r>
      <w:r>
        <w:rPr>
          <w:rStyle w:val="CharSchText"/>
        </w:rPr>
        <w:t>Form of notice of withdrawal of infringement notice</w:t>
      </w:r>
      <w:bookmarkEnd w:id="27"/>
      <w:bookmarkEnd w:id="28"/>
      <w:bookmarkEnd w:id="2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1" w:name="_Toc419375137"/>
      <w:bookmarkStart w:id="32" w:name="_Toc419375157"/>
      <w:bookmarkStart w:id="33" w:name="_Toc419453279"/>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4" w:name="_Toc419453280"/>
      <w:r>
        <w:t>Compilation table</w:t>
      </w:r>
      <w:bookmarkEnd w:id="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2015</w:t>
            </w:r>
          </w:p>
        </w:tc>
        <w:tc>
          <w:tcPr>
            <w:tcW w:w="1276" w:type="dxa"/>
            <w:tcBorders>
              <w:bottom w:val="single" w:sz="4" w:space="0" w:color="auto"/>
            </w:tcBorders>
            <w:shd w:val="clear" w:color="auto" w:fill="auto"/>
          </w:tcPr>
          <w:p>
            <w:pPr>
              <w:pStyle w:val="nTable"/>
              <w:spacing w:after="40"/>
            </w:pPr>
            <w:r>
              <w:t>13 Feb 2015 p. 652</w:t>
            </w:r>
            <w:r>
              <w:noBreakHyphen/>
              <w:t>3</w:t>
            </w:r>
          </w:p>
        </w:tc>
        <w:tc>
          <w:tcPr>
            <w:tcW w:w="2694" w:type="dxa"/>
            <w:tcBorders>
              <w:bottom w:val="single" w:sz="4" w:space="0" w:color="auto"/>
            </w:tcBorders>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419453281"/>
      <w:r>
        <w:t>Provisions that have not come into operation</w:t>
      </w:r>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Perth Parking Management Amendment Regulations (No. 2) 2015</w:t>
            </w:r>
            <w:r>
              <w:t xml:space="preserve"> r. 3-4</w:t>
            </w:r>
            <w:r>
              <w:rPr>
                <w:vertAlign w:val="superscript"/>
              </w:rPr>
              <w:t> 3</w:t>
            </w:r>
          </w:p>
        </w:tc>
        <w:tc>
          <w:tcPr>
            <w:tcW w:w="1276" w:type="dxa"/>
          </w:tcPr>
          <w:p>
            <w:pPr>
              <w:pStyle w:val="nTable"/>
              <w:spacing w:after="40"/>
            </w:pPr>
            <w:r>
              <w:t>15 May 2015 p. 1729</w:t>
            </w:r>
            <w:r>
              <w:noBreakHyphen/>
              <w:t>30</w:t>
            </w:r>
          </w:p>
        </w:tc>
        <w:tc>
          <w:tcPr>
            <w:tcW w:w="2693" w:type="dxa"/>
          </w:tcPr>
          <w:p>
            <w:pPr>
              <w:pStyle w:val="nTable"/>
              <w:spacing w:after="40"/>
            </w:pPr>
            <w:r>
              <w:t>1 Jul 2015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pPr>
      <w:r>
        <w:rPr>
          <w:vertAlign w:val="superscript"/>
        </w:rPr>
        <w:t>3</w:t>
      </w:r>
      <w:r>
        <w:tab/>
        <w:t xml:space="preserve">On the date as at which this compilation was prepared, the </w:t>
      </w:r>
      <w:r>
        <w:rPr>
          <w:i/>
        </w:rPr>
        <w:t>Perth Parking Management Amendment Regulations (No. 2) 2015</w:t>
      </w:r>
      <w:r>
        <w:t xml:space="preserve"> r. 3-4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Perth Parking Management Regulations 1999</w:t>
      </w:r>
      <w:r>
        <w:t>.</w:t>
      </w:r>
    </w:p>
    <w:p>
      <w:pPr>
        <w:pStyle w:val="nzHeading5"/>
      </w:pPr>
      <w:r>
        <w:rPr>
          <w:rStyle w:val="CharSectno"/>
        </w:rPr>
        <w:t>4</w:t>
      </w:r>
      <w:r>
        <w:t>.</w:t>
      </w:r>
      <w:r>
        <w:tab/>
        <w:t>Schedule 2 amended</w:t>
      </w:r>
    </w:p>
    <w:p>
      <w:pPr>
        <w:pStyle w:val="nzSubsection"/>
      </w:pPr>
      <w:r>
        <w:tab/>
      </w:r>
      <w:r>
        <w:tab/>
        <w:t xml:space="preserve">In Schedule 2 item 11 — </w:t>
      </w:r>
    </w:p>
    <w:p>
      <w:pPr>
        <w:pStyle w:val="nzIndenta"/>
      </w:pPr>
      <w:r>
        <w:tab/>
        <w:t>(a)</w:t>
      </w:r>
      <w:r>
        <w:tab/>
        <w:t>in paragraph (b) delete “</w:t>
      </w:r>
      <w:r>
        <w:rPr>
          <w:sz w:val="22"/>
          <w:szCs w:val="22"/>
        </w:rPr>
        <w:t>879.50</w:t>
      </w:r>
      <w:r>
        <w:t>” and insert:</w:t>
      </w:r>
    </w:p>
    <w:p>
      <w:pPr>
        <w:pStyle w:val="BlankOpen"/>
      </w:pPr>
    </w:p>
    <w:p>
      <w:pPr>
        <w:pStyle w:val="nzIndenta"/>
      </w:pPr>
      <w:r>
        <w:tab/>
      </w:r>
      <w:r>
        <w:tab/>
      </w:r>
      <w:r>
        <w:rPr>
          <w:sz w:val="22"/>
          <w:szCs w:val="22"/>
        </w:rPr>
        <w:t>1 062.00</w:t>
      </w:r>
    </w:p>
    <w:p>
      <w:pPr>
        <w:pStyle w:val="BlankClose"/>
      </w:pPr>
    </w:p>
    <w:p>
      <w:pPr>
        <w:pStyle w:val="nzIndenta"/>
      </w:pPr>
      <w:r>
        <w:tab/>
        <w:t>(b)</w:t>
      </w:r>
      <w:r>
        <w:tab/>
        <w:t>in paragraph (c) delete “</w:t>
      </w:r>
      <w:r>
        <w:rPr>
          <w:sz w:val="22"/>
          <w:szCs w:val="22"/>
        </w:rPr>
        <w:t>813.30</w:t>
      </w:r>
      <w:r>
        <w:t>” and insert:</w:t>
      </w:r>
    </w:p>
    <w:p>
      <w:pPr>
        <w:pStyle w:val="BlankOpen"/>
      </w:pPr>
    </w:p>
    <w:p>
      <w:pPr>
        <w:pStyle w:val="nzIndenta"/>
      </w:pPr>
      <w:r>
        <w:tab/>
      </w:r>
      <w:r>
        <w:tab/>
      </w:r>
      <w:r>
        <w:rPr>
          <w:sz w:val="22"/>
          <w:szCs w:val="22"/>
        </w:rPr>
        <w:t>995.80</w:t>
      </w:r>
    </w:p>
    <w:p>
      <w:pPr>
        <w:pStyle w:val="BlankClose"/>
        <w:keepNext/>
      </w:pPr>
    </w:p>
    <w:p>
      <w:pPr>
        <w:pStyle w:val="nzIndenta"/>
      </w:pPr>
      <w:r>
        <w:tab/>
        <w:t>(c)</w:t>
      </w:r>
      <w:r>
        <w:tab/>
        <w:t>in paragraph (d) delete “</w:t>
      </w:r>
      <w:r>
        <w:rPr>
          <w:sz w:val="22"/>
          <w:szCs w:val="22"/>
        </w:rPr>
        <w:t>813.30</w:t>
      </w:r>
      <w:r>
        <w:t>” and insert:</w:t>
      </w:r>
    </w:p>
    <w:p>
      <w:pPr>
        <w:pStyle w:val="BlankOpen"/>
      </w:pPr>
    </w:p>
    <w:p>
      <w:pPr>
        <w:pStyle w:val="nzIndenta"/>
      </w:pPr>
      <w:r>
        <w:tab/>
      </w:r>
      <w:r>
        <w:tab/>
      </w:r>
      <w:r>
        <w:rPr>
          <w:sz w:val="22"/>
          <w:szCs w:val="22"/>
        </w:rPr>
        <w:t>995.80</w:t>
      </w:r>
    </w:p>
    <w:p>
      <w:pPr>
        <w:pStyle w:val="BlankClose"/>
      </w:pPr>
    </w:p>
    <w:p>
      <w:pPr>
        <w:pStyle w:val="nzIndenta"/>
      </w:pPr>
      <w:r>
        <w:tab/>
        <w:t>(d)</w:t>
      </w:r>
      <w:r>
        <w:tab/>
        <w:t>in paragraph (e) delete “</w:t>
      </w:r>
      <w:r>
        <w:rPr>
          <w:sz w:val="22"/>
          <w:szCs w:val="22"/>
        </w:rPr>
        <w:t>911.20</w:t>
      </w:r>
      <w:r>
        <w:t>” and insert:</w:t>
      </w:r>
    </w:p>
    <w:p>
      <w:pPr>
        <w:pStyle w:val="BlankOpen"/>
      </w:pPr>
    </w:p>
    <w:p>
      <w:pPr>
        <w:pStyle w:val="nzIndenta"/>
      </w:pPr>
      <w:r>
        <w:tab/>
      </w:r>
      <w:r>
        <w:tab/>
      </w:r>
      <w:r>
        <w:rPr>
          <w:sz w:val="22"/>
          <w:szCs w:val="22"/>
        </w:rPr>
        <w:t>1 093.70</w:t>
      </w:r>
    </w:p>
    <w:p>
      <w:pPr>
        <w:pStyle w:val="BlankClose"/>
      </w:pPr>
    </w:p>
    <w:p>
      <w:pPr>
        <w:pStyle w:val="BlankClose"/>
      </w:pPr>
    </w:p>
    <w:p>
      <w:pPr>
        <w:pStyle w:val="nSubsection"/>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7" w:name="_Toc419375159"/>
      <w:bookmarkStart w:id="38" w:name="_Toc419453282"/>
      <w:r>
        <w:rPr>
          <w:sz w:val="28"/>
        </w:rPr>
        <w:t>Defined terms</w:t>
      </w:r>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4135125"/>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3538</Words>
  <Characters>18010</Characters>
  <Application>Microsoft Office Word</Application>
  <DocSecurity>0</DocSecurity>
  <Lines>667</Lines>
  <Paragraphs>406</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1999 - 04-c0-00</dc:title>
  <dc:subject>Subsidiary Legislation</dc:subject>
  <dc:creator>Brian Cunnane</dc:creator>
  <cp:lastModifiedBy>svcMRProcess</cp:lastModifiedBy>
  <cp:revision>4</cp:revision>
  <cp:lastPrinted>2014-08-08T00:55:00Z</cp:lastPrinted>
  <dcterms:created xsi:type="dcterms:W3CDTF">2015-05-15T04:40:00Z</dcterms:created>
  <dcterms:modified xsi:type="dcterms:W3CDTF">2015-05-15T04:40:00Z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15 May 2015</vt:lpwstr>
  </property>
  <property fmtid="{D5CDD505-2E9C-101B-9397-08002B2CF9AE}" pid="8" name="Suffix">
    <vt:lpwstr>04-c0-00</vt:lpwstr>
  </property>
  <property fmtid="{D5CDD505-2E9C-101B-9397-08002B2CF9AE}" pid="9" name="CommencementDate">
    <vt:lpwstr>20150515</vt:lpwstr>
  </property>
</Properties>
</file>