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Sale of Goods (Vienna Convention) Act 1986</w:t>
      </w:r>
      <w:r>
        <w:rPr>
          <w:sz w:val="48"/>
        </w:rPr>
        <w:fldChar w:fldCharType="end"/>
      </w:r>
    </w:p>
    <w:p>
      <w:pPr>
        <w:pStyle w:val="ReprintNo"/>
      </w:pPr>
      <w:r>
        <w:t>Reprint 2:  The Act as at 8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562852" w:rsidRDefault="0056285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562852" w:rsidRDefault="0056285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562852" w:rsidRDefault="0056285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562852" w:rsidRDefault="0056285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Sale of Goods (Vienna Convention)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_Toc417978889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_Toc417978890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Convention</w:t>
      </w:r>
      <w:r>
        <w:tab/>
      </w:r>
      <w:r>
        <w:fldChar w:fldCharType="begin"/>
      </w:r>
      <w:r>
        <w:instrText xml:space="preserve"> PAGEREF _Toc417978891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_Toc417978892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Convention to have force of law</w:t>
      </w:r>
      <w:r>
        <w:tab/>
      </w:r>
      <w:r>
        <w:fldChar w:fldCharType="begin"/>
      </w:r>
      <w:r>
        <w:instrText xml:space="preserve"> PAGEREF _Toc417978893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Convention to prevail in event of inconsistency</w:t>
      </w:r>
      <w:r>
        <w:tab/>
      </w:r>
      <w:r>
        <w:fldChar w:fldCharType="begin"/>
      </w:r>
      <w:r>
        <w:instrText xml:space="preserve"> PAGEREF _Toc417978894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Evidence of certain matters</w:t>
      </w:r>
      <w:r>
        <w:tab/>
      </w:r>
      <w:r>
        <w:fldChar w:fldCharType="begin"/>
      </w:r>
      <w:r>
        <w:instrText xml:space="preserve"> PAGEREF _Toc417978895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Vienna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_Toc417978898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 xml:space="preserve">Sale of Goods (Vienna Convention) Act 1986 </w:t>
      </w:r>
    </w:p>
    <w:p>
      <w:pPr>
        <w:pStyle w:val="LongTitle"/>
        <w:rPr>
          <w:snapToGrid w:val="0"/>
        </w:rPr>
      </w:pPr>
      <w:r>
        <w:rPr>
          <w:snapToGrid w:val="0"/>
        </w:rPr>
        <w:t xml:space="preserve">An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378944185"/>
      <w:bookmarkStart w:id="4" w:name="_Toc41797888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5" w:name="_Toc378944186"/>
      <w:bookmarkStart w:id="6" w:name="_Toc41797889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7" w:name="_Toc378944187"/>
      <w:bookmarkStart w:id="8" w:name="_Toc417978891"/>
      <w:r>
        <w:rPr>
          <w:rStyle w:val="CharSectno"/>
        </w:rPr>
        <w:t>3</w:t>
      </w:r>
      <w:r>
        <w:rPr>
          <w:snapToGrid w:val="0"/>
        </w:rPr>
        <w:t>.</w:t>
      </w:r>
      <w:r>
        <w:rPr>
          <w:snapToGrid w:val="0"/>
        </w:rPr>
        <w:tab/>
      </w:r>
      <w:bookmarkEnd w:id="7"/>
      <w:r>
        <w:rPr>
          <w:snapToGrid w:val="0"/>
        </w:rPr>
        <w:t>Term used: Convention</w:t>
      </w:r>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9" w:name="_Toc378944188"/>
      <w:bookmarkStart w:id="10" w:name="_Toc417978892"/>
      <w:r>
        <w:rPr>
          <w:rStyle w:val="CharSectno"/>
        </w:rPr>
        <w:t>4</w:t>
      </w:r>
      <w:r>
        <w:rPr>
          <w:snapToGrid w:val="0"/>
        </w:rPr>
        <w:t>.</w:t>
      </w:r>
      <w:r>
        <w:rPr>
          <w:snapToGrid w:val="0"/>
        </w:rPr>
        <w:tab/>
        <w:t>Act binds Crown</w:t>
      </w:r>
      <w:bookmarkEnd w:id="9"/>
      <w:bookmarkEnd w:id="10"/>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11" w:name="_Toc378944189"/>
      <w:bookmarkStart w:id="12" w:name="_Toc417978893"/>
      <w:r>
        <w:rPr>
          <w:rStyle w:val="CharSectno"/>
        </w:rPr>
        <w:t>5</w:t>
      </w:r>
      <w:r>
        <w:rPr>
          <w:snapToGrid w:val="0"/>
        </w:rPr>
        <w:t>.</w:t>
      </w:r>
      <w:r>
        <w:rPr>
          <w:snapToGrid w:val="0"/>
        </w:rPr>
        <w:tab/>
        <w:t>Convention to have force of law</w:t>
      </w:r>
      <w:bookmarkEnd w:id="11"/>
      <w:bookmarkEnd w:id="12"/>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13" w:name="_Toc378944190"/>
      <w:bookmarkStart w:id="14" w:name="_Toc417978894"/>
      <w:r>
        <w:rPr>
          <w:rStyle w:val="CharSectno"/>
        </w:rPr>
        <w:t>6</w:t>
      </w:r>
      <w:r>
        <w:rPr>
          <w:snapToGrid w:val="0"/>
        </w:rPr>
        <w:t>.</w:t>
      </w:r>
      <w:r>
        <w:rPr>
          <w:snapToGrid w:val="0"/>
        </w:rPr>
        <w:tab/>
        <w:t>Convention to prevail in event of inconsistency</w:t>
      </w:r>
      <w:bookmarkEnd w:id="13"/>
      <w:bookmarkEnd w:id="14"/>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15" w:name="_Toc378944191"/>
      <w:bookmarkStart w:id="16" w:name="_Toc417978895"/>
      <w:r>
        <w:rPr>
          <w:rStyle w:val="CharSectno"/>
        </w:rPr>
        <w:t>7</w:t>
      </w:r>
      <w:r>
        <w:rPr>
          <w:snapToGrid w:val="0"/>
        </w:rPr>
        <w:t>.</w:t>
      </w:r>
      <w:r>
        <w:rPr>
          <w:snapToGrid w:val="0"/>
        </w:rPr>
        <w:tab/>
        <w:t>Evidence of certain matters</w:t>
      </w:r>
      <w:bookmarkEnd w:id="15"/>
      <w:bookmarkEnd w:id="16"/>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 or</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by No. 21 of 2008 s. 701.]</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 w:name="_Toc378944192"/>
      <w:bookmarkStart w:id="18" w:name="_Toc413927069"/>
      <w:bookmarkStart w:id="19" w:name="_Toc413927095"/>
      <w:bookmarkStart w:id="20" w:name="_Toc415233978"/>
      <w:bookmarkStart w:id="21" w:name="_Toc417978896"/>
      <w:r>
        <w:rPr>
          <w:rStyle w:val="CharSchNo"/>
        </w:rPr>
        <w:t>Schedule 1</w:t>
      </w:r>
      <w:r>
        <w:t> — </w:t>
      </w:r>
      <w:r>
        <w:rPr>
          <w:rStyle w:val="CharSchText"/>
        </w:rPr>
        <w:t>Vienna Convention</w:t>
      </w:r>
      <w:bookmarkEnd w:id="17"/>
      <w:bookmarkEnd w:id="18"/>
      <w:bookmarkEnd w:id="19"/>
      <w:bookmarkEnd w:id="20"/>
      <w:bookmarkEnd w:id="21"/>
    </w:p>
    <w:p>
      <w:pPr>
        <w:pStyle w:val="yShoulderClause"/>
        <w:rPr>
          <w:snapToGrid w:val="0"/>
        </w:rPr>
      </w:pPr>
      <w:r>
        <w:rPr>
          <w:snapToGrid w:val="0"/>
        </w:rPr>
        <w:t>[s. 3]</w:t>
      </w:r>
    </w:p>
    <w:p>
      <w:pPr>
        <w:pStyle w:val="yFootnoteheading"/>
        <w:rPr>
          <w:b/>
          <w:snapToGrid w:val="0"/>
        </w:rPr>
      </w:pPr>
      <w:r>
        <w:tab/>
        <w:t>[Heading amended by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rPr>
          <w:sz w:val="22"/>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3" w:name="_Toc378944193"/>
      <w:bookmarkStart w:id="24" w:name="_Toc413927070"/>
      <w:bookmarkStart w:id="25" w:name="_Toc413927096"/>
      <w:bookmarkStart w:id="26" w:name="_Toc415233979"/>
      <w:bookmarkStart w:id="27" w:name="_Toc417978897"/>
      <w:r>
        <w:t>Notes</w:t>
      </w:r>
      <w:bookmarkEnd w:id="23"/>
      <w:bookmarkEnd w:id="24"/>
      <w:bookmarkEnd w:id="25"/>
      <w:bookmarkEnd w:id="26"/>
      <w:bookmarkEnd w:id="27"/>
    </w:p>
    <w:p>
      <w:pPr>
        <w:pStyle w:val="nSubsection"/>
      </w:pPr>
      <w:r>
        <w:rPr>
          <w:vertAlign w:val="superscript"/>
        </w:rPr>
        <w:t>1</w:t>
      </w:r>
      <w:r>
        <w:tab/>
        <w:t xml:space="preserve">This reprint is a compilation as at 8 May 2015 of the </w:t>
      </w:r>
      <w:r>
        <w:rPr>
          <w:i/>
          <w:noProof/>
        </w:rPr>
        <w:t>Sale of Goods (Vienna Convention) Act 1986</w:t>
      </w:r>
      <w:r>
        <w:t xml:space="preserve"> and includes the amendments made by the other written laws referred to in the following table.  The table also contains information about any reprint.</w:t>
      </w:r>
    </w:p>
    <w:p>
      <w:pPr>
        <w:pStyle w:val="nHeading3"/>
        <w:rPr>
          <w:snapToGrid w:val="0"/>
        </w:rPr>
      </w:pPr>
      <w:bookmarkStart w:id="28" w:name="_Toc417978898"/>
      <w:r>
        <w:rPr>
          <w:snapToGrid w:val="0"/>
        </w:rPr>
        <w:t>Compilation table</w:t>
      </w:r>
      <w:bookmarkEnd w:id="28"/>
    </w:p>
    <w:tbl>
      <w:tblPr>
        <w:tblW w:w="7088" w:type="dxa"/>
        <w:tblLayout w:type="fixed"/>
        <w:tblCellMar>
          <w:left w:w="56" w:type="dxa"/>
          <w:right w:w="56" w:type="dxa"/>
        </w:tblCellMar>
        <w:tblLook w:val="0000" w:firstRow="0" w:lastRow="0" w:firstColumn="0" w:lastColumn="0" w:noHBand="0" w:noVBand="0"/>
      </w:tblPr>
      <w:tblGrid>
        <w:gridCol w:w="2268"/>
        <w:gridCol w:w="1136"/>
        <w:gridCol w:w="1132"/>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blHeader/>
        </w:trPr>
        <w:tc>
          <w:tcPr>
            <w:tcW w:w="2268" w:type="dxa"/>
            <w:tcBorders>
              <w:top w:val="single" w:sz="8" w:space="0" w:color="auto"/>
            </w:tcBorders>
          </w:tcPr>
          <w:p>
            <w:pPr>
              <w:pStyle w:val="nTable"/>
              <w:spacing w:after="40"/>
              <w:ind w:right="113"/>
              <w:rPr>
                <w:b/>
              </w:rPr>
            </w:pPr>
            <w:r>
              <w:rPr>
                <w:i/>
              </w:rPr>
              <w:t>Sale of Goods (Vienna Convention) Act 1986</w:t>
            </w:r>
          </w:p>
        </w:tc>
        <w:tc>
          <w:tcPr>
            <w:tcW w:w="1136" w:type="dxa"/>
            <w:tcBorders>
              <w:top w:val="single" w:sz="8" w:space="0" w:color="auto"/>
            </w:tcBorders>
          </w:tcPr>
          <w:p>
            <w:pPr>
              <w:pStyle w:val="nTable"/>
              <w:spacing w:after="40"/>
            </w:pPr>
            <w:r>
              <w:t>88 of 1986</w:t>
            </w:r>
          </w:p>
        </w:tc>
        <w:tc>
          <w:tcPr>
            <w:tcW w:w="1132"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 xml:space="preserve">s. 1 and 2: 10 Dec 1986; </w:t>
            </w:r>
            <w:r>
              <w:br/>
              <w:t xml:space="preserve">Act other than s. 1 and 2: 1 Apr 1989 (see s. 2 and </w:t>
            </w:r>
            <w:r>
              <w:rPr>
                <w:i/>
              </w:rPr>
              <w:t>Gazette</w:t>
            </w:r>
            <w:r>
              <w:t xml:space="preserve"> 24 Jun 1988 p. 1995)</w:t>
            </w:r>
          </w:p>
        </w:tc>
      </w:tr>
      <w:tr>
        <w:trPr>
          <w:cantSplit/>
          <w:tblHeader/>
        </w:trPr>
        <w:tc>
          <w:tcPr>
            <w:tcW w:w="7088" w:type="dxa"/>
            <w:gridSpan w:val="4"/>
          </w:tcPr>
          <w:p>
            <w:pPr>
              <w:pStyle w:val="nTable"/>
              <w:spacing w:after="40"/>
            </w:pPr>
            <w:r>
              <w:rPr>
                <w:b/>
              </w:rPr>
              <w:t xml:space="preserve">Reprint of the </w:t>
            </w:r>
            <w:r>
              <w:rPr>
                <w:b/>
                <w:i/>
              </w:rPr>
              <w:t xml:space="preserve">Sale of Goods (Vienna Convention) Act 1986 </w:t>
            </w:r>
            <w:r>
              <w:rPr>
                <w:b/>
              </w:rPr>
              <w:t>as at 2 Aug 2002</w:t>
            </w:r>
          </w:p>
        </w:tc>
      </w:tr>
      <w:tr>
        <w:trPr>
          <w:cantSplit/>
          <w:tblHeader/>
        </w:trPr>
        <w:tc>
          <w:tcPr>
            <w:tcW w:w="2268" w:type="dxa"/>
          </w:tcPr>
          <w:p>
            <w:pPr>
              <w:pStyle w:val="nTable"/>
              <w:spacing w:after="40"/>
              <w:ind w:right="113"/>
              <w:rPr>
                <w:bCs/>
              </w:rPr>
            </w:pPr>
            <w:r>
              <w:rPr>
                <w:bCs/>
                <w:i/>
                <w:iCs/>
                <w:snapToGrid w:val="0"/>
              </w:rPr>
              <w:t>Legal Profession Act 2008</w:t>
            </w:r>
            <w:r>
              <w:rPr>
                <w:bCs/>
                <w:snapToGrid w:val="0"/>
              </w:rPr>
              <w:t xml:space="preserve"> s. 701</w:t>
            </w:r>
          </w:p>
        </w:tc>
        <w:tc>
          <w:tcPr>
            <w:tcW w:w="1136" w:type="dxa"/>
          </w:tcPr>
          <w:p>
            <w:pPr>
              <w:pStyle w:val="nTable"/>
              <w:spacing w:after="40"/>
              <w:rPr>
                <w:bCs/>
              </w:rPr>
            </w:pPr>
            <w:r>
              <w:rPr>
                <w:bCs/>
              </w:rPr>
              <w:t>21 of 2008</w:t>
            </w:r>
          </w:p>
        </w:tc>
        <w:tc>
          <w:tcPr>
            <w:tcW w:w="1132" w:type="dxa"/>
          </w:tcPr>
          <w:p>
            <w:pPr>
              <w:pStyle w:val="nTable"/>
              <w:spacing w:after="40"/>
              <w:rPr>
                <w:bCs/>
              </w:rPr>
            </w:pPr>
            <w:r>
              <w:rPr>
                <w:bCs/>
              </w:rPr>
              <w:t>27 May 2008</w:t>
            </w:r>
          </w:p>
        </w:tc>
        <w:tc>
          <w:tcPr>
            <w:tcW w:w="2552" w:type="dxa"/>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rPr>
          <w:cantSplit/>
        </w:trPr>
        <w:tc>
          <w:tcPr>
            <w:tcW w:w="2268" w:type="dxa"/>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shd w:val="clear" w:color="auto" w:fill="auto"/>
          </w:tcPr>
          <w:p>
            <w:pPr>
              <w:pStyle w:val="nTable"/>
              <w:spacing w:after="40"/>
              <w:rPr>
                <w:snapToGrid w:val="0"/>
              </w:rPr>
            </w:pPr>
            <w:r>
              <w:rPr>
                <w:snapToGrid w:val="0"/>
              </w:rPr>
              <w:t>19 of 2010</w:t>
            </w:r>
          </w:p>
        </w:tc>
        <w:tc>
          <w:tcPr>
            <w:tcW w:w="1132"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0" w:name="_Toc413927098"/>
      <w:bookmarkStart w:id="31" w:name="_Toc415233981"/>
      <w:bookmarkStart w:id="32" w:name="_Toc417978899"/>
      <w:r>
        <w:rPr>
          <w:sz w:val="28"/>
        </w:rPr>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Convention</w:t>
      </w:r>
      <w:r>
        <w:tab/>
        <w:t>3</w:t>
      </w:r>
    </w:p>
    <w:p>
      <w:pPr>
        <w:pStyle w:val="DefinedTerms"/>
      </w:pPr>
      <w:r>
        <w:t>legal practitioner</w:t>
      </w:r>
      <w:r>
        <w:tab/>
        <w:t>7(2)</w: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left:0;text-align:left;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P43gKPUC&#10;AACBBgAADgAAAAAAAAAAAAAAAAAuAgAAZHJzL2Uyb0RvYy54bWxQSwECLQAUAAYACAAAACEAaCLE&#10;RNsAAAAEAQAADwAAAAAAAAAAAAAAAABPBQAAZHJzL2Rvd25yZXYueG1sUEsFBgAAAAAEAAQA8wAA&#10;AFcGAAAAAA==&#10;" stroked="f" strokeweight=".5pt">
                <v:textbox>
                  <w:txbxContent>
                    <w:p w:rsidR="006C7F37" w:rsidRDefault="006C7F37">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pgSz w:w="11907" w:h="16840"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8D89B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ABAAA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812"/>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203103812" w:val="RemoveTrackChanges"/>
    <w:docVar w:name="WAFER_20151203103812_GUID" w:val="fe6f923d-97f1-42e9-8ac8-751f61eb6f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11615</Words>
  <Characters>54709</Characters>
  <Application>Microsoft Office Word</Application>
  <DocSecurity>0</DocSecurity>
  <Lines>1189</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1986 - 02-00-01</dc:title>
  <dc:subject/>
  <dc:creator/>
  <cp:keywords/>
  <dc:description/>
  <cp:lastModifiedBy>svcMRProcess</cp:lastModifiedBy>
  <cp:revision>4</cp:revision>
  <cp:lastPrinted>2015-04-28T02:25:00Z</cp:lastPrinted>
  <dcterms:created xsi:type="dcterms:W3CDTF">2020-04-25T09:45:00Z</dcterms:created>
  <dcterms:modified xsi:type="dcterms:W3CDTF">2020-04-25T09:45:00Z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727</vt:i4>
  </property>
  <property fmtid="{D5CDD505-2E9C-101B-9397-08002B2CF9AE}" pid="6" name="ReprintedAsAt">
    <vt:filetime>2015-05-07T16:00:00Z</vt:filetime>
  </property>
  <property fmtid="{D5CDD505-2E9C-101B-9397-08002B2CF9AE}" pid="7" name="ReprintNo">
    <vt:lpwstr>2</vt:lpwstr>
  </property>
  <property fmtid="{D5CDD505-2E9C-101B-9397-08002B2CF9AE}" pid="8" name="AsAtDate">
    <vt:lpwstr>08 May 2015</vt:lpwstr>
  </property>
  <property fmtid="{D5CDD505-2E9C-101B-9397-08002B2CF9AE}" pid="9" name="Suffix">
    <vt:lpwstr>02-00-01</vt:lpwstr>
  </property>
</Properties>
</file>