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rPr>
          <w:noProof/>
        </w:rPr>
        <w:br/>
        <w:t>Hospitals (Services Charges) Regulations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_Toc421019761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_Toc421019762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_Toc421019763 \h </w:instrText>
      </w:r>
      <w:r>
        <w:fldChar w:fldCharType="separate"/>
      </w:r>
      <w:r>
        <w:t>1</w:t>
      </w:r>
      <w:r>
        <w:fldChar w:fldCharType="end"/>
      </w:r>
    </w:p>
    <w:p>
      <w:pPr>
        <w:pStyle w:val="TOC8"/>
        <w:rPr>
          <w:rFonts w:asciiTheme="minorHAnsi" w:eastAsiaTheme="minorEastAsia" w:hAnsiTheme="minorHAnsi" w:cstheme="minorBidi"/>
          <w:szCs w:val="22"/>
        </w:rPr>
      </w:pPr>
      <w:r>
        <w:t>4.</w:t>
      </w:r>
      <w:r>
        <w:tab/>
        <w:t>Charges payable in respect of compensable patients</w:t>
      </w:r>
      <w:r>
        <w:tab/>
      </w:r>
      <w:r>
        <w:fldChar w:fldCharType="begin"/>
      </w:r>
      <w:r>
        <w:instrText xml:space="preserve"> PAGEREF _Toc421019764 \h </w:instrText>
      </w:r>
      <w:r>
        <w:fldChar w:fldCharType="separate"/>
      </w:r>
      <w:r>
        <w:t>1</w:t>
      </w:r>
      <w:r>
        <w:fldChar w:fldCharType="end"/>
      </w:r>
    </w:p>
    <w:p>
      <w:pPr>
        <w:pStyle w:val="TOC8"/>
        <w:rPr>
          <w:rFonts w:asciiTheme="minorHAnsi" w:eastAsiaTheme="minorEastAsia" w:hAnsiTheme="minorHAnsi" w:cstheme="minorBidi"/>
          <w:szCs w:val="22"/>
        </w:rPr>
      </w:pPr>
      <w:r>
        <w:t>5.</w:t>
      </w:r>
      <w:r>
        <w:tab/>
        <w:t>Revocation</w:t>
      </w:r>
      <w:r>
        <w:tab/>
      </w:r>
      <w:r>
        <w:fldChar w:fldCharType="begin"/>
      </w:r>
      <w:r>
        <w:instrText xml:space="preserve"> PAGEREF _Toc421019765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Services charges for compensable patients</w:t>
      </w:r>
    </w:p>
    <w:p>
      <w:pPr>
        <w:pStyle w:val="TOC4"/>
        <w:tabs>
          <w:tab w:val="right" w:leader="dot" w:pos="7077"/>
        </w:tabs>
        <w:rPr>
          <w:rFonts w:asciiTheme="minorHAnsi" w:eastAsiaTheme="minorEastAsia" w:hAnsiTheme="minorHAnsi" w:cstheme="minorBidi"/>
          <w:b w:val="0"/>
          <w:szCs w:val="22"/>
        </w:rPr>
      </w:pPr>
      <w:r>
        <w:t>Division 1</w:t>
      </w:r>
      <w:r>
        <w:rPr>
          <w:b w:val="0"/>
        </w:rPr>
        <w:t> — </w:t>
      </w:r>
      <w:r>
        <w:t>Compensable in</w:t>
      </w:r>
      <w:r>
        <w:noBreakHyphen/>
        <w:t>patients</w:t>
      </w:r>
    </w:p>
    <w:p>
      <w:pPr>
        <w:pStyle w:val="TOC4"/>
        <w:tabs>
          <w:tab w:val="right" w:leader="dot" w:pos="7077"/>
        </w:tabs>
        <w:rPr>
          <w:rFonts w:asciiTheme="minorHAnsi" w:eastAsiaTheme="minorEastAsia" w:hAnsiTheme="minorHAnsi" w:cstheme="minorBidi"/>
          <w:b w:val="0"/>
          <w:szCs w:val="22"/>
        </w:rPr>
      </w:pPr>
      <w:r>
        <w:t>Division 2</w:t>
      </w:r>
      <w:r>
        <w:rPr>
          <w:b w:val="0"/>
        </w:rPr>
        <w:t> — </w:t>
      </w:r>
      <w:r>
        <w:t>Compensable out</w:t>
      </w:r>
      <w:r>
        <w:noBreakHyphen/>
        <w:t>patients</w:t>
      </w:r>
    </w:p>
    <w:p>
      <w:pPr>
        <w:pStyle w:val="TOC4"/>
        <w:tabs>
          <w:tab w:val="right" w:leader="dot" w:pos="7077"/>
        </w:tabs>
        <w:rPr>
          <w:rFonts w:asciiTheme="minorHAnsi" w:eastAsiaTheme="minorEastAsia" w:hAnsiTheme="minorHAnsi" w:cstheme="minorBidi"/>
          <w:b w:val="0"/>
          <w:szCs w:val="22"/>
        </w:rPr>
      </w:pPr>
      <w:r>
        <w:t>Division 3</w:t>
      </w:r>
      <w:r>
        <w:rPr>
          <w:b w:val="0"/>
        </w:rPr>
        <w:t> — </w:t>
      </w:r>
      <w:r>
        <w:t>Compensable same day patients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_Toc421019771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_Toc421019772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3" w:name="_Toc401564299"/>
      <w:bookmarkStart w:id="4" w:name="_Toc42101976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6" w:name="_Toc401564300"/>
      <w:bookmarkStart w:id="7" w:name="_Toc421019762"/>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8" w:name="_Toc401564301"/>
      <w:bookmarkStart w:id="9" w:name="_Toc421019763"/>
      <w:r>
        <w:rPr>
          <w:rStyle w:val="CharSectno"/>
        </w:rPr>
        <w:t>3</w:t>
      </w:r>
      <w:r>
        <w:t>.</w:t>
      </w:r>
      <w:r>
        <w:tab/>
        <w:t>Interpretation</w:t>
      </w:r>
      <w:bookmarkEnd w:id="8"/>
      <w:bookmarkEnd w:id="9"/>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10" w:name="_Toc401564302"/>
      <w:bookmarkStart w:id="11" w:name="_Toc421019764"/>
      <w:r>
        <w:rPr>
          <w:rStyle w:val="CharSectno"/>
        </w:rPr>
        <w:t>4</w:t>
      </w:r>
      <w:r>
        <w:t>.</w:t>
      </w:r>
      <w:r>
        <w:tab/>
        <w:t>Charges payable in respect of compensable patients</w:t>
      </w:r>
      <w:bookmarkEnd w:id="10"/>
      <w:bookmarkEnd w:id="11"/>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2" w:name="_Toc401564303"/>
      <w:bookmarkStart w:id="13" w:name="_Toc421019765"/>
      <w:r>
        <w:rPr>
          <w:rStyle w:val="CharSectno"/>
        </w:rPr>
        <w:t>5</w:t>
      </w:r>
      <w:r>
        <w:t>.</w:t>
      </w:r>
      <w:r>
        <w:tab/>
        <w:t>Revocation</w:t>
      </w:r>
      <w:bookmarkEnd w:id="12"/>
      <w:bookmarkEnd w:id="13"/>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 w:name="_Toc401564304"/>
      <w:bookmarkStart w:id="15" w:name="_Toc419467571"/>
      <w:bookmarkStart w:id="16" w:name="_Toc421019766"/>
      <w:r>
        <w:rPr>
          <w:rStyle w:val="CharSchNo"/>
        </w:rPr>
        <w:t>Schedule 1</w:t>
      </w:r>
      <w:r>
        <w:t> — </w:t>
      </w:r>
      <w:r>
        <w:rPr>
          <w:rStyle w:val="CharSchText"/>
        </w:rPr>
        <w:t>Services charges for compensable patients</w:t>
      </w:r>
      <w:bookmarkEnd w:id="14"/>
      <w:bookmarkEnd w:id="15"/>
      <w:bookmarkEnd w:id="16"/>
    </w:p>
    <w:p>
      <w:pPr>
        <w:pStyle w:val="yShoulderClause"/>
      </w:pPr>
      <w:r>
        <w:t>[cl. 4]</w:t>
      </w:r>
    </w:p>
    <w:p>
      <w:pPr>
        <w:pStyle w:val="yFootnoteheading"/>
      </w:pPr>
      <w:r>
        <w:tab/>
        <w:t>[Heading inserted in Gazette 10 Jun 2008 p. 2490.]</w:t>
      </w:r>
    </w:p>
    <w:p>
      <w:pPr>
        <w:pStyle w:val="yHeading3"/>
      </w:pPr>
      <w:bookmarkStart w:id="17" w:name="_Toc401564305"/>
      <w:bookmarkStart w:id="18" w:name="_Toc419467572"/>
      <w:bookmarkStart w:id="19" w:name="_Toc421019767"/>
      <w:r>
        <w:rPr>
          <w:rStyle w:val="CharSDivNo"/>
        </w:rPr>
        <w:t>Division 1</w:t>
      </w:r>
      <w:r>
        <w:rPr>
          <w:b w:val="0"/>
        </w:rPr>
        <w:t> — </w:t>
      </w:r>
      <w:r>
        <w:rPr>
          <w:rStyle w:val="CharSDivText"/>
        </w:rPr>
        <w:t>Compensable in</w:t>
      </w:r>
      <w:r>
        <w:rPr>
          <w:rStyle w:val="CharSDivText"/>
        </w:rPr>
        <w:noBreakHyphen/>
        <w:t>patients</w:t>
      </w:r>
      <w:bookmarkEnd w:id="17"/>
      <w:bookmarkEnd w:id="18"/>
      <w:bookmarkEnd w:id="19"/>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$2 005</w:t>
            </w:r>
            <w:r>
              <w:t>per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t>$1 648</w:t>
            </w:r>
            <w:r>
              <w:rPr>
                <w:szCs w:val="22"/>
              </w:rPr>
              <w:t xml:space="preserve">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$2 149</w:t>
            </w:r>
            <w:r>
              <w:t xml:space="preserve">per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$275</w:t>
            </w:r>
            <w:r>
              <w:t>per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$5 140</w:t>
            </w:r>
            <w:r>
              <w:t>per day</w:t>
            </w:r>
          </w:p>
        </w:tc>
      </w:tr>
    </w:tbl>
    <w:p>
      <w:pPr>
        <w:pStyle w:val="yFootnotesection"/>
      </w:pPr>
      <w:r>
        <w:tab/>
        <w:t>[Division 1 inserted in Gazette 10 Jun 2008 p. 2490; amended in Gazette 23 Jun 2009 p. 2465; 30 Jun 2010 p. 3101</w:t>
      </w:r>
      <w:r>
        <w:noBreakHyphen/>
        <w:t xml:space="preserve">2; 3 Jun 2011 p. 1979; 15 Jun 2012 p. 2519; 28 Jun 2013 p. 2754; </w:t>
      </w:r>
      <w:r>
        <w:rPr>
          <w:sz w:val="24"/>
        </w:rPr>
        <w:t>13 Jun 2014 p. </w:t>
      </w:r>
      <w:r>
        <w:t>1896; 21 Oct 2014 p. 4075.]</w:t>
      </w:r>
    </w:p>
    <w:p>
      <w:pPr>
        <w:pStyle w:val="yHeading3"/>
      </w:pPr>
      <w:bookmarkStart w:id="20" w:name="_Toc401564306"/>
      <w:bookmarkStart w:id="21" w:name="_Toc419467573"/>
      <w:bookmarkStart w:id="22" w:name="_Toc421019768"/>
      <w:r>
        <w:rPr>
          <w:rStyle w:val="CharSDivNo"/>
        </w:rPr>
        <w:t>Division 2</w:t>
      </w:r>
      <w:r>
        <w:rPr>
          <w:b w:val="0"/>
        </w:rPr>
        <w:t> — </w:t>
      </w:r>
      <w:r>
        <w:rPr>
          <w:rStyle w:val="CharSDivText"/>
        </w:rPr>
        <w:t>Compensable out</w:t>
      </w:r>
      <w:r>
        <w:rPr>
          <w:rStyle w:val="CharSDivText"/>
        </w:rPr>
        <w:noBreakHyphen/>
        <w:t>patients</w:t>
      </w:r>
      <w:bookmarkEnd w:id="20"/>
      <w:bookmarkEnd w:id="21"/>
      <w:bookmarkEnd w:id="22"/>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$223</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t>$37.70</w:t>
            </w:r>
          </w:p>
          <w:p>
            <w:pPr>
              <w:pStyle w:val="yTableNAm"/>
            </w:pPr>
            <w:r>
              <w:rPr>
                <w:szCs w:val="22"/>
              </w:rPr>
              <w:t>$30.20</w:t>
            </w:r>
          </w:p>
          <w:p>
            <w:pPr>
              <w:pStyle w:val="yTableNAm"/>
            </w:pPr>
            <w:r>
              <w:br/>
            </w:r>
            <w:r>
              <w:rPr>
                <w:szCs w:val="22"/>
              </w:rPr>
              <w:t>$30.20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$223</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xml:space="preserve">; 3 Jun 2011 p. 1979; 30 Dec 2011 p. 5577; 24 Feb 2012 p. 810; 15 Jun 2012 p. 2519; 4 Jan 2013 p. 5; 28 Jun 2013 p. 2754; 28 Jan 2014 p. 181; </w:t>
      </w:r>
      <w:r>
        <w:rPr>
          <w:sz w:val="24"/>
        </w:rPr>
        <w:t>13 Jun 2014 p. </w:t>
      </w:r>
      <w:r>
        <w:t>1896; 23 Jan 2015 p. 409.]</w:t>
      </w:r>
    </w:p>
    <w:p>
      <w:pPr>
        <w:pStyle w:val="yHeading3"/>
      </w:pPr>
      <w:bookmarkStart w:id="23" w:name="_Toc401564307"/>
      <w:bookmarkStart w:id="24" w:name="_Toc419467574"/>
      <w:bookmarkStart w:id="25" w:name="_Toc421019769"/>
      <w:r>
        <w:rPr>
          <w:rStyle w:val="CharSDivNo"/>
        </w:rPr>
        <w:t>Division 3</w:t>
      </w:r>
      <w:r>
        <w:rPr>
          <w:b w:val="0"/>
        </w:rPr>
        <w:t> — </w:t>
      </w:r>
      <w:r>
        <w:rPr>
          <w:rStyle w:val="CharSDivText"/>
        </w:rPr>
        <w:t>Compensable same day patients</w:t>
      </w:r>
      <w:bookmarkEnd w:id="23"/>
      <w:bookmarkEnd w:id="24"/>
      <w:bookmarkEnd w:id="25"/>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t>$1 729</w:t>
            </w:r>
            <w:r>
              <w:rPr>
                <w:szCs w:val="22"/>
              </w:rPr>
              <w:t xml:space="preserve">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$2 255</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$2 103</w:t>
            </w:r>
            <w:r>
              <w:t>per day</w:t>
            </w:r>
          </w:p>
        </w:tc>
      </w:tr>
    </w:tbl>
    <w:p>
      <w:pPr>
        <w:pStyle w:val="yFootnotesection"/>
      </w:pPr>
      <w:r>
        <w:tab/>
        <w:t>[Division 3 inserted in Gazette 10 Jun 2008 p. 2491; amended in Gazette 23 Jun 2009 p. 2465; 30 Jun 2010 p. 3101</w:t>
      </w:r>
      <w:r>
        <w:noBreakHyphen/>
        <w:t xml:space="preserve">2; 3 Jun 2011 p. 1979; 15 Jun 2012 p. 2519; 28 Jun 2013 p. 2754-5; </w:t>
      </w:r>
      <w:r>
        <w:rPr>
          <w:sz w:val="24"/>
        </w:rPr>
        <w:t>13 Jun 2014 p. </w:t>
      </w:r>
      <w:r>
        <w:t>1896; 21 Oct 2014 p. 4075.]</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7" w:name="_Toc401564308"/>
      <w:bookmarkStart w:id="28" w:name="_Toc419467575"/>
      <w:bookmarkStart w:id="29" w:name="_Toc421019770"/>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30" w:name="_Toc401564309"/>
      <w:bookmarkStart w:id="31" w:name="_Toc421019771"/>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rPr>
              <w:t>Hospitals (Services Charges for Compensable Patients) Determination 2005</w:t>
            </w:r>
          </w:p>
        </w:tc>
        <w:tc>
          <w:tcPr>
            <w:tcW w:w="1276" w:type="dxa"/>
            <w:tcBorders>
              <w:top w:val="single" w:sz="4" w:space="0" w:color="auto"/>
            </w:tcBorders>
          </w:tcPr>
          <w:p>
            <w:pPr>
              <w:pStyle w:val="nTable"/>
            </w:pPr>
            <w:r>
              <w:t>28 Jun 2005 p. 2922-4</w:t>
            </w:r>
          </w:p>
        </w:tc>
        <w:tc>
          <w:tcPr>
            <w:tcW w:w="2693" w:type="dxa"/>
            <w:tcBorders>
              <w:top w:val="single" w:sz="4" w:space="0" w:color="auto"/>
            </w:tcBorders>
          </w:tcPr>
          <w:p>
            <w:pPr>
              <w:pStyle w:val="nTable"/>
            </w:pPr>
            <w: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pPr>
            <w:r>
              <w:t>28 Feb 2006 p. 912-13</w:t>
            </w:r>
          </w:p>
        </w:tc>
        <w:tc>
          <w:tcPr>
            <w:tcW w:w="2693" w:type="dxa"/>
          </w:tcPr>
          <w:p>
            <w:pPr>
              <w:pStyle w:val="nTable"/>
            </w:pPr>
            <w: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pPr>
            <w:r>
              <w:t>13 Jun 2006 p. 2063-4</w:t>
            </w:r>
          </w:p>
        </w:tc>
        <w:tc>
          <w:tcPr>
            <w:tcW w:w="2693" w:type="dxa"/>
          </w:tcPr>
          <w:p>
            <w:pPr>
              <w:pStyle w:val="nTable"/>
            </w:pPr>
            <w: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pPr>
            <w:r>
              <w:t>23 Jan 2007 p. 182</w:t>
            </w:r>
            <w:r>
              <w:noBreakHyphen/>
              <w:t>3</w:t>
            </w:r>
          </w:p>
        </w:tc>
        <w:tc>
          <w:tcPr>
            <w:tcW w:w="2693" w:type="dxa"/>
          </w:tcPr>
          <w:p>
            <w:pPr>
              <w:pStyle w:val="nTable"/>
            </w:pPr>
            <w: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pPr>
            <w:r>
              <w:t>10 Jul 2007 p. 3420-1</w:t>
            </w:r>
          </w:p>
        </w:tc>
        <w:tc>
          <w:tcPr>
            <w:tcW w:w="2693" w:type="dxa"/>
          </w:tcPr>
          <w:p>
            <w:pPr>
              <w:pStyle w:val="nTable"/>
            </w:pPr>
            <w:r>
              <w:t>cl. 1 and 2: 10 Jul 2007 (see cl. 2(a));</w:t>
            </w:r>
          </w:p>
          <w:p>
            <w:pPr>
              <w:pStyle w:val="nTable"/>
            </w:pPr>
            <w: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pPr>
            <w:r>
              <w:t>25 Jan 2008 p. 214</w:t>
            </w:r>
            <w:r>
              <w:noBreakHyphen/>
              <w:t>15</w:t>
            </w:r>
          </w:p>
        </w:tc>
        <w:tc>
          <w:tcPr>
            <w:tcW w:w="2693" w:type="dxa"/>
          </w:tcPr>
          <w:p>
            <w:pPr>
              <w:pStyle w:val="nTable"/>
            </w:pPr>
            <w:r>
              <w:rPr>
                <w:snapToGrid w:val="0"/>
              </w:rPr>
              <w:t>cl. 1 and 2: 25 Jan 2008 (see cl. 2(a));</w:t>
            </w:r>
            <w:r>
              <w:rPr>
                <w:snapToGrid w:val="0"/>
              </w:rPr>
              <w:br/>
              <w:t>Determination other than cl. 1 and 2: 26 Jan 2008 (see cl. 2(b))</w:t>
            </w:r>
          </w:p>
        </w:tc>
      </w:tr>
      <w:tr>
        <w:tc>
          <w:tcPr>
            <w:tcW w:w="3118" w:type="dxa"/>
          </w:tcPr>
          <w:p>
            <w:pPr>
              <w:pStyle w:val="nTable"/>
              <w:rPr>
                <w:i/>
              </w:rPr>
            </w:pPr>
            <w:r>
              <w:rPr>
                <w:i/>
              </w:rPr>
              <w:t>Hospitals (Services Charges for Compensable Patients) Amendment Determination (No. 2) 2008</w:t>
            </w:r>
            <w:r>
              <w:t xml:space="preserve"> </w:t>
            </w:r>
          </w:p>
        </w:tc>
        <w:tc>
          <w:tcPr>
            <w:tcW w:w="1276" w:type="dxa"/>
          </w:tcPr>
          <w:p>
            <w:pPr>
              <w:pStyle w:val="nTable"/>
            </w:pPr>
            <w:r>
              <w:t>10 Jun 2008 p. 2489-91</w:t>
            </w:r>
          </w:p>
        </w:tc>
        <w:tc>
          <w:tcPr>
            <w:tcW w:w="2693" w:type="dxa"/>
          </w:tcPr>
          <w:p>
            <w:pPr>
              <w:pStyle w:val="nTable"/>
              <w:rPr>
                <w:snapToGrid w:val="0"/>
              </w:rPr>
            </w:pPr>
            <w:r>
              <w:t>cl. 1 and 2: 10 Jun 2008 (see cl. 2(a));</w:t>
            </w:r>
            <w:r>
              <w:br/>
            </w:r>
            <w:r>
              <w:rPr>
                <w:snapToGrid w:val="0"/>
              </w:rPr>
              <w:t>Determination</w:t>
            </w:r>
            <w:r>
              <w:t xml:space="preserve"> other than cl. 1 and 2: 1 Jul 2008 (see cl. 2(b)) </w:t>
            </w:r>
          </w:p>
        </w:tc>
      </w:tr>
      <w:tr>
        <w:tc>
          <w:tcPr>
            <w:tcW w:w="3118" w:type="dxa"/>
          </w:tcPr>
          <w:p>
            <w:pPr>
              <w:pStyle w:val="nTable"/>
              <w:rPr>
                <w:i/>
              </w:rPr>
            </w:pPr>
            <w:r>
              <w:rPr>
                <w:i/>
              </w:rPr>
              <w:t>Hospitals (Services Charges for Compensable Patients) Amendment Determination 2009</w:t>
            </w:r>
          </w:p>
        </w:tc>
        <w:tc>
          <w:tcPr>
            <w:tcW w:w="1276" w:type="dxa"/>
          </w:tcPr>
          <w:p>
            <w:pPr>
              <w:pStyle w:val="nTable"/>
            </w:pPr>
            <w:r>
              <w:t>10 Feb 2009 p. 274-5</w:t>
            </w:r>
          </w:p>
        </w:tc>
        <w:tc>
          <w:tcPr>
            <w:tcW w:w="2693" w:type="dxa"/>
          </w:tcPr>
          <w:p>
            <w:pPr>
              <w:pStyle w:val="nTable"/>
            </w:pPr>
            <w:r>
              <w:t>cl. 1 and 2: 10 Feb 2009 (see cl. 2(a));</w:t>
            </w:r>
            <w:r>
              <w:br/>
            </w:r>
            <w:r>
              <w:rPr>
                <w:snapToGrid w:val="0"/>
              </w:rPr>
              <w:t>Determination other than cl. 1 and 2</w:t>
            </w:r>
            <w:r>
              <w:t>: 11 Feb 2009 (see cl. 2(b))</w:t>
            </w:r>
          </w:p>
        </w:tc>
      </w:tr>
      <w:tr>
        <w:tc>
          <w:tcPr>
            <w:tcW w:w="3118" w:type="dxa"/>
          </w:tcPr>
          <w:p>
            <w:pPr>
              <w:pStyle w:val="nTable"/>
              <w:rPr>
                <w:i/>
              </w:rPr>
            </w:pPr>
            <w:r>
              <w:rPr>
                <w:i/>
              </w:rPr>
              <w:t>Hospitals (Services Charges for Compensable Patients) Amendment Determination (No. 2) 2009</w:t>
            </w:r>
          </w:p>
        </w:tc>
        <w:tc>
          <w:tcPr>
            <w:tcW w:w="1276" w:type="dxa"/>
          </w:tcPr>
          <w:p>
            <w:pPr>
              <w:pStyle w:val="nTable"/>
            </w:pPr>
            <w:r>
              <w:t>23 Jun 2009 p. 2464</w:t>
            </w:r>
            <w:r>
              <w:noBreakHyphen/>
              <w:t>5</w:t>
            </w:r>
          </w:p>
        </w:tc>
        <w:tc>
          <w:tcPr>
            <w:tcW w:w="2693" w:type="dxa"/>
          </w:tcPr>
          <w:p>
            <w:pPr>
              <w:pStyle w:val="nTable"/>
            </w:pPr>
            <w:r>
              <w:rPr>
                <w:snapToGrid w:val="0"/>
              </w:rPr>
              <w:t>cl. 1 and 2: 23 Jun 2009 (see cl. 2(a));</w:t>
            </w:r>
            <w:r>
              <w:rPr>
                <w:snapToGrid w:val="0"/>
              </w:rPr>
              <w:br/>
              <w:t>Determination other than cl. 1 and 2: 1 Jul 2009 (see cl. 2(b))</w:t>
            </w:r>
          </w:p>
        </w:tc>
      </w:tr>
      <w:tr>
        <w:tc>
          <w:tcPr>
            <w:tcW w:w="3118" w:type="dxa"/>
          </w:tcPr>
          <w:p>
            <w:pPr>
              <w:pStyle w:val="nTable"/>
              <w:rPr>
                <w:i/>
              </w:rPr>
            </w:pPr>
            <w:r>
              <w:rPr>
                <w:i/>
              </w:rPr>
              <w:t>Hospitals (Services Charges for Compensable Patients) Amendment Determination (No. 3) 2009</w:t>
            </w:r>
          </w:p>
        </w:tc>
        <w:tc>
          <w:tcPr>
            <w:tcW w:w="1276" w:type="dxa"/>
          </w:tcPr>
          <w:p>
            <w:pPr>
              <w:pStyle w:val="nTable"/>
            </w:pPr>
            <w:r>
              <w:t>19 Jan 2010 p. 149-50</w:t>
            </w:r>
          </w:p>
        </w:tc>
        <w:tc>
          <w:tcPr>
            <w:tcW w:w="2693" w:type="dxa"/>
          </w:tcPr>
          <w:p>
            <w:pPr>
              <w:pStyle w:val="nTable"/>
              <w:rPr>
                <w:snapToGrid w:val="0"/>
              </w:rPr>
            </w:pPr>
            <w:r>
              <w:rPr>
                <w:snapToGrid w:val="0"/>
              </w:rPr>
              <w:t>cl. 1 and 2: 19 Jan 2010 (see cl. 2(a));</w:t>
            </w:r>
            <w:r>
              <w:rPr>
                <w:snapToGrid w:val="0"/>
              </w:rPr>
              <w:br/>
              <w:t>Determination other than cl. 1 and 2: 20 Jan 2010 (see cl. 2(b))</w:t>
            </w:r>
          </w:p>
        </w:tc>
      </w:tr>
      <w:tr>
        <w:tc>
          <w:tcPr>
            <w:tcW w:w="3118" w:type="dxa"/>
          </w:tcPr>
          <w:p>
            <w:pPr>
              <w:pStyle w:val="nTable"/>
              <w:rPr>
                <w:i/>
              </w:rPr>
            </w:pPr>
            <w:r>
              <w:rPr>
                <w:i/>
              </w:rPr>
              <w:t>Hospitals (Services Charges for Compensable Patients) Amendment Determination 2010</w:t>
            </w:r>
          </w:p>
        </w:tc>
        <w:tc>
          <w:tcPr>
            <w:tcW w:w="1276" w:type="dxa"/>
          </w:tcPr>
          <w:p>
            <w:pPr>
              <w:pStyle w:val="nTable"/>
            </w:pPr>
            <w:r>
              <w:t>30 Jun 2010 p. 3101</w:t>
            </w:r>
            <w:r>
              <w:noBreakHyphen/>
              <w:t>2</w:t>
            </w:r>
          </w:p>
        </w:tc>
        <w:tc>
          <w:tcPr>
            <w:tcW w:w="2693" w:type="dxa"/>
          </w:tcPr>
          <w:p>
            <w:pPr>
              <w:pStyle w:val="nTable"/>
              <w:rPr>
                <w:snapToGrid w:val="0"/>
              </w:rPr>
            </w:pPr>
            <w:r>
              <w:rPr>
                <w:snapToGrid w:val="0"/>
              </w:rPr>
              <w:t>cl. 1 and 2: 30 Jun 2010 (see cl. 2(a));</w:t>
            </w:r>
            <w:r>
              <w:rPr>
                <w:snapToGrid w:val="0"/>
              </w:rPr>
              <w:br/>
              <w:t>Determination other than cl. 1 and 2: 1 Jul 2010 (see cl. 2(b))</w:t>
            </w:r>
          </w:p>
        </w:tc>
      </w:tr>
      <w:tr>
        <w:tc>
          <w:tcPr>
            <w:tcW w:w="3118" w:type="dxa"/>
          </w:tcPr>
          <w:p>
            <w:pPr>
              <w:pStyle w:val="nTable"/>
              <w:rPr>
                <w:i/>
              </w:rPr>
            </w:pPr>
            <w:r>
              <w:rPr>
                <w:i/>
              </w:rPr>
              <w:t>Hospitals (Services Charges for Compensable Patients) Amendment Determination 2011</w:t>
            </w:r>
          </w:p>
        </w:tc>
        <w:tc>
          <w:tcPr>
            <w:tcW w:w="1276" w:type="dxa"/>
          </w:tcPr>
          <w:p>
            <w:pPr>
              <w:pStyle w:val="nTable"/>
            </w:pPr>
            <w:r>
              <w:t>11 Feb 2011 p. 481</w:t>
            </w:r>
          </w:p>
        </w:tc>
        <w:tc>
          <w:tcPr>
            <w:tcW w:w="2693" w:type="dxa"/>
          </w:tcPr>
          <w:p>
            <w:pPr>
              <w:pStyle w:val="nTable"/>
              <w:rPr>
                <w:snapToGrid w:val="0"/>
              </w:rPr>
            </w:pPr>
            <w:r>
              <w:rPr>
                <w:snapToGrid w:val="0"/>
              </w:rPr>
              <w:t>cl. 1 and 2: 11 Feb 2011 (see cl. 2(a));</w:t>
            </w:r>
            <w:r>
              <w:rPr>
                <w:snapToGrid w:val="0"/>
              </w:rPr>
              <w:br/>
              <w:t>Determination other than cl. 1 and 2: 12 Feb 2011 (see cl. 2(b))</w:t>
            </w:r>
          </w:p>
        </w:tc>
      </w:tr>
      <w:tr>
        <w:tc>
          <w:tcPr>
            <w:tcW w:w="3118" w:type="dxa"/>
          </w:tcPr>
          <w:p>
            <w:pPr>
              <w:pStyle w:val="nTable"/>
              <w:rPr>
                <w:i/>
              </w:rPr>
            </w:pPr>
            <w:r>
              <w:rPr>
                <w:i/>
              </w:rPr>
              <w:t>Hospitals (Services Charges for Compensable Patients) Determination Amendment Notice (No. 2) 2011</w:t>
            </w:r>
            <w:r>
              <w:t xml:space="preserve"> </w:t>
            </w:r>
          </w:p>
        </w:tc>
        <w:tc>
          <w:tcPr>
            <w:tcW w:w="1276" w:type="dxa"/>
          </w:tcPr>
          <w:p>
            <w:pPr>
              <w:pStyle w:val="nTable"/>
            </w:pPr>
            <w:r>
              <w:t>3 Jun 2011 p. 1978-9</w:t>
            </w:r>
          </w:p>
        </w:tc>
        <w:tc>
          <w:tcPr>
            <w:tcW w:w="2693" w:type="dxa"/>
          </w:tcPr>
          <w:p>
            <w:pPr>
              <w:pStyle w:val="nTable"/>
              <w:rPr>
                <w:snapToGrid w:val="0"/>
              </w:rPr>
            </w:pPr>
            <w:r>
              <w:t>cl. 1 and 2: 3 Jun 2011 (see cl. 2(a));</w:t>
            </w:r>
            <w:r>
              <w:br/>
              <w:t>Notice other than cl. 1 and 2: 1 Jul 2011 (see cl. 2(b))</w:t>
            </w:r>
          </w:p>
        </w:tc>
      </w:tr>
      <w:tr>
        <w:tc>
          <w:tcPr>
            <w:tcW w:w="3118" w:type="dxa"/>
          </w:tcPr>
          <w:p>
            <w:pPr>
              <w:pStyle w:val="nTable"/>
              <w:rPr>
                <w:i/>
              </w:rPr>
            </w:pPr>
            <w:r>
              <w:rPr>
                <w:i/>
              </w:rPr>
              <w:t>Hospitals (Services Charges for Compensable Patients) Determination Amendment Notice (No. 4) 2011</w:t>
            </w:r>
          </w:p>
        </w:tc>
        <w:tc>
          <w:tcPr>
            <w:tcW w:w="1276" w:type="dxa"/>
          </w:tcPr>
          <w:p>
            <w:pPr>
              <w:pStyle w:val="nTable"/>
            </w:pPr>
            <w:r>
              <w:t>30 Dec 2011 p. 5576-7</w:t>
            </w:r>
          </w:p>
        </w:tc>
        <w:tc>
          <w:tcPr>
            <w:tcW w:w="2693" w:type="dxa"/>
          </w:tcPr>
          <w:p>
            <w:pPr>
              <w:pStyle w:val="nTable"/>
            </w:pPr>
            <w:r>
              <w:t>cl. 1 and 2: 30 Dec 2011 (see cl. 2(a));</w:t>
            </w:r>
            <w:r>
              <w:br/>
              <w:t>Notice other than cl. 1 and 2: 1 Jan 2012 (see cl. 2(b))</w:t>
            </w:r>
          </w:p>
        </w:tc>
      </w:tr>
      <w:tr>
        <w:tc>
          <w:tcPr>
            <w:tcW w:w="3118" w:type="dxa"/>
          </w:tcPr>
          <w:p>
            <w:pPr>
              <w:pStyle w:val="nTable"/>
              <w:rPr>
                <w:i/>
              </w:rPr>
            </w:pPr>
            <w:r>
              <w:rPr>
                <w:i/>
              </w:rPr>
              <w:t>Hospitals (Services Charges for Compensable Patients) Determination Amendment Notice 2012</w:t>
            </w:r>
          </w:p>
        </w:tc>
        <w:tc>
          <w:tcPr>
            <w:tcW w:w="1276" w:type="dxa"/>
          </w:tcPr>
          <w:p>
            <w:pPr>
              <w:pStyle w:val="nTable"/>
            </w:pPr>
            <w:r>
              <w:t>24 Feb 2012 p. 810</w:t>
            </w:r>
          </w:p>
        </w:tc>
        <w:tc>
          <w:tcPr>
            <w:tcW w:w="2693" w:type="dxa"/>
          </w:tcPr>
          <w:p>
            <w:pPr>
              <w:pStyle w:val="nTable"/>
            </w:pPr>
            <w:r>
              <w:t>cl. 1 and 2: 24 Feb 2012 (see cl. 2(a));</w:t>
            </w:r>
            <w:r>
              <w:br/>
              <w:t>Notice other than cl. 1 and 2: 25 Feb 2012 (see cl. 2(b))</w:t>
            </w:r>
          </w:p>
        </w:tc>
      </w:tr>
      <w:tr>
        <w:tc>
          <w:tcPr>
            <w:tcW w:w="3118" w:type="dxa"/>
          </w:tcPr>
          <w:p>
            <w:pPr>
              <w:pStyle w:val="nTable"/>
              <w:rPr>
                <w:i/>
              </w:rPr>
            </w:pPr>
            <w:r>
              <w:rPr>
                <w:i/>
              </w:rPr>
              <w:t>Hospitals (Services Charges for Compensable Patients) Amendment Determination 2012</w:t>
            </w:r>
          </w:p>
        </w:tc>
        <w:tc>
          <w:tcPr>
            <w:tcW w:w="1276" w:type="dxa"/>
          </w:tcPr>
          <w:p>
            <w:pPr>
              <w:pStyle w:val="nTable"/>
            </w:pPr>
            <w:r>
              <w:t>15 Jun 2012 p. 2518-19</w:t>
            </w:r>
          </w:p>
        </w:tc>
        <w:tc>
          <w:tcPr>
            <w:tcW w:w="2693" w:type="dxa"/>
          </w:tcPr>
          <w:p>
            <w:pPr>
              <w:pStyle w:val="nTable"/>
            </w:pPr>
            <w:r>
              <w:rPr>
                <w:snapToGrid w:val="0"/>
              </w:rPr>
              <w:t>cl. 1 and 2: 15 Jun 2012 (see cl. 2(a));</w:t>
            </w:r>
            <w:r>
              <w:rPr>
                <w:snapToGrid w:val="0"/>
              </w:rPr>
              <w:br/>
              <w:t>Determination other than cl. 1 and 2: 1 Jul 2012 (see cl. 2(b))</w:t>
            </w:r>
          </w:p>
        </w:tc>
      </w:tr>
      <w:tr>
        <w:tc>
          <w:tcPr>
            <w:tcW w:w="3118" w:type="dxa"/>
          </w:tcPr>
          <w:p>
            <w:pPr>
              <w:pStyle w:val="nTable"/>
              <w:rPr>
                <w:i/>
              </w:rPr>
            </w:pPr>
            <w:r>
              <w:rPr>
                <w:i/>
              </w:rPr>
              <w:t>Hospitals (Services Charges for Compensable Patients) Amendment Determination (No. 2) 2012</w:t>
            </w:r>
          </w:p>
        </w:tc>
        <w:tc>
          <w:tcPr>
            <w:tcW w:w="1276" w:type="dxa"/>
          </w:tcPr>
          <w:p>
            <w:pPr>
              <w:pStyle w:val="nTable"/>
            </w:pPr>
            <w:r>
              <w:t>4 Jan 2013 p. 5</w:t>
            </w:r>
          </w:p>
        </w:tc>
        <w:tc>
          <w:tcPr>
            <w:tcW w:w="2693" w:type="dxa"/>
          </w:tcPr>
          <w:p>
            <w:pPr>
              <w:pStyle w:val="nTable"/>
              <w:rPr>
                <w:snapToGrid w:val="0"/>
              </w:rPr>
            </w:pPr>
            <w:r>
              <w:rPr>
                <w:snapToGrid w:val="0"/>
              </w:rPr>
              <w:t>cl. 1 and 2: 4 Jan 2013 (see cl. 2(a));</w:t>
            </w:r>
            <w:r>
              <w:rPr>
                <w:snapToGrid w:val="0"/>
              </w:rPr>
              <w:br/>
              <w:t>Determination other than cl. 1 and 2: 5 Jan 2013 (see cl. 2(b))</w:t>
            </w:r>
          </w:p>
        </w:tc>
      </w:tr>
      <w:tr>
        <w:tc>
          <w:tcPr>
            <w:tcW w:w="3118" w:type="dxa"/>
          </w:tcPr>
          <w:p>
            <w:pPr>
              <w:pStyle w:val="nTable"/>
              <w:rPr>
                <w:i/>
              </w:rPr>
            </w:pPr>
            <w:r>
              <w:rPr>
                <w:i/>
              </w:rPr>
              <w:t>Hospitals (Services Charges for Compensable Patients) Amendment Determination 2013</w:t>
            </w:r>
          </w:p>
        </w:tc>
        <w:tc>
          <w:tcPr>
            <w:tcW w:w="1276" w:type="dxa"/>
          </w:tcPr>
          <w:p>
            <w:pPr>
              <w:pStyle w:val="nTable"/>
            </w:pPr>
            <w:r>
              <w:t>28 Jun 2013 p. 2754-5</w:t>
            </w:r>
          </w:p>
        </w:tc>
        <w:tc>
          <w:tcPr>
            <w:tcW w:w="2693" w:type="dxa"/>
          </w:tcPr>
          <w:p>
            <w:pPr>
              <w:pStyle w:val="nTable"/>
              <w:rPr>
                <w:snapToGrid w:val="0"/>
              </w:rPr>
            </w:pPr>
            <w:r>
              <w:rPr>
                <w:snapToGrid w:val="0"/>
              </w:rPr>
              <w:t>cl. 1 and 2: 28 Jun 2013 (see cl. 2(a));</w:t>
            </w:r>
            <w:r>
              <w:rPr>
                <w:snapToGrid w:val="0"/>
              </w:rPr>
              <w:br/>
              <w:t>Determination other than cl. 1 and 2: 1 Jul 2013 (see cl. 2(b))</w:t>
            </w:r>
          </w:p>
        </w:tc>
      </w:tr>
      <w:tr>
        <w:tc>
          <w:tcPr>
            <w:tcW w:w="3118" w:type="dxa"/>
          </w:tcPr>
          <w:p>
            <w:pPr>
              <w:pStyle w:val="nTable"/>
              <w:rPr>
                <w:i/>
              </w:rPr>
            </w:pPr>
            <w:r>
              <w:rPr>
                <w:i/>
              </w:rPr>
              <w:t>Hospitals (Services Charges for Compensable Patients) Amendment Determination 2014</w:t>
            </w:r>
          </w:p>
        </w:tc>
        <w:tc>
          <w:tcPr>
            <w:tcW w:w="1276" w:type="dxa"/>
          </w:tcPr>
          <w:p>
            <w:pPr>
              <w:pStyle w:val="nTable"/>
            </w:pPr>
            <w:r>
              <w:t>28 Jan 2014 p. 180</w:t>
            </w:r>
            <w:r>
              <w:noBreakHyphen/>
              <w:t>1</w:t>
            </w:r>
          </w:p>
        </w:tc>
        <w:tc>
          <w:tcPr>
            <w:tcW w:w="2693" w:type="dxa"/>
          </w:tcPr>
          <w:p>
            <w:pPr>
              <w:pStyle w:val="nTable"/>
              <w:rPr>
                <w:snapToGrid w:val="0"/>
              </w:rPr>
            </w:pPr>
            <w:r>
              <w:rPr>
                <w:rFonts w:ascii="Times" w:hAnsi="Times"/>
                <w:bCs/>
                <w:snapToGrid w:val="0"/>
                <w:spacing w:val="-2"/>
              </w:rPr>
              <w:t>cl. 1 and 2: 28 Jan 2014 (see cl. 2(a));</w:t>
            </w:r>
            <w:r>
              <w:rPr>
                <w:rFonts w:ascii="Times" w:hAnsi="Times"/>
                <w:bCs/>
                <w:snapToGrid w:val="0"/>
                <w:spacing w:val="-2"/>
              </w:rPr>
              <w:br/>
              <w:t>Determination other than cl. 1 and 2: 29 Jan 2014 (see cl. 2(b))</w:t>
            </w:r>
          </w:p>
        </w:tc>
      </w:tr>
      <w:tr>
        <w:tc>
          <w:tcPr>
            <w:tcW w:w="3118" w:type="dxa"/>
          </w:tcPr>
          <w:p>
            <w:pPr>
              <w:pStyle w:val="nTable"/>
            </w:pPr>
            <w:r>
              <w:rPr>
                <w:i/>
              </w:rPr>
              <w:t>Hospitals (Services Charges for Compensable Patients) Amendment Determination (No. 2) 2014</w:t>
            </w:r>
          </w:p>
        </w:tc>
        <w:tc>
          <w:tcPr>
            <w:tcW w:w="1276" w:type="dxa"/>
          </w:tcPr>
          <w:p>
            <w:pPr>
              <w:pStyle w:val="nTable"/>
            </w:pPr>
            <w:r>
              <w:t>13 Jun 2014 p. 1896</w:t>
            </w:r>
          </w:p>
        </w:tc>
        <w:tc>
          <w:tcPr>
            <w:tcW w:w="2693" w:type="dxa"/>
          </w:tcPr>
          <w:p>
            <w:pPr>
              <w:pStyle w:val="nTable"/>
              <w:rPr>
                <w:rFonts w:ascii="Times" w:hAnsi="Times"/>
                <w:bCs/>
                <w:snapToGrid w:val="0"/>
                <w:spacing w:val="-2"/>
              </w:rPr>
            </w:pPr>
            <w:r>
              <w:rPr>
                <w:rFonts w:ascii="Times" w:hAnsi="Times"/>
                <w:bCs/>
                <w:snapToGrid w:val="0"/>
                <w:spacing w:val="-2"/>
              </w:rPr>
              <w:t>cl. 1 and 2: 13 Jun 2014 (see cl. 2(a));</w:t>
            </w:r>
            <w:r>
              <w:rPr>
                <w:rFonts w:ascii="Times" w:hAnsi="Times"/>
                <w:bCs/>
                <w:snapToGrid w:val="0"/>
                <w:spacing w:val="-2"/>
              </w:rPr>
              <w:br/>
              <w:t xml:space="preserve">Determination other than cl. 1 and 2: </w:t>
            </w:r>
            <w:r>
              <w:t>1 Jul 2014 (see cl. 2(b))</w:t>
            </w:r>
          </w:p>
        </w:tc>
      </w:tr>
      <w:tr>
        <w:tc>
          <w:tcPr>
            <w:tcW w:w="3118" w:type="dxa"/>
          </w:tcPr>
          <w:p>
            <w:pPr>
              <w:pStyle w:val="nTable"/>
              <w:keepNext/>
              <w:rPr>
                <w:i/>
              </w:rPr>
            </w:pPr>
            <w:r>
              <w:rPr>
                <w:i/>
              </w:rPr>
              <w:t>Hospitals (Services Charges for Compensable Patients) Amendment Determination (No. 3) 2014</w:t>
            </w:r>
          </w:p>
        </w:tc>
        <w:tc>
          <w:tcPr>
            <w:tcW w:w="1276" w:type="dxa"/>
          </w:tcPr>
          <w:p>
            <w:pPr>
              <w:pStyle w:val="nTable"/>
              <w:keepNext/>
            </w:pPr>
            <w:r>
              <w:t>21 Oct 2014 p. 4075</w:t>
            </w:r>
          </w:p>
        </w:tc>
        <w:tc>
          <w:tcPr>
            <w:tcW w:w="2693" w:type="dxa"/>
          </w:tcPr>
          <w:p>
            <w:pPr>
              <w:pStyle w:val="nTable"/>
              <w:keepNext/>
              <w:rPr>
                <w:rFonts w:ascii="Times" w:hAnsi="Times"/>
                <w:bCs/>
                <w:snapToGrid w:val="0"/>
                <w:spacing w:val="-2"/>
              </w:rPr>
            </w:pPr>
            <w:r>
              <w:rPr>
                <w:rFonts w:ascii="Times" w:hAnsi="Times"/>
                <w:bCs/>
                <w:snapToGrid w:val="0"/>
                <w:spacing w:val="-2"/>
              </w:rPr>
              <w:t>cl. 1 and 2: 21 Oct 2014 (see cl. 2(a));</w:t>
            </w:r>
            <w:r>
              <w:rPr>
                <w:rFonts w:ascii="Times" w:hAnsi="Times"/>
                <w:bCs/>
                <w:snapToGrid w:val="0"/>
                <w:spacing w:val="-2"/>
              </w:rPr>
              <w:br/>
              <w:t>Determination other than cl. 1 and 2: 22</w:t>
            </w:r>
            <w:r>
              <w:t xml:space="preserve"> Oct 2014 (see cl. 2(b))</w:t>
            </w:r>
          </w:p>
        </w:tc>
      </w:tr>
      <w:tr>
        <w:tc>
          <w:tcPr>
            <w:tcW w:w="3118" w:type="dxa"/>
            <w:tcBorders>
              <w:bottom w:val="single" w:sz="4" w:space="0" w:color="auto"/>
            </w:tcBorders>
          </w:tcPr>
          <w:p>
            <w:pPr>
              <w:pStyle w:val="nTable"/>
              <w:rPr>
                <w:i/>
              </w:rPr>
            </w:pPr>
            <w:r>
              <w:rPr>
                <w:i/>
              </w:rPr>
              <w:t>Hospitals (Services Charges for Compensable Patients) Amendment Determination 2015</w:t>
            </w:r>
          </w:p>
        </w:tc>
        <w:tc>
          <w:tcPr>
            <w:tcW w:w="1276" w:type="dxa"/>
            <w:tcBorders>
              <w:bottom w:val="single" w:sz="4" w:space="0" w:color="auto"/>
            </w:tcBorders>
          </w:tcPr>
          <w:p>
            <w:pPr>
              <w:pStyle w:val="nTable"/>
              <w:keepNext/>
            </w:pPr>
            <w:r>
              <w:t>23 Jan 2015 p. 409</w:t>
            </w:r>
          </w:p>
        </w:tc>
        <w:tc>
          <w:tcPr>
            <w:tcW w:w="2693" w:type="dxa"/>
            <w:tcBorders>
              <w:bottom w:val="single" w:sz="4" w:space="0" w:color="auto"/>
            </w:tcBorders>
          </w:tcPr>
          <w:p>
            <w:pPr>
              <w:pStyle w:val="nTable"/>
              <w:keepNext/>
              <w:rPr>
                <w:rFonts w:ascii="Times" w:hAnsi="Times"/>
                <w:bCs/>
                <w:snapToGrid w:val="0"/>
                <w:spacing w:val="-2"/>
              </w:rPr>
            </w:pPr>
            <w:r>
              <w:rPr>
                <w:rFonts w:ascii="Times" w:hAnsi="Times"/>
                <w:bCs/>
                <w:snapToGrid w:val="0"/>
                <w:spacing w:val="-2"/>
              </w:rPr>
              <w:t>cl. 1 and 2: 23 Jan 2015 (see cl. 2(a));</w:t>
            </w:r>
            <w:r>
              <w:rPr>
                <w:rFonts w:ascii="Times" w:hAnsi="Times"/>
                <w:bCs/>
                <w:snapToGrid w:val="0"/>
                <w:spacing w:val="-2"/>
              </w:rPr>
              <w:br/>
              <w:t>Determination other than cl. 1 and 2: 24</w:t>
            </w:r>
            <w:r>
              <w:t xml:space="preserve"> Jan 2015 (see cl.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 w:name="_Toc421019772"/>
      <w:r>
        <w:t>Provisions that have not come into operation</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Hospitals (Services Charges for Compensable Patients) Amendment Determination (No. 2) 2015</w:t>
            </w:r>
            <w:r>
              <w:t xml:space="preserve"> cl. 3 and 4</w:t>
            </w:r>
            <w:r>
              <w:rPr>
                <w:vertAlign w:val="superscript"/>
              </w:rPr>
              <w:t> 2</w:t>
            </w:r>
          </w:p>
        </w:tc>
        <w:tc>
          <w:tcPr>
            <w:tcW w:w="1276" w:type="dxa"/>
          </w:tcPr>
          <w:p>
            <w:pPr>
              <w:pStyle w:val="nTable"/>
              <w:spacing w:after="40"/>
            </w:pPr>
            <w:r>
              <w:t>2 Jun 2015 p. 1941</w:t>
            </w:r>
            <w:r>
              <w:noBreakHyphen/>
              <w:t>2</w:t>
            </w:r>
          </w:p>
        </w:tc>
        <w:tc>
          <w:tcPr>
            <w:tcW w:w="2693" w:type="dxa"/>
          </w:tcPr>
          <w:p>
            <w:pPr>
              <w:pStyle w:val="nTable"/>
              <w:spacing w:after="40"/>
            </w:pPr>
            <w:r>
              <w:t>1 Jul 2015 (see cl. 2(b))</w:t>
            </w:r>
          </w:p>
        </w:tc>
      </w:tr>
    </w:tbl>
    <w:p>
      <w:pPr>
        <w:pStyle w:val="nSubsection"/>
        <w:spacing w:before="360"/>
      </w:pPr>
      <w:r>
        <w:rPr>
          <w:vertAlign w:val="superscript"/>
        </w:rPr>
        <w:t>2</w:t>
      </w:r>
      <w:r>
        <w:rPr>
          <w:snapToGrid w:val="0"/>
        </w:rPr>
        <w:tab/>
        <w:t xml:space="preserve">On the date as at which this compilation was prepared, the </w:t>
      </w:r>
      <w:r>
        <w:rPr>
          <w:i/>
        </w:rPr>
        <w:t>Hospitals (Services Charges for Compensable Patients) Amendment Determination (No. 2) 2015</w:t>
      </w:r>
      <w:r>
        <w:t xml:space="preserve"> cl.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Determination amended</w:t>
      </w:r>
    </w:p>
    <w:p>
      <w:pPr>
        <w:pStyle w:val="nzSubsection"/>
      </w:pPr>
      <w:r>
        <w:tab/>
      </w:r>
      <w:r>
        <w:tab/>
      </w:r>
      <w:r>
        <w:rPr>
          <w:spacing w:val="-2"/>
        </w:rPr>
        <w:t>This</w:t>
      </w:r>
      <w:r>
        <w:t xml:space="preserve"> determination amends the </w:t>
      </w:r>
      <w:r>
        <w:rPr>
          <w:i/>
        </w:rPr>
        <w:t>Hospitals (Services Charges for Compensable Patients) Determination 2005</w:t>
      </w:r>
      <w:r>
        <w:t>.</w:t>
      </w:r>
    </w:p>
    <w:p>
      <w:pPr>
        <w:pStyle w:val="nzHeading5"/>
      </w:pPr>
      <w:r>
        <w:rPr>
          <w:rStyle w:val="CharSectno"/>
        </w:rPr>
        <w:t>4</w:t>
      </w:r>
      <w:r>
        <w:t>.</w:t>
      </w:r>
      <w:r>
        <w:tab/>
        <w:t>Schedule 1 amended</w:t>
      </w:r>
    </w:p>
    <w:p>
      <w:pPr>
        <w:pStyle w:val="nzSubsection"/>
      </w:pPr>
      <w:r>
        <w:tab/>
      </w:r>
      <w:r>
        <w:tab/>
        <w:t>In Schedule 1 amend the provisions listed in the Table as set out in the Table.</w:t>
      </w:r>
    </w:p>
    <w:p>
      <w:pPr>
        <w:pStyle w:val="THeadingNAm"/>
        <w:keepLines/>
        <w:widowControl w:val="0"/>
      </w:pPr>
      <w:r>
        <w:t>Table</w:t>
      </w:r>
    </w:p>
    <w:tbl>
      <w:tblPr>
        <w:tblW w:w="663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11"/>
        <w:gridCol w:w="2211"/>
        <w:gridCol w:w="2211"/>
      </w:tblGrid>
      <w:tr>
        <w:trPr>
          <w:tblHeader/>
        </w:trPr>
        <w:tc>
          <w:tcPr>
            <w:tcW w:w="2211" w:type="dxa"/>
          </w:tcPr>
          <w:p>
            <w:pPr>
              <w:pStyle w:val="TableNAm"/>
              <w:keepNext/>
              <w:keepLines/>
              <w:widowControl w:val="0"/>
              <w:jc w:val="center"/>
              <w:rPr>
                <w:b/>
                <w:bCs/>
                <w:sz w:val="20"/>
              </w:rPr>
            </w:pPr>
            <w:r>
              <w:rPr>
                <w:b/>
                <w:bCs/>
                <w:sz w:val="20"/>
              </w:rPr>
              <w:t>Provision</w:t>
            </w:r>
          </w:p>
        </w:tc>
        <w:tc>
          <w:tcPr>
            <w:tcW w:w="2211" w:type="dxa"/>
          </w:tcPr>
          <w:p>
            <w:pPr>
              <w:pStyle w:val="TableNAm"/>
              <w:keepNext/>
              <w:keepLines/>
              <w:widowControl w:val="0"/>
              <w:jc w:val="center"/>
              <w:rPr>
                <w:b/>
                <w:bCs/>
                <w:sz w:val="20"/>
              </w:rPr>
            </w:pPr>
            <w:r>
              <w:rPr>
                <w:b/>
                <w:bCs/>
                <w:sz w:val="20"/>
              </w:rPr>
              <w:t>Delete</w:t>
            </w:r>
          </w:p>
        </w:tc>
        <w:tc>
          <w:tcPr>
            <w:tcW w:w="2211" w:type="dxa"/>
          </w:tcPr>
          <w:p>
            <w:pPr>
              <w:pStyle w:val="TableNAm"/>
              <w:keepNext/>
              <w:keepLines/>
              <w:widowControl w:val="0"/>
              <w:jc w:val="center"/>
              <w:rPr>
                <w:b/>
                <w:bCs/>
                <w:sz w:val="20"/>
              </w:rPr>
            </w:pPr>
            <w:r>
              <w:rPr>
                <w:b/>
                <w:bCs/>
                <w:sz w:val="20"/>
              </w:rPr>
              <w:t>Insert</w:t>
            </w:r>
          </w:p>
        </w:tc>
      </w:tr>
      <w:tr>
        <w:tc>
          <w:tcPr>
            <w:tcW w:w="2211" w:type="dxa"/>
          </w:tcPr>
          <w:p>
            <w:pPr>
              <w:pStyle w:val="TableNAm"/>
              <w:keepNext/>
              <w:keepLines/>
              <w:widowControl w:val="0"/>
              <w:rPr>
                <w:sz w:val="20"/>
              </w:rPr>
            </w:pPr>
            <w:r>
              <w:rPr>
                <w:sz w:val="20"/>
              </w:rPr>
              <w:t>Sch. 1 it. 1</w:t>
            </w:r>
          </w:p>
        </w:tc>
        <w:tc>
          <w:tcPr>
            <w:tcW w:w="2211" w:type="dxa"/>
            <w:vAlign w:val="center"/>
          </w:tcPr>
          <w:p>
            <w:pPr>
              <w:pStyle w:val="TableNAm"/>
              <w:keepNext/>
              <w:keepLines/>
              <w:widowControl w:val="0"/>
              <w:jc w:val="center"/>
              <w:rPr>
                <w:sz w:val="20"/>
              </w:rPr>
            </w:pPr>
            <w:r>
              <w:rPr>
                <w:sz w:val="20"/>
              </w:rPr>
              <w:t>$2 005</w:t>
            </w:r>
          </w:p>
        </w:tc>
        <w:tc>
          <w:tcPr>
            <w:tcW w:w="2211" w:type="dxa"/>
            <w:vAlign w:val="center"/>
          </w:tcPr>
          <w:p>
            <w:pPr>
              <w:pStyle w:val="TableNAm"/>
              <w:keepNext/>
              <w:keepLines/>
              <w:widowControl w:val="0"/>
              <w:jc w:val="center"/>
              <w:rPr>
                <w:sz w:val="20"/>
              </w:rPr>
            </w:pPr>
            <w:r>
              <w:rPr>
                <w:sz w:val="20"/>
              </w:rPr>
              <w:t>$2 070</w:t>
            </w:r>
          </w:p>
        </w:tc>
      </w:tr>
      <w:tr>
        <w:tc>
          <w:tcPr>
            <w:tcW w:w="2211" w:type="dxa"/>
          </w:tcPr>
          <w:p>
            <w:pPr>
              <w:pStyle w:val="TableNAm"/>
              <w:rPr>
                <w:sz w:val="20"/>
              </w:rPr>
            </w:pPr>
            <w:r>
              <w:rPr>
                <w:sz w:val="20"/>
              </w:rPr>
              <w:t>Sch. 1 it. 2</w:t>
            </w:r>
          </w:p>
        </w:tc>
        <w:tc>
          <w:tcPr>
            <w:tcW w:w="2211" w:type="dxa"/>
            <w:vAlign w:val="center"/>
          </w:tcPr>
          <w:p>
            <w:pPr>
              <w:pStyle w:val="TableNAm"/>
              <w:jc w:val="center"/>
              <w:rPr>
                <w:sz w:val="20"/>
              </w:rPr>
            </w:pPr>
            <w:r>
              <w:rPr>
                <w:sz w:val="20"/>
              </w:rPr>
              <w:t>$1 648</w:t>
            </w:r>
          </w:p>
        </w:tc>
        <w:tc>
          <w:tcPr>
            <w:tcW w:w="2211" w:type="dxa"/>
            <w:vAlign w:val="center"/>
          </w:tcPr>
          <w:p>
            <w:pPr>
              <w:pStyle w:val="TableNAm"/>
              <w:jc w:val="center"/>
              <w:rPr>
                <w:sz w:val="20"/>
              </w:rPr>
            </w:pPr>
            <w:r>
              <w:rPr>
                <w:sz w:val="20"/>
              </w:rPr>
              <w:t>$1 598</w:t>
            </w:r>
          </w:p>
        </w:tc>
      </w:tr>
      <w:tr>
        <w:tc>
          <w:tcPr>
            <w:tcW w:w="2211" w:type="dxa"/>
          </w:tcPr>
          <w:p>
            <w:pPr>
              <w:pStyle w:val="TableNAm"/>
              <w:rPr>
                <w:sz w:val="20"/>
              </w:rPr>
            </w:pPr>
            <w:r>
              <w:rPr>
                <w:sz w:val="20"/>
              </w:rPr>
              <w:t>Sch. 1 it. 2A</w:t>
            </w:r>
          </w:p>
        </w:tc>
        <w:tc>
          <w:tcPr>
            <w:tcW w:w="2211" w:type="dxa"/>
            <w:vAlign w:val="center"/>
          </w:tcPr>
          <w:p>
            <w:pPr>
              <w:pStyle w:val="TableNAm"/>
              <w:jc w:val="center"/>
              <w:rPr>
                <w:sz w:val="20"/>
              </w:rPr>
            </w:pPr>
            <w:r>
              <w:rPr>
                <w:sz w:val="20"/>
              </w:rPr>
              <w:t>$2 149</w:t>
            </w:r>
          </w:p>
        </w:tc>
        <w:tc>
          <w:tcPr>
            <w:tcW w:w="2211" w:type="dxa"/>
            <w:vAlign w:val="center"/>
          </w:tcPr>
          <w:p>
            <w:pPr>
              <w:pStyle w:val="TableNAm"/>
              <w:jc w:val="center"/>
              <w:rPr>
                <w:sz w:val="20"/>
              </w:rPr>
            </w:pPr>
            <w:r>
              <w:rPr>
                <w:sz w:val="20"/>
              </w:rPr>
              <w:t>$2 219</w:t>
            </w:r>
          </w:p>
        </w:tc>
      </w:tr>
      <w:tr>
        <w:tc>
          <w:tcPr>
            <w:tcW w:w="2211" w:type="dxa"/>
          </w:tcPr>
          <w:p>
            <w:pPr>
              <w:pStyle w:val="TableNAm"/>
              <w:rPr>
                <w:sz w:val="20"/>
              </w:rPr>
            </w:pPr>
            <w:r>
              <w:rPr>
                <w:sz w:val="20"/>
              </w:rPr>
              <w:t>Sch. 1 it. 3</w:t>
            </w:r>
          </w:p>
        </w:tc>
        <w:tc>
          <w:tcPr>
            <w:tcW w:w="2211" w:type="dxa"/>
            <w:vAlign w:val="center"/>
          </w:tcPr>
          <w:p>
            <w:pPr>
              <w:pStyle w:val="TableNAm"/>
              <w:jc w:val="center"/>
              <w:rPr>
                <w:sz w:val="20"/>
              </w:rPr>
            </w:pPr>
            <w:r>
              <w:rPr>
                <w:sz w:val="20"/>
              </w:rPr>
              <w:t>$275</w:t>
            </w:r>
          </w:p>
        </w:tc>
        <w:tc>
          <w:tcPr>
            <w:tcW w:w="2211" w:type="dxa"/>
            <w:vAlign w:val="center"/>
          </w:tcPr>
          <w:p>
            <w:pPr>
              <w:pStyle w:val="TableNAm"/>
              <w:jc w:val="center"/>
              <w:rPr>
                <w:sz w:val="20"/>
              </w:rPr>
            </w:pPr>
            <w:r>
              <w:rPr>
                <w:sz w:val="20"/>
              </w:rPr>
              <w:t>$279</w:t>
            </w:r>
          </w:p>
        </w:tc>
      </w:tr>
      <w:tr>
        <w:tc>
          <w:tcPr>
            <w:tcW w:w="2211" w:type="dxa"/>
          </w:tcPr>
          <w:p>
            <w:pPr>
              <w:pStyle w:val="TableNAm"/>
              <w:rPr>
                <w:sz w:val="20"/>
              </w:rPr>
            </w:pPr>
            <w:r>
              <w:rPr>
                <w:sz w:val="20"/>
              </w:rPr>
              <w:t>Sch. 1 it. 4</w:t>
            </w:r>
          </w:p>
        </w:tc>
        <w:tc>
          <w:tcPr>
            <w:tcW w:w="2211" w:type="dxa"/>
            <w:vAlign w:val="center"/>
          </w:tcPr>
          <w:p>
            <w:pPr>
              <w:pStyle w:val="TableNAm"/>
              <w:jc w:val="center"/>
              <w:rPr>
                <w:sz w:val="20"/>
              </w:rPr>
            </w:pPr>
            <w:r>
              <w:rPr>
                <w:sz w:val="20"/>
              </w:rPr>
              <w:t>$5 140</w:t>
            </w:r>
          </w:p>
        </w:tc>
        <w:tc>
          <w:tcPr>
            <w:tcW w:w="2211" w:type="dxa"/>
            <w:vAlign w:val="center"/>
          </w:tcPr>
          <w:p>
            <w:pPr>
              <w:pStyle w:val="TableNAm"/>
              <w:jc w:val="center"/>
              <w:rPr>
                <w:sz w:val="20"/>
              </w:rPr>
            </w:pPr>
            <w:r>
              <w:rPr>
                <w:sz w:val="20"/>
              </w:rPr>
              <w:t>$5 467</w:t>
            </w:r>
          </w:p>
        </w:tc>
      </w:tr>
      <w:tr>
        <w:tc>
          <w:tcPr>
            <w:tcW w:w="2211" w:type="dxa"/>
          </w:tcPr>
          <w:p>
            <w:pPr>
              <w:pStyle w:val="TableNAm"/>
              <w:rPr>
                <w:sz w:val="20"/>
              </w:rPr>
            </w:pPr>
            <w:r>
              <w:rPr>
                <w:sz w:val="20"/>
              </w:rPr>
              <w:t>Sch. 1 it. 6</w:t>
            </w:r>
          </w:p>
        </w:tc>
        <w:tc>
          <w:tcPr>
            <w:tcW w:w="2211" w:type="dxa"/>
            <w:vAlign w:val="center"/>
          </w:tcPr>
          <w:p>
            <w:pPr>
              <w:pStyle w:val="TableNAm"/>
              <w:jc w:val="center"/>
              <w:rPr>
                <w:sz w:val="20"/>
              </w:rPr>
            </w:pPr>
            <w:r>
              <w:rPr>
                <w:sz w:val="20"/>
              </w:rPr>
              <w:t>$223</w:t>
            </w:r>
          </w:p>
        </w:tc>
        <w:tc>
          <w:tcPr>
            <w:tcW w:w="2211" w:type="dxa"/>
            <w:vAlign w:val="center"/>
          </w:tcPr>
          <w:p>
            <w:pPr>
              <w:pStyle w:val="TableNAm"/>
              <w:jc w:val="center"/>
              <w:rPr>
                <w:sz w:val="20"/>
              </w:rPr>
            </w:pPr>
            <w:r>
              <w:rPr>
                <w:sz w:val="20"/>
              </w:rPr>
              <w:t>$245</w:t>
            </w:r>
          </w:p>
        </w:tc>
      </w:tr>
      <w:tr>
        <w:tc>
          <w:tcPr>
            <w:tcW w:w="2211" w:type="dxa"/>
          </w:tcPr>
          <w:p>
            <w:pPr>
              <w:pStyle w:val="TableNAm"/>
              <w:rPr>
                <w:sz w:val="20"/>
              </w:rPr>
            </w:pPr>
            <w:r>
              <w:rPr>
                <w:sz w:val="20"/>
              </w:rPr>
              <w:t>Sch. 1 it. 8</w:t>
            </w:r>
          </w:p>
        </w:tc>
        <w:tc>
          <w:tcPr>
            <w:tcW w:w="2211" w:type="dxa"/>
            <w:vAlign w:val="center"/>
          </w:tcPr>
          <w:p>
            <w:pPr>
              <w:pStyle w:val="TableNAm"/>
              <w:jc w:val="center"/>
              <w:rPr>
                <w:sz w:val="20"/>
              </w:rPr>
            </w:pPr>
            <w:r>
              <w:rPr>
                <w:sz w:val="20"/>
              </w:rPr>
              <w:t>$223</w:t>
            </w:r>
          </w:p>
        </w:tc>
        <w:tc>
          <w:tcPr>
            <w:tcW w:w="2211" w:type="dxa"/>
            <w:vAlign w:val="center"/>
          </w:tcPr>
          <w:p>
            <w:pPr>
              <w:pStyle w:val="TableNAm"/>
              <w:jc w:val="center"/>
              <w:rPr>
                <w:sz w:val="20"/>
              </w:rPr>
            </w:pPr>
            <w:r>
              <w:rPr>
                <w:sz w:val="20"/>
              </w:rPr>
              <w:t>$245</w:t>
            </w:r>
          </w:p>
        </w:tc>
      </w:tr>
      <w:tr>
        <w:tc>
          <w:tcPr>
            <w:tcW w:w="2211" w:type="dxa"/>
          </w:tcPr>
          <w:p>
            <w:pPr>
              <w:pStyle w:val="TableNAm"/>
              <w:rPr>
                <w:sz w:val="20"/>
              </w:rPr>
            </w:pPr>
            <w:r>
              <w:rPr>
                <w:sz w:val="20"/>
              </w:rPr>
              <w:t>Sch. 1 it. 9(a)</w:t>
            </w:r>
          </w:p>
        </w:tc>
        <w:tc>
          <w:tcPr>
            <w:tcW w:w="2211" w:type="dxa"/>
            <w:vAlign w:val="center"/>
          </w:tcPr>
          <w:p>
            <w:pPr>
              <w:pStyle w:val="TableNAm"/>
              <w:jc w:val="center"/>
              <w:rPr>
                <w:sz w:val="20"/>
              </w:rPr>
            </w:pPr>
            <w:r>
              <w:rPr>
                <w:sz w:val="20"/>
              </w:rPr>
              <w:t>$1 729</w:t>
            </w:r>
          </w:p>
        </w:tc>
        <w:tc>
          <w:tcPr>
            <w:tcW w:w="2211" w:type="dxa"/>
            <w:vAlign w:val="center"/>
          </w:tcPr>
          <w:p>
            <w:pPr>
              <w:pStyle w:val="TableNAm"/>
              <w:jc w:val="center"/>
              <w:rPr>
                <w:sz w:val="20"/>
              </w:rPr>
            </w:pPr>
            <w:r>
              <w:rPr>
                <w:sz w:val="20"/>
              </w:rPr>
              <w:t>$1 652</w:t>
            </w:r>
          </w:p>
        </w:tc>
      </w:tr>
      <w:tr>
        <w:tc>
          <w:tcPr>
            <w:tcW w:w="2211" w:type="dxa"/>
          </w:tcPr>
          <w:p>
            <w:pPr>
              <w:pStyle w:val="TableNAm"/>
              <w:rPr>
                <w:sz w:val="20"/>
              </w:rPr>
            </w:pPr>
            <w:r>
              <w:rPr>
                <w:sz w:val="20"/>
              </w:rPr>
              <w:t>Sch. 1 it. 9(aa)</w:t>
            </w:r>
          </w:p>
        </w:tc>
        <w:tc>
          <w:tcPr>
            <w:tcW w:w="2211" w:type="dxa"/>
            <w:vAlign w:val="center"/>
          </w:tcPr>
          <w:p>
            <w:pPr>
              <w:pStyle w:val="TableNAm"/>
              <w:jc w:val="center"/>
              <w:rPr>
                <w:sz w:val="20"/>
              </w:rPr>
            </w:pPr>
            <w:r>
              <w:rPr>
                <w:sz w:val="20"/>
              </w:rPr>
              <w:t>$2 255</w:t>
            </w:r>
          </w:p>
        </w:tc>
        <w:tc>
          <w:tcPr>
            <w:tcW w:w="2211" w:type="dxa"/>
            <w:vAlign w:val="center"/>
          </w:tcPr>
          <w:p>
            <w:pPr>
              <w:pStyle w:val="TableNAm"/>
              <w:jc w:val="center"/>
              <w:rPr>
                <w:sz w:val="20"/>
              </w:rPr>
            </w:pPr>
            <w:r>
              <w:rPr>
                <w:sz w:val="20"/>
              </w:rPr>
              <w:t>$2 294</w:t>
            </w:r>
          </w:p>
        </w:tc>
      </w:tr>
      <w:tr>
        <w:tc>
          <w:tcPr>
            <w:tcW w:w="2211" w:type="dxa"/>
          </w:tcPr>
          <w:p>
            <w:pPr>
              <w:pStyle w:val="TableNAm"/>
              <w:rPr>
                <w:sz w:val="20"/>
              </w:rPr>
            </w:pPr>
            <w:r>
              <w:rPr>
                <w:sz w:val="20"/>
              </w:rPr>
              <w:t>Sch. 1 it. 9(b)</w:t>
            </w:r>
          </w:p>
        </w:tc>
        <w:tc>
          <w:tcPr>
            <w:tcW w:w="2211" w:type="dxa"/>
            <w:vAlign w:val="center"/>
          </w:tcPr>
          <w:p>
            <w:pPr>
              <w:pStyle w:val="TableNAm"/>
              <w:jc w:val="center"/>
              <w:rPr>
                <w:sz w:val="20"/>
              </w:rPr>
            </w:pPr>
            <w:r>
              <w:rPr>
                <w:sz w:val="20"/>
              </w:rPr>
              <w:t>$2 103</w:t>
            </w:r>
          </w:p>
        </w:tc>
        <w:tc>
          <w:tcPr>
            <w:tcW w:w="2211" w:type="dxa"/>
            <w:vAlign w:val="center"/>
          </w:tcPr>
          <w:p>
            <w:pPr>
              <w:pStyle w:val="TableNAm"/>
              <w:jc w:val="center"/>
              <w:rPr>
                <w:sz w:val="20"/>
              </w:rPr>
            </w:pPr>
            <w:r>
              <w:rPr>
                <w:sz w:val="20"/>
              </w:rPr>
              <w:t>$2 140</w:t>
            </w:r>
          </w:p>
        </w:tc>
      </w:tr>
    </w:tbl>
    <w:p>
      <w:pPr>
        <w:pStyle w:val="BlankClose"/>
      </w:pPr>
    </w:p>
    <w:p>
      <w:pPr>
        <w:pStyle w:val="BlankClose"/>
      </w:pPr>
    </w:p>
    <w:p>
      <w:pPr>
        <w:keepNext/>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00-aa0-00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jc w:val="right"/>
          </w:pPr>
          <w:r>
            <w:fldChar w:fldCharType="begin"/>
          </w:r>
          <w:r>
            <w:instrText xml:space="preserve"> styleref CharSchno </w:instrText>
          </w:r>
          <w:r>
            <w:fldChar w:fldCharType="end"/>
          </w:r>
        </w:p>
      </w:tc>
      <w:tc>
        <w:tcPr>
          <w:tcW w:w="5715" w:type="dxa"/>
        </w:tcPr>
        <w:p>
          <w:pPr>
            <w:pStyle w:val="Header"/>
            <w:spacing w:before="40"/>
            <w:ind w:right="17"/>
            <w:jc w:val="right"/>
          </w:pPr>
          <w:r>
            <w:rPr>
              <w:b/>
            </w:rPr>
            <w:fldChar w:fldCharType="begin"/>
          </w:r>
          <w:r>
            <w:rPr>
              <w:b/>
            </w:rPr>
            <w:instrText xml:space="preserve"> styleref CharSchText </w:instrText>
          </w:r>
          <w:r>
            <w:rPr>
              <w:b/>
            </w:rPr>
            <w:fldChar w:fldCharType="end"/>
          </w:r>
        </w:p>
      </w:tc>
    </w:tr>
    <w:tr>
      <w:tc>
        <w:tcPr>
          <w:tcW w:w="1548" w:type="dxa"/>
        </w:tcPr>
        <w:p>
          <w:pPr>
            <w:pStyle w:val="Header"/>
            <w:spacing w:before="40"/>
            <w:jc w:val="right"/>
          </w:pPr>
          <w:r>
            <w:fldChar w:fldCharType="begin"/>
          </w:r>
          <w:r>
            <w:instrText xml:space="preserve"> STYLEREF CharSDivNo \* charformat</w:instrText>
          </w:r>
          <w:r>
            <w:fldChar w:fldCharType="end"/>
          </w:r>
        </w:p>
      </w:tc>
      <w:tc>
        <w:tcPr>
          <w:tcW w:w="5715" w:type="dxa"/>
        </w:tcPr>
        <w:p>
          <w:pPr>
            <w:pStyle w:val="Header"/>
            <w:spacing w:before="40"/>
            <w:ind w:right="17"/>
            <w:jc w:val="right"/>
          </w:pPr>
          <w:r>
            <w:rPr>
              <w:b/>
            </w:rPr>
            <w:fldChar w:fldCharType="begin"/>
          </w:r>
          <w:r>
            <w:rPr>
              <w:b/>
            </w:rPr>
            <w:instrText xml:space="preserve"> styleref CharSDivText </w:instrText>
          </w:r>
          <w:r>
            <w:rPr>
              <w:b/>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E4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144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4AFE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62FE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FE48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644F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88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B6C3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F02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322B2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EE3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FB2310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53113"/>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 w:name="WAFER_20141020102900" w:val="RemoveTocBookmarks,RunningHeaders"/>
    <w:docVar w:name="WAFER_20141020102900_GUID" w:val="dd272742-b980-4259-b584-a0e4e91ff607"/>
    <w:docVar w:name="WAFER_20150515153113" w:val="ResetPageSize,UpdateArrangement,UpdateNTable"/>
    <w:docVar w:name="WAFER_20150515153113_GUID" w:val="65e54300-bcf5-440a-a77d-298536bdf7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2090</Words>
  <Characters>10096</Characters>
  <Application>Microsoft Office Word</Application>
  <DocSecurity>0</DocSecurity>
  <Lines>504</Lines>
  <Paragraphs>270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2005 - 00-aa0-00</dc:title>
  <dc:subject/>
  <dc:creator/>
  <cp:keywords/>
  <dc:description/>
  <cp:lastModifiedBy>svcMRProcess</cp:lastModifiedBy>
  <cp:revision>4</cp:revision>
  <cp:lastPrinted>2009-06-24T04:28:00Z</cp:lastPrinted>
  <dcterms:created xsi:type="dcterms:W3CDTF">2018-09-12T07:35:00Z</dcterms:created>
  <dcterms:modified xsi:type="dcterms:W3CDTF">2018-09-12T07:35:00Z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OwlsUID">
    <vt:i4>37644</vt:i4>
  </property>
  <property fmtid="{D5CDD505-2E9C-101B-9397-08002B2CF9AE}" pid="4" name="DocumentType">
    <vt:lpwstr>Reg</vt:lpwstr>
  </property>
  <property fmtid="{D5CDD505-2E9C-101B-9397-08002B2CF9AE}" pid="5" name="AsAtDate">
    <vt:lpwstr>02 Jun 2015</vt:lpwstr>
  </property>
  <property fmtid="{D5CDD505-2E9C-101B-9397-08002B2CF9AE}" pid="6" name="Suffix">
    <vt:lpwstr>00-aa0-00</vt:lpwstr>
  </property>
  <property fmtid="{D5CDD505-2E9C-101B-9397-08002B2CF9AE}" pid="7" name="CommencementDate">
    <vt:lpwstr>20150602</vt:lpwstr>
  </property>
</Properties>
</file>