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_Toc421023264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_Toc421023265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_Toc421023266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_Toc421023267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_Toc421023268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_Toc421023269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_Toc421023270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_Toc421023271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_Toc421023272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_Toc421023273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_Toc421023276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_Toc421023277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42102326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2102326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421023266"/>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9" w:name="_Toc407194578"/>
      <w:bookmarkStart w:id="10" w:name="_Toc421023267"/>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in Gazette 23 Dec 2014 p. 4931 and 4932.]</w:t>
      </w:r>
    </w:p>
    <w:p>
      <w:pPr>
        <w:pStyle w:val="Heading5"/>
        <w:rPr>
          <w:snapToGrid w:val="0"/>
        </w:rPr>
      </w:pPr>
      <w:bookmarkStart w:id="12" w:name="_Toc421023268"/>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421023269"/>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
        <w:ind w:left="1418"/>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rPr>
              <w:t>Category event</w:t>
            </w:r>
          </w:p>
        </w:tc>
        <w:tc>
          <w:tcPr>
            <w:tcW w:w="2127" w:type="dxa"/>
          </w:tcPr>
          <w:p>
            <w:pPr>
              <w:pStyle w:val="TableNAm"/>
              <w:jc w:val="center"/>
            </w:pPr>
            <w:r>
              <w:rPr>
                <w:b/>
              </w:rPr>
              <w:t>Fee</w:t>
            </w:r>
          </w:p>
          <w:p>
            <w:pPr>
              <w:pStyle w:val="TableNAm"/>
              <w:jc w:val="center"/>
            </w:pPr>
            <w:r>
              <w:t>$</w:t>
            </w:r>
          </w:p>
        </w:tc>
      </w:tr>
      <w:tr>
        <w:tc>
          <w:tcPr>
            <w:tcW w:w="2126" w:type="dxa"/>
          </w:tcPr>
          <w:p>
            <w:pPr>
              <w:pStyle w:val="TableNAm"/>
            </w:pPr>
            <w:r>
              <w:t>Category 1 event</w:t>
            </w:r>
          </w:p>
        </w:tc>
        <w:tc>
          <w:tcPr>
            <w:tcW w:w="2127" w:type="dxa"/>
          </w:tcPr>
          <w:p>
            <w:pPr>
              <w:pStyle w:val="TableNAm"/>
              <w:jc w:val="center"/>
            </w:pPr>
            <w:r>
              <w:t>192.40</w:t>
            </w:r>
          </w:p>
        </w:tc>
      </w:tr>
      <w:tr>
        <w:tc>
          <w:tcPr>
            <w:tcW w:w="2126" w:type="dxa"/>
          </w:tcPr>
          <w:p>
            <w:pPr>
              <w:pStyle w:val="TableNAm"/>
            </w:pPr>
            <w:r>
              <w:t>Category 2 event</w:t>
            </w:r>
          </w:p>
        </w:tc>
        <w:tc>
          <w:tcPr>
            <w:tcW w:w="2127" w:type="dxa"/>
          </w:tcPr>
          <w:p>
            <w:pPr>
              <w:pStyle w:val="TableNAm"/>
              <w:jc w:val="center"/>
            </w:pPr>
            <w:r>
              <w:t>115.70</w:t>
            </w:r>
          </w:p>
        </w:tc>
      </w:tr>
      <w:tr>
        <w:tc>
          <w:tcPr>
            <w:tcW w:w="2126" w:type="dxa"/>
          </w:tcPr>
          <w:p>
            <w:pPr>
              <w:pStyle w:val="TableNAm"/>
            </w:pPr>
            <w:r>
              <w:t>Category 3 event</w:t>
            </w:r>
          </w:p>
        </w:tc>
        <w:tc>
          <w:tcPr>
            <w:tcW w:w="2127" w:type="dxa"/>
          </w:tcPr>
          <w:p>
            <w:pPr>
              <w:pStyle w:val="TableNAm"/>
              <w:jc w:val="center"/>
            </w:pPr>
            <w:r>
              <w:t>77.80</w:t>
            </w:r>
          </w:p>
        </w:tc>
      </w:tr>
      <w:tr>
        <w:tc>
          <w:tcPr>
            <w:tcW w:w="2126" w:type="dxa"/>
          </w:tcPr>
          <w:p>
            <w:pPr>
              <w:pStyle w:val="TableNAm"/>
            </w:pPr>
            <w:r>
              <w:t>Category 4 event</w:t>
            </w:r>
          </w:p>
        </w:tc>
        <w:tc>
          <w:tcPr>
            <w:tcW w:w="2127" w:type="dxa"/>
          </w:tcPr>
          <w:p>
            <w:pPr>
              <w:pStyle w:val="TableNAm"/>
              <w:jc w:val="center"/>
            </w:pPr>
            <w:r>
              <w:t>77.80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w:t>
      </w:r>
    </w:p>
    <w:p>
      <w:pPr>
        <w:pStyle w:val="Heading5"/>
        <w:rPr>
          <w:snapToGrid w:val="0"/>
        </w:rPr>
      </w:pPr>
      <w:bookmarkStart w:id="15" w:name="_Toc407194581"/>
      <w:bookmarkStart w:id="16" w:name="_Toc421023270"/>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7" w:name="_Toc407194582"/>
      <w:bookmarkStart w:id="18" w:name="_Toc421023271"/>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9" w:name="_Toc407194583"/>
      <w:bookmarkStart w:id="20" w:name="_Toc421023272"/>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1" w:name="_Toc407194584"/>
      <w:bookmarkStart w:id="22" w:name="_Toc421023273"/>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r>
        <w:rPr>
          <w:rStyle w:val="CharSchNo"/>
        </w:rPr>
        <w:t>Schedule 1</w:t>
      </w:r>
      <w:bookmarkEnd w:id="23"/>
      <w:bookmarkEnd w:id="24"/>
      <w:bookmarkEnd w:id="25"/>
      <w:bookmarkEnd w:id="26"/>
      <w:bookmarkEnd w:id="27"/>
      <w:bookmarkEnd w:id="28"/>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0" w:name="_Toc407194586"/>
      <w:bookmarkStart w:id="31" w:name="_Toc417032788"/>
      <w:bookmarkStart w:id="32" w:name="_Toc417032806"/>
      <w:bookmarkStart w:id="33" w:name="_Toc417477725"/>
      <w:bookmarkStart w:id="34" w:name="_Toc417477764"/>
      <w:bookmarkStart w:id="35" w:name="_Toc421023275"/>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 w:name="_Toc407194587"/>
      <w:bookmarkStart w:id="37" w:name="_Toc421023276"/>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Borders>
              <w:bottom w:val="single" w:sz="4" w:space="0" w:color="auto"/>
            </w:tcBorders>
          </w:tcPr>
          <w:p>
            <w:pPr>
              <w:pStyle w:val="nTable"/>
              <w:spacing w:before="80" w:after="60"/>
              <w:ind w:right="113"/>
              <w:rPr>
                <w:i/>
              </w:rPr>
            </w:pPr>
            <w:r>
              <w:rPr>
                <w:i/>
              </w:rPr>
              <w:t>Road Traffic (Repeals and Amendment) Regulations 2014</w:t>
            </w:r>
            <w:r>
              <w:t> Pt. 6</w:t>
            </w:r>
          </w:p>
        </w:tc>
        <w:tc>
          <w:tcPr>
            <w:tcW w:w="1276" w:type="dxa"/>
            <w:tcBorders>
              <w:bottom w:val="single" w:sz="4" w:space="0" w:color="auto"/>
            </w:tcBorders>
          </w:tcPr>
          <w:p>
            <w:pPr>
              <w:pStyle w:val="nTable"/>
              <w:spacing w:before="80" w:after="60"/>
              <w:ind w:right="113"/>
            </w:pPr>
            <w:r>
              <w:t>23 Dec 2014 p. 4913</w:t>
            </w:r>
            <w:r>
              <w:noBreakHyphen/>
              <w:t>38</w:t>
            </w:r>
          </w:p>
        </w:tc>
        <w:tc>
          <w:tcPr>
            <w:tcW w:w="2693" w:type="dxa"/>
            <w:tcBorders>
              <w:bottom w:val="single" w:sz="4" w:space="0" w:color="auto"/>
            </w:tcBorders>
          </w:tcPr>
          <w:p>
            <w:pPr>
              <w:pStyle w:val="nTable"/>
              <w:spacing w:before="80" w:after="60"/>
              <w:ind w:right="113"/>
            </w:pPr>
            <w:r>
              <w:t xml:space="preserve">27 Apr 2015 (see r. 2(b) and </w:t>
            </w:r>
            <w:r>
              <w:rPr>
                <w:i/>
              </w:rPr>
              <w:t>Gazette</w:t>
            </w:r>
            <w: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421023277"/>
      <w:r>
        <w:t>Provisions that have not come into operation</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(Events on Roads) Amendment Regulations 2015</w:t>
            </w:r>
            <w:r>
              <w:t xml:space="preserve"> r. 3 and 4</w:t>
            </w:r>
            <w:r>
              <w:rPr>
                <w:vertAlign w:val="superscript"/>
              </w:rPr>
              <w:t> 2</w:t>
            </w:r>
          </w:p>
        </w:tc>
        <w:tc>
          <w:tcPr>
            <w:tcW w:w="1276" w:type="dxa"/>
          </w:tcPr>
          <w:p>
            <w:pPr>
              <w:pStyle w:val="nTable"/>
              <w:spacing w:after="40"/>
            </w:pPr>
            <w:r>
              <w:t>2 Jun 2015 p. 1946</w:t>
            </w:r>
          </w:p>
        </w:tc>
        <w:tc>
          <w:tcPr>
            <w:tcW w:w="2693" w:type="dxa"/>
          </w:tcPr>
          <w:p>
            <w:pPr>
              <w:pStyle w:val="nTable"/>
              <w:spacing w:after="40"/>
            </w:pPr>
            <w:r>
              <w:t>1 Jul 2015 (see r. 2(b))</w:t>
            </w:r>
          </w:p>
        </w:tc>
      </w:tr>
    </w:tbl>
    <w:p>
      <w:pPr>
        <w:pStyle w:val="nSubsection"/>
      </w:pPr>
      <w:r>
        <w:rPr>
          <w:vertAlign w:val="superscript"/>
        </w:rPr>
        <w:t>2</w:t>
      </w:r>
      <w:r>
        <w:tab/>
        <w:t xml:space="preserve">On the date as at which this compilation was prepared, the </w:t>
      </w:r>
      <w:r>
        <w:rPr>
          <w:i/>
        </w:rPr>
        <w:t>Road Traffic (Events on Roads) Amendment Regulations 2015</w:t>
      </w:r>
      <w:r>
        <w:t xml:space="preserve"> r. 3 and 4 had not come into operation.  They read as follows:</w:t>
      </w:r>
    </w:p>
    <w:p>
      <w:pPr>
        <w:pStyle w:val="BlankOpen"/>
      </w:pPr>
    </w:p>
    <w:p>
      <w:pPr>
        <w:pStyle w:val="nzHeading5"/>
        <w:spacing w:before="60"/>
        <w:rPr>
          <w:snapToGrid w:val="0"/>
        </w:rPr>
      </w:pPr>
      <w:r>
        <w:rPr>
          <w:rStyle w:val="CharSectno"/>
        </w:rPr>
        <w:t>3</w:t>
      </w:r>
      <w:r>
        <w:rPr>
          <w:snapToGrid w:val="0"/>
        </w:rPr>
        <w:t>.</w:t>
      </w:r>
      <w:r>
        <w:rPr>
          <w:snapToGrid w:val="0"/>
        </w:rPr>
        <w:tab/>
        <w:t>Regulations amended</w:t>
      </w:r>
    </w:p>
    <w:p>
      <w:pPr>
        <w:pStyle w:val="nzSubsection"/>
        <w:spacing w:before="40"/>
      </w:pPr>
      <w:r>
        <w:tab/>
      </w:r>
      <w:r>
        <w:tab/>
      </w:r>
      <w:r>
        <w:rPr>
          <w:spacing w:val="-2"/>
        </w:rPr>
        <w:t>These</w:t>
      </w:r>
      <w:r>
        <w:t xml:space="preserve"> regulations amend the </w:t>
      </w:r>
      <w:r>
        <w:rPr>
          <w:i/>
        </w:rPr>
        <w:t>Road Traffic (Events on Roads) Regulations 1991</w:t>
      </w:r>
      <w:r>
        <w:t>.</w:t>
      </w:r>
    </w:p>
    <w:p>
      <w:pPr>
        <w:pStyle w:val="nzHeading5"/>
        <w:keepNext w:val="0"/>
        <w:spacing w:before="60"/>
      </w:pPr>
      <w:r>
        <w:rPr>
          <w:rStyle w:val="CharSectno"/>
        </w:rPr>
        <w:t>4</w:t>
      </w:r>
      <w:r>
        <w:t>.</w:t>
      </w:r>
      <w:r>
        <w:tab/>
        <w:t>Regulation 6 amended</w:t>
      </w:r>
    </w:p>
    <w:p>
      <w:pPr>
        <w:pStyle w:val="nzSubsection"/>
        <w:spacing w:before="40"/>
      </w:pPr>
      <w:r>
        <w:tab/>
      </w:r>
      <w:r>
        <w:tab/>
        <w:t>In regulation 6(2)(c)(i) delete the Table and insert:</w:t>
      </w:r>
    </w:p>
    <w:p>
      <w:pPr>
        <w:pStyle w:val="zTHeadingNAm"/>
        <w:ind w:left="567"/>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2268"/>
      </w:tblGrid>
      <w:tr>
        <w:trPr>
          <w:tblHeader/>
        </w:trPr>
        <w:tc>
          <w:tcPr>
            <w:tcW w:w="2268" w:type="dxa"/>
          </w:tcPr>
          <w:p>
            <w:pPr>
              <w:pStyle w:val="TableNAm"/>
              <w:spacing w:beforeLines="40" w:before="96"/>
              <w:jc w:val="center"/>
              <w:rPr>
                <w:sz w:val="20"/>
              </w:rPr>
            </w:pPr>
            <w:r>
              <w:rPr>
                <w:b/>
                <w:bCs/>
                <w:sz w:val="20"/>
              </w:rPr>
              <w:t>Category event</w:t>
            </w:r>
          </w:p>
        </w:tc>
        <w:tc>
          <w:tcPr>
            <w:tcW w:w="2268" w:type="dxa"/>
          </w:tcPr>
          <w:p>
            <w:pPr>
              <w:pStyle w:val="TableNAm"/>
              <w:spacing w:beforeLines="40" w:before="96"/>
              <w:jc w:val="center"/>
              <w:rPr>
                <w:sz w:val="20"/>
              </w:rPr>
            </w:pPr>
            <w:r>
              <w:rPr>
                <w:b/>
                <w:bCs/>
                <w:sz w:val="20"/>
              </w:rPr>
              <w:t>Fee</w:t>
            </w:r>
            <w:r>
              <w:rPr>
                <w:b/>
                <w:bCs/>
                <w:sz w:val="20"/>
              </w:rPr>
              <w:br/>
              <w:t>$</w:t>
            </w:r>
          </w:p>
        </w:tc>
      </w:tr>
      <w:tr>
        <w:tc>
          <w:tcPr>
            <w:tcW w:w="2268" w:type="dxa"/>
          </w:tcPr>
          <w:p>
            <w:pPr>
              <w:pStyle w:val="TableNAm"/>
              <w:spacing w:before="60"/>
              <w:rPr>
                <w:sz w:val="20"/>
              </w:rPr>
            </w:pPr>
            <w:r>
              <w:rPr>
                <w:sz w:val="20"/>
              </w:rPr>
              <w:t>Category 1 event</w:t>
            </w:r>
          </w:p>
        </w:tc>
        <w:tc>
          <w:tcPr>
            <w:tcW w:w="2268" w:type="dxa"/>
          </w:tcPr>
          <w:p>
            <w:pPr>
              <w:pStyle w:val="TableNAm"/>
              <w:spacing w:before="60"/>
              <w:jc w:val="center"/>
              <w:rPr>
                <w:sz w:val="20"/>
              </w:rPr>
            </w:pPr>
            <w:r>
              <w:rPr>
                <w:sz w:val="20"/>
              </w:rPr>
              <w:t>197.40</w:t>
            </w:r>
          </w:p>
        </w:tc>
      </w:tr>
      <w:tr>
        <w:tc>
          <w:tcPr>
            <w:tcW w:w="2268" w:type="dxa"/>
          </w:tcPr>
          <w:p>
            <w:pPr>
              <w:pStyle w:val="TableNAm"/>
              <w:spacing w:before="60"/>
              <w:rPr>
                <w:sz w:val="20"/>
              </w:rPr>
            </w:pPr>
            <w:r>
              <w:rPr>
                <w:sz w:val="20"/>
              </w:rPr>
              <w:t>Category 2 event</w:t>
            </w:r>
          </w:p>
        </w:tc>
        <w:tc>
          <w:tcPr>
            <w:tcW w:w="2268" w:type="dxa"/>
          </w:tcPr>
          <w:p>
            <w:pPr>
              <w:pStyle w:val="TableNAm"/>
              <w:spacing w:before="60"/>
              <w:jc w:val="center"/>
              <w:rPr>
                <w:sz w:val="20"/>
              </w:rPr>
            </w:pPr>
            <w:r>
              <w:rPr>
                <w:sz w:val="20"/>
              </w:rPr>
              <w:t>118.70</w:t>
            </w:r>
          </w:p>
        </w:tc>
      </w:tr>
      <w:tr>
        <w:tc>
          <w:tcPr>
            <w:tcW w:w="2268" w:type="dxa"/>
          </w:tcPr>
          <w:p>
            <w:pPr>
              <w:pStyle w:val="TableNAm"/>
              <w:spacing w:before="60"/>
              <w:rPr>
                <w:sz w:val="20"/>
              </w:rPr>
            </w:pPr>
            <w:r>
              <w:rPr>
                <w:sz w:val="20"/>
              </w:rPr>
              <w:t>Category 3 event</w:t>
            </w:r>
          </w:p>
        </w:tc>
        <w:tc>
          <w:tcPr>
            <w:tcW w:w="2268" w:type="dxa"/>
          </w:tcPr>
          <w:p>
            <w:pPr>
              <w:pStyle w:val="TableNAm"/>
              <w:spacing w:before="60"/>
              <w:jc w:val="center"/>
              <w:rPr>
                <w:sz w:val="20"/>
              </w:rPr>
            </w:pPr>
            <w:r>
              <w:rPr>
                <w:sz w:val="20"/>
              </w:rPr>
              <w:t>79.80</w:t>
            </w:r>
          </w:p>
        </w:tc>
      </w:tr>
      <w:tr>
        <w:tc>
          <w:tcPr>
            <w:tcW w:w="2268" w:type="dxa"/>
          </w:tcPr>
          <w:p>
            <w:pPr>
              <w:pStyle w:val="TableNAm"/>
              <w:spacing w:before="60"/>
              <w:rPr>
                <w:sz w:val="20"/>
              </w:rPr>
            </w:pPr>
            <w:r>
              <w:rPr>
                <w:sz w:val="20"/>
              </w:rPr>
              <w:t>Category 4 event</w:t>
            </w:r>
          </w:p>
        </w:tc>
        <w:tc>
          <w:tcPr>
            <w:tcW w:w="2268" w:type="dxa"/>
          </w:tcPr>
          <w:p>
            <w:pPr>
              <w:pStyle w:val="TableNAm"/>
              <w:keepNext/>
              <w:spacing w:before="60"/>
              <w:jc w:val="center"/>
              <w:rPr>
                <w:sz w:val="20"/>
              </w:rPr>
            </w:pPr>
            <w:r>
              <w:rPr>
                <w:sz w:val="20"/>
              </w:rPr>
              <w:t>79.80</w:t>
            </w:r>
          </w:p>
        </w:tc>
      </w:tr>
    </w:tbl>
    <w:p>
      <w:pPr>
        <w:pStyle w:val="BlankClose"/>
        <w:keepNext/>
      </w:pPr>
    </w:p>
    <w:p>
      <w:pPr>
        <w:keepNext/>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25"/>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209111925" w:val="RemoveTrackChanges"/>
    <w:docVar w:name="WAFER_20151209111925_GUID" w:val="3308639d-8fc2-4de3-a7cc-9a03603513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3037</Words>
  <Characters>22141</Characters>
  <Application>Microsoft Office Word</Application>
  <DocSecurity>0</DocSecurity>
  <Lines>540</Lines>
  <Paragraphs>375</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24803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1991 - 02-f0-01</dc:title>
  <dc:subject/>
  <dc:creator/>
  <cp:keywords/>
  <dc:description/>
  <cp:lastModifiedBy>svcMRProcess</cp:lastModifiedBy>
  <cp:revision>4</cp:revision>
  <cp:lastPrinted>2007-02-06T00:52:00Z</cp:lastPrinted>
  <dcterms:created xsi:type="dcterms:W3CDTF">2015-12-13T03:16:00Z</dcterms:created>
  <dcterms:modified xsi:type="dcterms:W3CDTF">2015-12-13T03:16:00Z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02 Jun 2015</vt:lpwstr>
  </property>
  <property fmtid="{D5CDD505-2E9C-101B-9397-08002B2CF9AE}" pid="7" name="Suffix">
    <vt:lpwstr>02-f0-01</vt:lpwstr>
  </property>
  <property fmtid="{D5CDD505-2E9C-101B-9397-08002B2CF9AE}" pid="8" name="CommencementDate">
    <vt:lpwstr>20150602</vt:lpwstr>
  </property>
</Properties>
</file>