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_Toc422141367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_Toc422141368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_Toc422141369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_Toc422141370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_Toc422141371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_Toc422141372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_Toc422141373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section 21(1)</w:t>
      </w:r>
      <w:r>
        <w:tab/>
      </w:r>
      <w:r>
        <w:fldChar w:fldCharType="begin"/>
      </w:r>
      <w:r>
        <w:instrText xml:space="preserve"> PAGEREF _Toc422141374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(section 29(1)(e))</w:t>
      </w:r>
      <w:r>
        <w:tab/>
      </w:r>
      <w:r>
        <w:fldChar w:fldCharType="begin"/>
      </w:r>
      <w:r>
        <w:instrText xml:space="preserve"> PAGEREF _Toc422141375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section 32A(2)</w:t>
      </w:r>
      <w:r>
        <w:tab/>
      </w:r>
      <w:r>
        <w:fldChar w:fldCharType="begin"/>
      </w:r>
      <w:r>
        <w:instrText xml:space="preserve"> PAGEREF _Toc422141376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 prescribed records and statistics (section 47(1)(d))</w:t>
      </w:r>
      <w:r>
        <w:tab/>
      </w:r>
      <w:r>
        <w:fldChar w:fldCharType="begin"/>
      </w:r>
      <w:r>
        <w:instrText xml:space="preserve"> PAGEREF _Toc422141377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 prescribed records and statistics (section 47(1)(d))</w:t>
      </w:r>
      <w:r>
        <w:tab/>
      </w:r>
      <w:r>
        <w:fldChar w:fldCharType="begin"/>
      </w:r>
      <w:r>
        <w:instrText xml:space="preserve"> PAGEREF _Toc422141378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section 47B(8)</w:t>
      </w:r>
      <w:r>
        <w:tab/>
      </w:r>
      <w:r>
        <w:fldChar w:fldCharType="begin"/>
      </w:r>
      <w:r>
        <w:instrText xml:space="preserve"> PAGEREF _Toc422141379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_Toc422141380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_Toc422141381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_Toc422141389 \h </w:instrText>
      </w:r>
      <w:r>
        <w:fldChar w:fldCharType="separate"/>
      </w:r>
      <w:r>
        <w:t>49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_Toc422141390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3" w:name="_Toc42214136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2214136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22141369"/>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6" w:name="_Toc422141370"/>
      <w:r>
        <w:rPr>
          <w:rStyle w:val="CharSectno"/>
        </w:rPr>
        <w:t>5</w:t>
      </w:r>
      <w:r>
        <w:rPr>
          <w:snapToGrid w:val="0"/>
        </w:rPr>
        <w:t>.</w:t>
      </w:r>
      <w:r>
        <w:rPr>
          <w:snapToGrid w:val="0"/>
        </w:rPr>
        <w:tab/>
        <w:t>Forms</w:t>
      </w:r>
      <w:bookmarkEnd w:id="6"/>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7" w:name="_Toc422141371"/>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22141372"/>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 w:name="_Toc422141373"/>
      <w:r>
        <w:rPr>
          <w:rStyle w:val="CharSectno"/>
        </w:rPr>
        <w:t>8</w:t>
      </w:r>
      <w:r>
        <w:rPr>
          <w:snapToGrid w:val="0"/>
        </w:rPr>
        <w:t>.</w:t>
      </w:r>
      <w:r>
        <w:rPr>
          <w:snapToGrid w:val="0"/>
        </w:rPr>
        <w:tab/>
        <w:t>Number plates</w:t>
      </w:r>
      <w:bookmarkEnd w:id="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0" w:name="_Toc422141374"/>
      <w:r>
        <w:rPr>
          <w:rStyle w:val="CharSectno"/>
        </w:rPr>
        <w:t>8A</w:t>
      </w:r>
      <w:r>
        <w:rPr>
          <w:snapToGrid w:val="0"/>
        </w:rPr>
        <w:t>.</w:t>
      </w:r>
      <w:r>
        <w:rPr>
          <w:snapToGrid w:val="0"/>
        </w:rPr>
        <w:tab/>
        <w:t>Percentages and amounts prescribed for section 21(1)</w:t>
      </w:r>
      <w:bookmarkEnd w:id="1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11" w:name="_Toc422141375"/>
      <w:r>
        <w:rPr>
          <w:rStyle w:val="CharSectno"/>
        </w:rPr>
        <w:t>8AB</w:t>
      </w:r>
      <w:r>
        <w:t>.</w:t>
      </w:r>
      <w:r>
        <w:tab/>
        <w:t>Prescribed records (section 29(1)(e))</w:t>
      </w:r>
      <w:bookmarkEnd w:id="11"/>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2" w:name="_Toc422141376"/>
      <w:r>
        <w:rPr>
          <w:rStyle w:val="CharSectno"/>
        </w:rPr>
        <w:t>8B</w:t>
      </w:r>
      <w:r>
        <w:rPr>
          <w:snapToGrid w:val="0"/>
        </w:rPr>
        <w:t>.</w:t>
      </w:r>
      <w:r>
        <w:rPr>
          <w:snapToGrid w:val="0"/>
        </w:rPr>
        <w:tab/>
        <w:t>Amounts prescribed for section 32A(2)</w:t>
      </w:r>
      <w:bookmarkEnd w:id="12"/>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13" w:name="_Toc422141377"/>
      <w:r>
        <w:rPr>
          <w:rStyle w:val="CharSectno"/>
        </w:rPr>
        <w:t>8BA</w:t>
      </w:r>
      <w:r>
        <w:t>.</w:t>
      </w:r>
      <w:r>
        <w:tab/>
        <w:t>RPT services — prescribed records and statistics (section 47(1)(d))</w:t>
      </w:r>
      <w:bookmarkEnd w:id="1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4" w:name="_Toc422141378"/>
      <w:r>
        <w:rPr>
          <w:rStyle w:val="CharSectno"/>
        </w:rPr>
        <w:t>8BB</w:t>
      </w:r>
      <w:r>
        <w:t>.</w:t>
      </w:r>
      <w:r>
        <w:tab/>
        <w:t>Charter services — prescribed records and statistics (section 47(1)(d))</w:t>
      </w:r>
      <w:bookmarkEnd w:id="1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15" w:name="_Toc422141379"/>
      <w:r>
        <w:rPr>
          <w:rStyle w:val="CharSectno"/>
        </w:rPr>
        <w:t>8C</w:t>
      </w:r>
      <w:r>
        <w:rPr>
          <w:snapToGrid w:val="0"/>
        </w:rPr>
        <w:t>.</w:t>
      </w:r>
      <w:r>
        <w:rPr>
          <w:snapToGrid w:val="0"/>
        </w:rPr>
        <w:tab/>
        <w:t>Amounts prescribed for section 47B(8)</w:t>
      </w:r>
      <w:bookmarkEnd w:id="15"/>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16" w:name="_Toc422141380"/>
      <w:r>
        <w:rPr>
          <w:rStyle w:val="CharSectno"/>
        </w:rPr>
        <w:t>10</w:t>
      </w:r>
      <w:r>
        <w:rPr>
          <w:snapToGrid w:val="0"/>
        </w:rPr>
        <w:t>.</w:t>
      </w:r>
      <w:r>
        <w:rPr>
          <w:snapToGrid w:val="0"/>
        </w:rPr>
        <w:tab/>
        <w:t>Weights of vehicles</w:t>
      </w:r>
      <w:bookmarkEnd w:id="16"/>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7" w:name="_Toc422141381"/>
      <w:r>
        <w:rPr>
          <w:rStyle w:val="CharSectno"/>
        </w:rPr>
        <w:t>11</w:t>
      </w:r>
      <w:r>
        <w:rPr>
          <w:snapToGrid w:val="0"/>
        </w:rPr>
        <w:t>.</w:t>
      </w:r>
      <w:r>
        <w:rPr>
          <w:snapToGrid w:val="0"/>
        </w:rPr>
        <w:tab/>
        <w:t>Schedule 1 Forms</w:t>
      </w:r>
      <w:bookmarkEnd w:id="1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416949353"/>
      <w:bookmarkStart w:id="19" w:name="_Toc416949383"/>
      <w:bookmarkStart w:id="20" w:name="_Toc416958787"/>
      <w:bookmarkStart w:id="21" w:name="_Toc417646710"/>
      <w:bookmarkStart w:id="22" w:name="_Toc417654312"/>
      <w:bookmarkStart w:id="23" w:name="_Toc422141382"/>
      <w:r>
        <w:rPr>
          <w:rStyle w:val="CharSchNo"/>
        </w:rPr>
        <w:t>Schedule 1</w:t>
      </w:r>
      <w:bookmarkEnd w:id="18"/>
      <w:bookmarkEnd w:id="19"/>
      <w:bookmarkEnd w:id="20"/>
      <w:bookmarkEnd w:id="21"/>
      <w:bookmarkEnd w:id="22"/>
      <w:bookmarkEnd w:id="23"/>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24" w:name="_Toc416949354"/>
      <w:bookmarkStart w:id="25" w:name="_Toc416949384"/>
      <w:bookmarkStart w:id="26" w:name="_Toc416958788"/>
      <w:bookmarkStart w:id="27" w:name="_Toc417646711"/>
      <w:bookmarkStart w:id="28" w:name="_Toc417654313"/>
      <w:bookmarkStart w:id="29" w:name="_Toc422141383"/>
      <w:r>
        <w:rPr>
          <w:rStyle w:val="CharSchNo"/>
        </w:rPr>
        <w:t>Schedule 2</w:t>
      </w:r>
      <w:bookmarkEnd w:id="24"/>
      <w:bookmarkEnd w:id="25"/>
      <w:bookmarkEnd w:id="26"/>
      <w:bookmarkEnd w:id="27"/>
      <w:bookmarkEnd w:id="28"/>
      <w:bookmarkEnd w:id="29"/>
      <w:r>
        <w:rPr>
          <w:rStyle w:val="CharSchNo"/>
        </w:rPr>
        <w:t> </w:t>
      </w:r>
    </w:p>
    <w:p>
      <w:pPr>
        <w:pStyle w:val="yHeading2"/>
        <w:outlineLvl w:val="9"/>
      </w:pPr>
      <w:bookmarkStart w:id="30" w:name="_Toc416949355"/>
      <w:bookmarkStart w:id="31" w:name="_Toc416949385"/>
      <w:bookmarkStart w:id="32" w:name="_Toc416958789"/>
      <w:bookmarkStart w:id="33" w:name="_Toc417646712"/>
      <w:bookmarkStart w:id="34" w:name="_Toc417654314"/>
      <w:bookmarkStart w:id="35" w:name="_Toc422141384"/>
      <w:r>
        <w:rPr>
          <w:rStyle w:val="CharSchText"/>
        </w:rPr>
        <w:t>Forms</w:t>
      </w:r>
      <w:bookmarkEnd w:id="30"/>
      <w:bookmarkEnd w:id="31"/>
      <w:bookmarkEnd w:id="32"/>
      <w:bookmarkEnd w:id="33"/>
      <w:bookmarkEnd w:id="34"/>
      <w:bookmarkEnd w:id="35"/>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92.75pt" o:ole="" fillcolor="window">
                  <v:imagedata r:id="rId25" o:title=""/>
                </v:shape>
                <o:OLEObject Type="Embed" ProgID="Word.Picture.8" ShapeID="_x0000_i1025" DrawAspect="Content" ObjectID="_1644525461" r:id="rId26"/>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7" o:title=""/>
          </v:shape>
          <o:OLEObject Type="Embed" ProgID="PBrush" ShapeID="_x0000_i1026" DrawAspect="Content" ObjectID="_1644525462"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37" w:name="_Toc416949356"/>
      <w:bookmarkStart w:id="38" w:name="_Toc416949386"/>
      <w:bookmarkStart w:id="39" w:name="_Toc416958790"/>
      <w:bookmarkStart w:id="40" w:name="_Toc417646713"/>
      <w:bookmarkStart w:id="41" w:name="_Toc417654315"/>
      <w:bookmarkStart w:id="42" w:name="_Toc422141385"/>
      <w:r>
        <w:rPr>
          <w:rStyle w:val="CharSchNo"/>
        </w:rPr>
        <w:t>Schedule 3</w:t>
      </w:r>
      <w:r>
        <w:t> — </w:t>
      </w:r>
      <w:r>
        <w:rPr>
          <w:rStyle w:val="CharSchText"/>
        </w:rPr>
        <w:t>Airports</w:t>
      </w:r>
      <w:bookmarkEnd w:id="37"/>
      <w:bookmarkEnd w:id="38"/>
      <w:bookmarkEnd w:id="39"/>
      <w:bookmarkEnd w:id="40"/>
      <w:bookmarkEnd w:id="41"/>
      <w:bookmarkEnd w:id="42"/>
    </w:p>
    <w:p>
      <w:pPr>
        <w:pStyle w:val="yShoulderClause"/>
      </w:pPr>
      <w:r>
        <w:t>[r. 8BA and 8BB]</w:t>
      </w:r>
    </w:p>
    <w:p>
      <w:pPr>
        <w:pStyle w:val="yFootnoteheading"/>
      </w:pPr>
      <w:r>
        <w:tab/>
        <w:t>[Heading inserted in Gazette 6 Oct 2006 p. 4367.]</w:t>
      </w:r>
    </w:p>
    <w:p>
      <w:pPr>
        <w:pStyle w:val="yHeading3"/>
      </w:pPr>
      <w:bookmarkStart w:id="43" w:name="_Toc416949357"/>
      <w:bookmarkStart w:id="44" w:name="_Toc416949387"/>
      <w:bookmarkStart w:id="45" w:name="_Toc416958791"/>
      <w:bookmarkStart w:id="46" w:name="_Toc417646714"/>
      <w:bookmarkStart w:id="47" w:name="_Toc417654316"/>
      <w:bookmarkStart w:id="48" w:name="_Toc422141386"/>
      <w:r>
        <w:rPr>
          <w:rStyle w:val="CharSDivNo"/>
        </w:rPr>
        <w:t>Division 1</w:t>
      </w:r>
      <w:bookmarkEnd w:id="43"/>
      <w:bookmarkEnd w:id="44"/>
      <w:bookmarkEnd w:id="45"/>
      <w:bookmarkEnd w:id="46"/>
      <w:bookmarkEnd w:id="47"/>
      <w:bookmarkEnd w:id="48"/>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49" w:name="_Toc416949358"/>
      <w:bookmarkStart w:id="50" w:name="_Toc416949388"/>
      <w:bookmarkStart w:id="51" w:name="_Toc416958792"/>
      <w:bookmarkStart w:id="52" w:name="_Toc417646715"/>
      <w:bookmarkStart w:id="53" w:name="_Toc417654317"/>
      <w:bookmarkStart w:id="54" w:name="_Toc422141387"/>
      <w:r>
        <w:rPr>
          <w:rStyle w:val="CharSDivNo"/>
        </w:rPr>
        <w:t>Division 2</w:t>
      </w:r>
      <w:bookmarkEnd w:id="49"/>
      <w:bookmarkEnd w:id="50"/>
      <w:bookmarkEnd w:id="51"/>
      <w:bookmarkEnd w:id="52"/>
      <w:bookmarkEnd w:id="53"/>
      <w:bookmarkEnd w:id="54"/>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55" w:name="_Toc416949359"/>
      <w:bookmarkStart w:id="56" w:name="_Toc416949389"/>
      <w:bookmarkStart w:id="57" w:name="_Toc416958793"/>
      <w:bookmarkStart w:id="58" w:name="_Toc417646716"/>
      <w:bookmarkStart w:id="59" w:name="_Toc417654318"/>
      <w:bookmarkStart w:id="60" w:name="_Toc422141388"/>
      <w:r>
        <w:t>Notes</w:t>
      </w:r>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1" w:name="_Toc422141389"/>
      <w:r>
        <w:t>Compilation table</w:t>
      </w:r>
      <w:bookmarkEnd w:id="6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rPr>
          <w:cantSplit/>
        </w:trPr>
        <w:tc>
          <w:tcPr>
            <w:tcW w:w="3119" w:type="dxa"/>
          </w:tcPr>
          <w:p>
            <w:pPr>
              <w:pStyle w:val="nTable"/>
              <w:spacing w:after="40"/>
              <w:rPr>
                <w:i/>
              </w:rPr>
            </w:pPr>
            <w:r>
              <w:rPr>
                <w:i/>
              </w:rPr>
              <w:t>Transport Co</w:t>
            </w:r>
            <w:r>
              <w:rPr>
                <w:i/>
              </w:rPr>
              <w:noBreakHyphen/>
              <w:t>ordination Amendment Regulations (No. 2) 2014 </w:t>
            </w:r>
          </w:p>
        </w:tc>
        <w:tc>
          <w:tcPr>
            <w:tcW w:w="1276" w:type="dxa"/>
          </w:tcPr>
          <w:p>
            <w:pPr>
              <w:pStyle w:val="nTable"/>
              <w:spacing w:after="40"/>
            </w:pPr>
            <w:r>
              <w:t>13 Jun 2014 p. 1903-4</w:t>
            </w:r>
          </w:p>
        </w:tc>
        <w:tc>
          <w:tcPr>
            <w:tcW w:w="2698" w:type="dxa"/>
            <w:gridSpan w:val="2"/>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rPr>
            </w:pPr>
            <w:r>
              <w:rPr>
                <w:i/>
              </w:rPr>
              <w:t>Transport Co-ordination Amendment Regulations 2014</w:t>
            </w:r>
          </w:p>
        </w:tc>
        <w:tc>
          <w:tcPr>
            <w:tcW w:w="1276" w:type="dxa"/>
            <w:tcBorders>
              <w:bottom w:val="single" w:sz="4" w:space="0" w:color="auto"/>
            </w:tcBorders>
          </w:tcPr>
          <w:p>
            <w:pPr>
              <w:pStyle w:val="nTable"/>
              <w:spacing w:after="40"/>
            </w:pPr>
            <w:r>
              <w:t>8 Jan 2015 p. 69</w:t>
            </w:r>
            <w:r>
              <w:noBreakHyphen/>
              <w:t xml:space="preserve">71 </w:t>
            </w:r>
            <w:r>
              <w:rPr>
                <w:szCs w:val="19"/>
              </w:rPr>
              <w:t>(as amended in </w:t>
            </w:r>
            <w:r>
              <w:rPr>
                <w:i/>
                <w:szCs w:val="19"/>
              </w:rPr>
              <w:t xml:space="preserve">Gazette </w:t>
            </w:r>
            <w:r>
              <w:rPr>
                <w:szCs w:val="19"/>
              </w:rPr>
              <w:t>17 Apr 2015 p. 1388)</w:t>
            </w:r>
          </w:p>
        </w:tc>
        <w:tc>
          <w:tcPr>
            <w:tcW w:w="2698" w:type="dxa"/>
            <w:gridSpan w:val="2"/>
            <w:tcBorders>
              <w:bottom w:val="single" w:sz="4" w:space="0" w:color="auto"/>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spacing w:before="360"/>
      </w:pPr>
      <w:bookmarkStart w:id="62" w:name="_Toc404007775"/>
      <w:bookmarkStart w:id="63" w:name="_Toc413142799"/>
      <w:bookmarkStart w:id="64"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65" w:name="_Toc422141390"/>
      <w:r>
        <w:t>Provisions that have not come into operation</w:t>
      </w:r>
      <w:bookmarkEnd w:id="62"/>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Transport Co-ordination Amendment Regulations (No. 2) 2015</w:t>
            </w:r>
            <w:r>
              <w:t xml:space="preserve"> r. 3</w:t>
            </w:r>
            <w:r>
              <w:noBreakHyphen/>
              <w:t>6</w:t>
            </w:r>
            <w:r>
              <w:rPr>
                <w:vertAlign w:val="superscript"/>
              </w:rPr>
              <w:t> 4</w:t>
            </w:r>
          </w:p>
        </w:tc>
        <w:tc>
          <w:tcPr>
            <w:tcW w:w="1276" w:type="dxa"/>
            <w:tcBorders>
              <w:top w:val="single" w:sz="8" w:space="0" w:color="auto"/>
              <w:bottom w:val="single" w:sz="8" w:space="0" w:color="auto"/>
            </w:tcBorders>
          </w:tcPr>
          <w:p>
            <w:pPr>
              <w:pStyle w:val="nTable"/>
              <w:spacing w:after="40"/>
            </w:pPr>
            <w:r>
              <w:t>12 Jun 2015 p. 2033</w:t>
            </w:r>
            <w:r>
              <w:noBreakHyphen/>
              <w:t>4</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pPr>
      <w:r>
        <w:rPr>
          <w:vertAlign w:val="superscript"/>
        </w:rPr>
        <w:t>4</w:t>
      </w:r>
      <w:r>
        <w:tab/>
        <w:t xml:space="preserve">On the date as at which this compilation was prepared, the </w:t>
      </w:r>
      <w:r>
        <w:rPr>
          <w:i/>
        </w:rPr>
        <w:t>Transport Co</w:t>
      </w:r>
      <w:r>
        <w:rPr>
          <w:i/>
        </w:rPr>
        <w:noBreakHyphen/>
        <w:t>ordination Amendment Regulations (No. 2) 2015</w:t>
      </w:r>
      <w:r>
        <w:t xml:space="preserve"> r. 3-6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Transport Co</w:t>
      </w:r>
      <w:r>
        <w:rPr>
          <w:i/>
        </w:rPr>
        <w:noBreakHyphen/>
        <w:t>ordination Regulations 1985</w:t>
      </w:r>
      <w:r>
        <w:t>.</w:t>
      </w:r>
    </w:p>
    <w:p>
      <w:pPr>
        <w:pStyle w:val="nzHeading5"/>
      </w:pPr>
      <w:r>
        <w:rPr>
          <w:rStyle w:val="CharSectno"/>
        </w:rPr>
        <w:t>4</w:t>
      </w:r>
      <w:r>
        <w:t>.</w:t>
      </w:r>
      <w:r>
        <w:tab/>
        <w:t>Regulation 8A amended</w:t>
      </w:r>
    </w:p>
    <w:p>
      <w:pPr>
        <w:pStyle w:val="nzSubsection"/>
      </w:pPr>
      <w:r>
        <w:tab/>
      </w:r>
      <w:r>
        <w:tab/>
        <w:t>In regulation 8A:</w:t>
      </w:r>
    </w:p>
    <w:p>
      <w:pPr>
        <w:pStyle w:val="nzIndenta"/>
      </w:pPr>
      <w:r>
        <w:tab/>
        <w:t>(a)</w:t>
      </w:r>
      <w:r>
        <w:tab/>
        <w:t>in paragraph (a)(ii) delete “$41.00;” and insert:</w:t>
      </w:r>
    </w:p>
    <w:p>
      <w:pPr>
        <w:pStyle w:val="BlankOpen"/>
      </w:pPr>
    </w:p>
    <w:p>
      <w:pPr>
        <w:pStyle w:val="nzIndenta"/>
      </w:pPr>
      <w:r>
        <w:tab/>
      </w:r>
      <w:r>
        <w:tab/>
        <w:t>$42.00;</w:t>
      </w:r>
    </w:p>
    <w:p>
      <w:pPr>
        <w:pStyle w:val="BlankClose"/>
      </w:pPr>
    </w:p>
    <w:p>
      <w:pPr>
        <w:pStyle w:val="nzIndenta"/>
      </w:pPr>
      <w:r>
        <w:tab/>
        <w:t>(b)</w:t>
      </w:r>
      <w:r>
        <w:tab/>
        <w:t>in paragraph (d) delete “$1.58.” and insert:</w:t>
      </w:r>
    </w:p>
    <w:p>
      <w:pPr>
        <w:pStyle w:val="BlankOpen"/>
      </w:pPr>
    </w:p>
    <w:p>
      <w:pPr>
        <w:pStyle w:val="nzIndenta"/>
      </w:pPr>
      <w:r>
        <w:tab/>
      </w:r>
      <w:r>
        <w:tab/>
        <w:t>$1.60.</w:t>
      </w:r>
    </w:p>
    <w:p>
      <w:pPr>
        <w:pStyle w:val="BlankClose"/>
        <w:keepNext/>
      </w:pPr>
    </w:p>
    <w:p>
      <w:pPr>
        <w:pStyle w:val="nzHeading5"/>
      </w:pPr>
      <w:r>
        <w:rPr>
          <w:rStyle w:val="CharSectno"/>
        </w:rPr>
        <w:t>5</w:t>
      </w:r>
      <w:r>
        <w:t>.</w:t>
      </w:r>
      <w:r>
        <w:tab/>
        <w:t>Regulation 8B amended</w:t>
      </w:r>
    </w:p>
    <w:p>
      <w:pPr>
        <w:pStyle w:val="nzSubsection"/>
      </w:pPr>
      <w:r>
        <w:tab/>
      </w:r>
      <w:r>
        <w:tab/>
        <w:t>In regulation 8B(b) delete “$25.55.” and insert:</w:t>
      </w:r>
    </w:p>
    <w:p>
      <w:pPr>
        <w:pStyle w:val="BlankOpen"/>
      </w:pPr>
    </w:p>
    <w:p>
      <w:pPr>
        <w:pStyle w:val="nzSubsection"/>
      </w:pPr>
      <w:r>
        <w:tab/>
      </w:r>
      <w:r>
        <w:tab/>
        <w:t>$28.50.</w:t>
      </w:r>
    </w:p>
    <w:p>
      <w:pPr>
        <w:pStyle w:val="BlankClose"/>
      </w:pPr>
    </w:p>
    <w:p>
      <w:pPr>
        <w:pStyle w:val="nzHeading5"/>
      </w:pPr>
      <w:r>
        <w:rPr>
          <w:rStyle w:val="CharSectno"/>
        </w:rPr>
        <w:t>6</w:t>
      </w:r>
      <w:r>
        <w:t>.</w:t>
      </w:r>
      <w:r>
        <w:tab/>
        <w:t>Regulation 8C amended</w:t>
      </w:r>
    </w:p>
    <w:p>
      <w:pPr>
        <w:pStyle w:val="nzSubsection"/>
      </w:pPr>
      <w:r>
        <w:tab/>
      </w:r>
      <w:r>
        <w:tab/>
        <w:t>In regulation 8C(a) delete “$50; and” and insert:</w:t>
      </w:r>
    </w:p>
    <w:p>
      <w:pPr>
        <w:pStyle w:val="BlankOpen"/>
      </w:pPr>
    </w:p>
    <w:p>
      <w:pPr>
        <w:pStyle w:val="nzSubsection"/>
      </w:pPr>
      <w:r>
        <w:tab/>
      </w:r>
      <w:r>
        <w:tab/>
        <w:t>$90; and</w:t>
      </w:r>
    </w:p>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7" w:name="_Toc416949392"/>
      <w:bookmarkStart w:id="68" w:name="_Toc416958796"/>
      <w:bookmarkStart w:id="69" w:name="_Toc417646718"/>
      <w:bookmarkStart w:id="70" w:name="_Toc417654320"/>
      <w:bookmarkStart w:id="71" w:name="_Toc422141391"/>
      <w:r>
        <w:rPr>
          <w:sz w:val="28"/>
        </w:rPr>
        <w:t>Defined terms</w:t>
      </w:r>
      <w:bookmarkEnd w:id="67"/>
      <w:bookmarkEnd w:id="68"/>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9484</Words>
  <Characters>77017</Characters>
  <Application>Microsoft Office Word</Application>
  <DocSecurity>0</DocSecurity>
  <Lines>4813</Lines>
  <Paragraphs>1601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1985 - 03-l0-01</dc:title>
  <dc:subject/>
  <dc:creator/>
  <cp:keywords/>
  <dc:description/>
  <cp:lastModifiedBy>svcMRProcess</cp:lastModifiedBy>
  <cp:revision>4</cp:revision>
  <cp:lastPrinted>2009-12-11T07:48:00Z</cp:lastPrinted>
  <dcterms:created xsi:type="dcterms:W3CDTF">2020-02-29T15:51:00Z</dcterms:created>
  <dcterms:modified xsi:type="dcterms:W3CDTF">2020-02-29T15:51:00Z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No">
    <vt:lpwstr>3</vt:lpwstr>
  </property>
  <property fmtid="{D5CDD505-2E9C-101B-9397-08002B2CF9AE}" pid="6" name="AsAtDate">
    <vt:lpwstr>12 Jun 2015</vt:lpwstr>
  </property>
  <property fmtid="{D5CDD505-2E9C-101B-9397-08002B2CF9AE}" pid="7" name="Suffix">
    <vt:lpwstr>03-l0-01</vt:lpwstr>
  </property>
  <property fmtid="{D5CDD505-2E9C-101B-9397-08002B2CF9AE}" pid="8" name="CommencementDate">
    <vt:lpwstr>20150612</vt:lpwstr>
  </property>
</Properties>
</file>