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_Toc423078912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_Toc423078913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_Toc423078914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_Toc423078915 \h </w:instrText>
      </w:r>
      <w:r>
        <w:fldChar w:fldCharType="separate"/>
      </w:r>
      <w:r>
        <w:t>1</w:t>
      </w:r>
      <w:r>
        <w:fldChar w:fldCharType="end"/>
      </w:r>
    </w:p>
    <w:p>
      <w:pPr>
        <w:pStyle w:val="TOC8"/>
        <w:rPr>
          <w:rFonts w:asciiTheme="minorHAnsi" w:eastAsiaTheme="minorEastAsia" w:hAnsiTheme="minorHAnsi" w:cstheme="minorBidi"/>
          <w:szCs w:val="22"/>
        </w:rPr>
      </w:pPr>
      <w:r>
        <w:t>4A.</w:t>
      </w:r>
      <w:r>
        <w:tab/>
        <w:t>Exemptions for supply to commercial premises on which generating works are located</w:t>
      </w:r>
      <w:r>
        <w:tab/>
      </w:r>
      <w:r>
        <w:fldChar w:fldCharType="begin"/>
      </w:r>
      <w:r>
        <w:instrText xml:space="preserve"> PAGEREF _Toc423078916 \h </w:instrText>
      </w:r>
      <w:r>
        <w:fldChar w:fldCharType="separate"/>
      </w:r>
      <w:r>
        <w:t>2</w:t>
      </w:r>
      <w:r>
        <w:fldChar w:fldCharType="end"/>
      </w:r>
    </w:p>
    <w:p>
      <w:pPr>
        <w:pStyle w:val="TOC8"/>
        <w:rPr>
          <w:rFonts w:asciiTheme="minorHAnsi" w:eastAsiaTheme="minorEastAsia" w:hAnsiTheme="minorHAnsi" w:cstheme="minorBidi"/>
          <w:szCs w:val="22"/>
        </w:rPr>
      </w:pPr>
      <w:r>
        <w:t>4B.</w:t>
      </w:r>
      <w:r>
        <w:tab/>
        <w:t>Exemption for supply to commercial premises occupied by supplier</w:t>
      </w:r>
      <w:r>
        <w:tab/>
      </w:r>
      <w:r>
        <w:fldChar w:fldCharType="begin"/>
      </w:r>
      <w:r>
        <w:instrText xml:space="preserve"> PAGEREF _Toc423078917 \h </w:instrText>
      </w:r>
      <w:r>
        <w:fldChar w:fldCharType="separate"/>
      </w:r>
      <w:r>
        <w:t>3</w:t>
      </w:r>
      <w:r>
        <w:fldChar w:fldCharType="end"/>
      </w:r>
    </w:p>
    <w:p>
      <w:pPr>
        <w:pStyle w:val="TOC8"/>
        <w:rPr>
          <w:rFonts w:asciiTheme="minorHAnsi" w:eastAsiaTheme="minorEastAsia" w:hAnsiTheme="minorHAnsi" w:cstheme="minorBidi"/>
          <w:szCs w:val="22"/>
        </w:rPr>
      </w:pPr>
      <w:r>
        <w:t>4.</w:t>
      </w:r>
      <w:r>
        <w:tab/>
        <w:t>Exemptions for on</w:t>
      </w:r>
      <w:r>
        <w:noBreakHyphen/>
        <w:t>supply to commercial premises</w:t>
      </w:r>
      <w:r>
        <w:tab/>
      </w:r>
      <w:r>
        <w:fldChar w:fldCharType="begin"/>
      </w:r>
      <w:r>
        <w:instrText xml:space="preserve"> PAGEREF _Toc423078918 \h </w:instrText>
      </w:r>
      <w:r>
        <w:fldChar w:fldCharType="separate"/>
      </w:r>
      <w:r>
        <w:t>3</w:t>
      </w:r>
      <w:r>
        <w:fldChar w:fldCharType="end"/>
      </w:r>
    </w:p>
    <w:p>
      <w:pPr>
        <w:pStyle w:val="TOC8"/>
        <w:rPr>
          <w:rFonts w:asciiTheme="minorHAnsi" w:eastAsiaTheme="minorEastAsia" w:hAnsiTheme="minorHAnsi" w:cstheme="minorBidi"/>
          <w:szCs w:val="22"/>
        </w:rPr>
      </w:pPr>
      <w:r>
        <w:t>5.</w:t>
      </w:r>
      <w:r>
        <w:tab/>
        <w:t>Exemptions for on</w:t>
      </w:r>
      <w:r>
        <w:noBreakHyphen/>
        <w:t>supply to residential premises</w:t>
      </w:r>
      <w:r>
        <w:tab/>
      </w:r>
      <w:r>
        <w:fldChar w:fldCharType="begin"/>
      </w:r>
      <w:r>
        <w:instrText xml:space="preserve"> PAGEREF _Toc423078919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exemptions under clause 5</w:t>
      </w:r>
      <w:r>
        <w:tab/>
      </w:r>
      <w:r>
        <w:fldChar w:fldCharType="begin"/>
      </w:r>
      <w:r>
        <w:instrText xml:space="preserve"> PAGEREF _Toc423078920 \h </w:instrText>
      </w:r>
      <w:r>
        <w:fldChar w:fldCharType="separate"/>
      </w:r>
      <w:r>
        <w:t>5</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_Toc423078921 \h </w:instrText>
      </w:r>
      <w:r>
        <w:fldChar w:fldCharType="separate"/>
      </w:r>
      <w:r>
        <w:t>8</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_Toc423078922 \h </w:instrText>
      </w:r>
      <w:r>
        <w:fldChar w:fldCharType="separate"/>
      </w:r>
      <w:r>
        <w:t>9</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_Toc423078923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_Toc423078924 \h </w:instrText>
      </w:r>
      <w:r>
        <w:fldChar w:fldCharType="separate"/>
      </w:r>
      <w:r>
        <w:t>10</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_Toc423078925 \h </w:instrText>
      </w:r>
      <w:r>
        <w:fldChar w:fldCharType="separate"/>
      </w:r>
      <w:r>
        <w:t>11</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_Toc423078926 \h </w:instrText>
      </w:r>
      <w:r>
        <w:fldChar w:fldCharType="separate"/>
      </w:r>
      <w:r>
        <w:t>12</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_Toc423078927 \h </w:instrText>
      </w:r>
      <w:r>
        <w:fldChar w:fldCharType="separate"/>
      </w:r>
      <w:r>
        <w:t>13</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_Toc423078928 \h </w:instrText>
      </w:r>
      <w:r>
        <w:fldChar w:fldCharType="separate"/>
      </w:r>
      <w:r>
        <w:t>14</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_Toc423078929 \h </w:instrText>
      </w:r>
      <w:r>
        <w:fldChar w:fldCharType="separate"/>
      </w:r>
      <w:r>
        <w:t>14</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_Toc423078930 \h </w:instrText>
      </w:r>
      <w:r>
        <w:fldChar w:fldCharType="separate"/>
      </w:r>
      <w:r>
        <w:t>14</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_Toc423078931 \h </w:instrText>
      </w:r>
      <w:r>
        <w:fldChar w:fldCharType="separate"/>
      </w:r>
      <w:r>
        <w:t>15</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_Toc423078932 \h </w:instrText>
      </w:r>
      <w:r>
        <w:fldChar w:fldCharType="separate"/>
      </w:r>
      <w:r>
        <w:t>15</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_Toc423078933 \h </w:instrText>
      </w:r>
      <w:r>
        <w:fldChar w:fldCharType="separate"/>
      </w:r>
      <w:r>
        <w:t>16</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_Toc423078934 \h </w:instrText>
      </w:r>
      <w:r>
        <w:fldChar w:fldCharType="separate"/>
      </w:r>
      <w:r>
        <w:t>16</w:t>
      </w:r>
      <w:r>
        <w:fldChar w:fldCharType="end"/>
      </w:r>
    </w:p>
    <w:p>
      <w:pPr>
        <w:pStyle w:val="TOC8"/>
        <w:rPr>
          <w:rFonts w:asciiTheme="minorHAnsi" w:eastAsiaTheme="minorEastAsia" w:hAnsiTheme="minorHAnsi" w:cstheme="minorBidi"/>
          <w:szCs w:val="22"/>
        </w:rPr>
      </w:pPr>
      <w:r>
        <w:t>21.</w:t>
      </w:r>
      <w:r>
        <w:tab/>
        <w:t>Exemptions for MMG Golden Grove — supply to Minjar Gold</w:t>
      </w:r>
      <w:r>
        <w:tab/>
      </w:r>
      <w:r>
        <w:fldChar w:fldCharType="begin"/>
      </w:r>
      <w:r>
        <w:instrText xml:space="preserve"> PAGEREF _Toc423078935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_Toc423078936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_Toc423078937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4"/>
        <w:tabs>
          <w:tab w:val="right" w:leader="dot" w:pos="7077"/>
        </w:tabs>
        <w:rPr>
          <w:rFonts w:asciiTheme="minorHAnsi" w:eastAsiaTheme="minorEastAsia" w:hAnsiTheme="minorHAnsi" w:cstheme="minorBidi"/>
          <w:b w:val="0"/>
          <w:szCs w:val="22"/>
        </w:rPr>
      </w:pPr>
      <w:r>
        <w:t>EDL NGD (WA) — HV Cabling Route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_Toc423078941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_Toc423078942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Exemption Order 2005</w:t>
      </w:r>
    </w:p>
    <w:p>
      <w:pPr>
        <w:pStyle w:val="Heading5"/>
      </w:pPr>
      <w:bookmarkStart w:id="3" w:name="_Toc401304508"/>
      <w:bookmarkStart w:id="4" w:name="_Toc423078912"/>
      <w:r>
        <w:rPr>
          <w:rStyle w:val="CharSectno"/>
        </w:rPr>
        <w:t>1</w:t>
      </w:r>
      <w:r>
        <w:t>.</w:t>
      </w:r>
      <w:r>
        <w:tab/>
        <w:t>Citation</w:t>
      </w:r>
      <w:bookmarkEnd w:id="3"/>
      <w:bookmarkEnd w:id="4"/>
    </w:p>
    <w:p>
      <w:pPr>
        <w:pStyle w:val="Subsection"/>
        <w:rPr>
          <w:i/>
        </w:rPr>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6" w:name="_Toc401304509"/>
      <w:bookmarkStart w:id="7" w:name="_Toc423078913"/>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This order comes into operation on 1 January 2006.</w:t>
      </w:r>
    </w:p>
    <w:p>
      <w:pPr>
        <w:pStyle w:val="Heading5"/>
      </w:pPr>
      <w:bookmarkStart w:id="8" w:name="_Toc401304510"/>
      <w:bookmarkStart w:id="9" w:name="_Toc423078914"/>
      <w:r>
        <w:rPr>
          <w:rStyle w:val="CharSectno"/>
        </w:rPr>
        <w:t>3A</w:t>
      </w:r>
      <w:r>
        <w:t>.</w:t>
      </w:r>
      <w:r>
        <w:tab/>
        <w:t>Terms used</w:t>
      </w:r>
      <w:bookmarkEnd w:id="8"/>
      <w:bookmarkEnd w:id="9"/>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0" w:name="_Toc401304511"/>
      <w:bookmarkStart w:id="11" w:name="_Toc423078915"/>
      <w:r>
        <w:rPr>
          <w:rStyle w:val="CharSectno"/>
        </w:rPr>
        <w:t>3</w:t>
      </w:r>
      <w:r>
        <w:t>.</w:t>
      </w:r>
      <w:r>
        <w:tab/>
        <w:t>Exemption for generating works under 30 MW</w:t>
      </w:r>
      <w:bookmarkEnd w:id="10"/>
      <w:bookmarkEnd w:id="11"/>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2" w:name="_Toc401304512"/>
      <w:bookmarkStart w:id="13" w:name="_Toc423078916"/>
      <w:r>
        <w:rPr>
          <w:rStyle w:val="CharSectno"/>
        </w:rPr>
        <w:t>4A</w:t>
      </w:r>
      <w:r>
        <w:t>.</w:t>
      </w:r>
      <w:r>
        <w:tab/>
        <w:t>Exemptions for supply to commercial premises on which generating works are located</w:t>
      </w:r>
      <w:bookmarkEnd w:id="12"/>
      <w:bookmarkEnd w:id="13"/>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14" w:name="_Toc423078917"/>
      <w:bookmarkStart w:id="15" w:name="_Toc401304513"/>
      <w:r>
        <w:rPr>
          <w:rStyle w:val="CharSectno"/>
        </w:rPr>
        <w:t>4B</w:t>
      </w:r>
      <w:r>
        <w:t>.</w:t>
      </w:r>
      <w:r>
        <w:tab/>
        <w:t>Exemption for supply to commercial premises occupied by supplier</w:t>
      </w:r>
      <w:bookmarkEnd w:id="14"/>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commercial premises part of which is occupied by the supplier; and</w:t>
      </w:r>
    </w:p>
    <w:p>
      <w:pPr>
        <w:pStyle w:val="Indenta"/>
      </w:pPr>
      <w:r>
        <w:tab/>
        <w:t>(c)</w:t>
      </w:r>
      <w:r>
        <w:tab/>
        <w:t>is sold by the supplier for consumption by another person on the commercial premises.</w:t>
      </w:r>
    </w:p>
    <w:p>
      <w:pPr>
        <w:pStyle w:val="Footnotesection"/>
      </w:pPr>
      <w:r>
        <w:tab/>
        <w:t>[Clause 4B inserted in Gazette 26 Jun 2015 p. 2253.]</w:t>
      </w:r>
    </w:p>
    <w:p>
      <w:pPr>
        <w:pStyle w:val="Heading5"/>
      </w:pPr>
      <w:bookmarkStart w:id="16" w:name="_Toc423078918"/>
      <w:r>
        <w:rPr>
          <w:rStyle w:val="CharSectno"/>
        </w:rPr>
        <w:t>4</w:t>
      </w:r>
      <w:r>
        <w:t>.</w:t>
      </w:r>
      <w:r>
        <w:tab/>
        <w:t>Exemptions for on</w:t>
      </w:r>
      <w:r>
        <w:noBreakHyphen/>
        <w:t>supply to commercial premises</w:t>
      </w:r>
      <w:bookmarkEnd w:id="15"/>
      <w:bookmarkEnd w:id="16"/>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 or</w:t>
      </w:r>
    </w:p>
    <w:p>
      <w:pPr>
        <w:pStyle w:val="Indenta"/>
      </w:pPr>
      <w:r>
        <w:tab/>
        <w:t>(c)</w:t>
      </w:r>
      <w:r>
        <w:tab/>
        <w:t>in the case of leased premises part of which is sublet, the sub</w:t>
      </w:r>
      <w:r>
        <w:noBreakHyphen/>
        <w:t>lessor.</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 26 Jun 2015 p. 2253</w:t>
      </w:r>
      <w:r>
        <w:noBreakHyphen/>
        <w:t>4.]</w:t>
      </w:r>
    </w:p>
    <w:p>
      <w:pPr>
        <w:pStyle w:val="Heading5"/>
      </w:pPr>
      <w:bookmarkStart w:id="17" w:name="_Toc401304514"/>
      <w:bookmarkStart w:id="18" w:name="_Toc423078919"/>
      <w:r>
        <w:rPr>
          <w:rStyle w:val="CharSectno"/>
        </w:rPr>
        <w:t>5</w:t>
      </w:r>
      <w:r>
        <w:t>.</w:t>
      </w:r>
      <w:r>
        <w:tab/>
        <w:t>Exemptions for on</w:t>
      </w:r>
      <w:r>
        <w:noBreakHyphen/>
        <w:t>supply to residential premises</w:t>
      </w:r>
      <w:bookmarkEnd w:id="17"/>
      <w:bookmarkEnd w:id="18"/>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19" w:name="_Toc401304515"/>
      <w:bookmarkStart w:id="20" w:name="_Toc423078920"/>
      <w:r>
        <w:rPr>
          <w:rStyle w:val="CharSectno"/>
        </w:rPr>
        <w:t>6</w:t>
      </w:r>
      <w:r>
        <w:t>.</w:t>
      </w:r>
      <w:r>
        <w:tab/>
        <w:t>Conditions applying to exemptions under clause 5</w:t>
      </w:r>
      <w:bookmarkEnd w:id="19"/>
      <w:bookmarkEnd w:id="20"/>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21" w:name="_Toc401304516"/>
      <w:bookmarkStart w:id="22" w:name="_Toc423078921"/>
      <w:r>
        <w:rPr>
          <w:rStyle w:val="CharSectno"/>
        </w:rPr>
        <w:t>7</w:t>
      </w:r>
      <w:r>
        <w:t>.</w:t>
      </w:r>
      <w:r>
        <w:tab/>
        <w:t>Exemptions for supply to Aboriginal communities</w:t>
      </w:r>
      <w:bookmarkEnd w:id="21"/>
      <w:bookmarkEnd w:id="22"/>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3" w:name="_Toc401304517"/>
      <w:bookmarkStart w:id="24" w:name="_Toc423078922"/>
      <w:r>
        <w:rPr>
          <w:rStyle w:val="CharSectno"/>
        </w:rPr>
        <w:t>8</w:t>
      </w:r>
      <w:r>
        <w:t>.</w:t>
      </w:r>
      <w:r>
        <w:tab/>
        <w:t>Exemptions for operations under Pilbara Energy Project Agreement</w:t>
      </w:r>
      <w:bookmarkEnd w:id="23"/>
      <w:bookmarkEnd w:id="2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5" w:name="_Toc401304518"/>
      <w:bookmarkStart w:id="26" w:name="_Toc423078923"/>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5"/>
      <w:bookmarkEnd w:id="2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7" w:name="_Toc401304519"/>
      <w:bookmarkStart w:id="28" w:name="_Toc423078924"/>
      <w:r>
        <w:rPr>
          <w:rStyle w:val="CharSectno"/>
        </w:rPr>
        <w:t>10</w:t>
      </w:r>
      <w:r>
        <w:t>.</w:t>
      </w:r>
      <w:r>
        <w:tab/>
        <w:t>Exemptions for operations under various government agreements</w:t>
      </w:r>
      <w:bookmarkEnd w:id="27"/>
      <w:bookmarkEnd w:id="28"/>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9" w:name="_Toc401304520"/>
      <w:bookmarkStart w:id="30" w:name="_Toc423078925"/>
      <w:r>
        <w:rPr>
          <w:rStyle w:val="CharSectno"/>
        </w:rPr>
        <w:t>11</w:t>
      </w:r>
      <w:r>
        <w:t>.</w:t>
      </w:r>
      <w:r>
        <w:tab/>
        <w:t>Conditions applying to exemptions under clause 10</w:t>
      </w:r>
      <w:bookmarkEnd w:id="29"/>
      <w:bookmarkEnd w:id="30"/>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1" w:name="_Toc401304521"/>
      <w:bookmarkStart w:id="32" w:name="_Toc423078926"/>
      <w:r>
        <w:rPr>
          <w:rStyle w:val="CharSectno"/>
        </w:rPr>
        <w:t>12</w:t>
      </w:r>
      <w:r>
        <w:t>.</w:t>
      </w:r>
      <w:r>
        <w:tab/>
        <w:t>Exemptions for operations in DBNGP corridor</w:t>
      </w:r>
      <w:bookmarkEnd w:id="31"/>
      <w:bookmarkEnd w:id="32"/>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3" w:name="_Toc401304522"/>
      <w:bookmarkStart w:id="34" w:name="_Toc423078927"/>
      <w:r>
        <w:rPr>
          <w:rStyle w:val="CharSectno"/>
        </w:rPr>
        <w:t>13</w:t>
      </w:r>
      <w:r>
        <w:t>.</w:t>
      </w:r>
      <w:r>
        <w:tab/>
        <w:t>Exemptions for Electricity Generation and Retail Corporation</w:t>
      </w:r>
      <w:bookmarkEnd w:id="33"/>
      <w:bookmarkEnd w:id="34"/>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35" w:name="_Toc401304523"/>
      <w:bookmarkStart w:id="36" w:name="_Toc423078928"/>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5"/>
      <w:bookmarkEnd w:id="36"/>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7" w:name="_Toc401304524"/>
      <w:bookmarkStart w:id="38" w:name="_Toc423078929"/>
      <w:r>
        <w:rPr>
          <w:rStyle w:val="CharSectno"/>
        </w:rPr>
        <w:t>15</w:t>
      </w:r>
      <w:r>
        <w:t>.</w:t>
      </w:r>
      <w:r>
        <w:tab/>
        <w:t>Exemptions for supply in Eucla</w:t>
      </w:r>
      <w:bookmarkEnd w:id="37"/>
      <w:bookmarkEnd w:id="38"/>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9" w:name="_Toc401304525"/>
      <w:bookmarkStart w:id="40" w:name="_Toc423078930"/>
      <w:r>
        <w:rPr>
          <w:rStyle w:val="CharSectno"/>
        </w:rPr>
        <w:t>16</w:t>
      </w:r>
      <w:r>
        <w:t>.</w:t>
      </w:r>
      <w:r>
        <w:tab/>
        <w:t>Exemption for distribution systems of less than 1 km connecting to network other than SWIS</w:t>
      </w:r>
      <w:bookmarkEnd w:id="39"/>
      <w:bookmarkEnd w:id="40"/>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41" w:name="_Toc401304526"/>
      <w:bookmarkStart w:id="42" w:name="_Toc423078931"/>
      <w:r>
        <w:rPr>
          <w:rStyle w:val="CharSectno"/>
        </w:rPr>
        <w:t>17</w:t>
      </w:r>
      <w:r>
        <w:t>.</w:t>
      </w:r>
      <w:r>
        <w:tab/>
        <w:t>Exemptions for holders of generation licence connecting to SWIS</w:t>
      </w:r>
      <w:bookmarkEnd w:id="41"/>
      <w:bookmarkEnd w:id="42"/>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43" w:name="_Toc401304527"/>
      <w:bookmarkStart w:id="44" w:name="_Toc423078932"/>
      <w:r>
        <w:rPr>
          <w:rStyle w:val="CharSectno"/>
        </w:rPr>
        <w:t>18</w:t>
      </w:r>
      <w:r>
        <w:t>.</w:t>
      </w:r>
      <w:r>
        <w:tab/>
        <w:t>Exemption for EDL NGD (WA)</w:t>
      </w:r>
      <w:bookmarkEnd w:id="43"/>
      <w:bookmarkEnd w:id="4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45" w:name="_Toc401304528"/>
      <w:bookmarkStart w:id="46" w:name="_Toc423078933"/>
      <w:r>
        <w:rPr>
          <w:rStyle w:val="CharSectno"/>
        </w:rPr>
        <w:t>19</w:t>
      </w:r>
      <w:r>
        <w:t>.</w:t>
      </w:r>
      <w:r>
        <w:tab/>
        <w:t>Exemptions for electric vehicle charging stations</w:t>
      </w:r>
      <w:bookmarkEnd w:id="45"/>
      <w:bookmarkEnd w:id="4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47" w:name="_Toc401304529"/>
      <w:bookmarkStart w:id="48" w:name="_Toc423078934"/>
      <w:r>
        <w:rPr>
          <w:rStyle w:val="CharSectno"/>
        </w:rPr>
        <w:t>20</w:t>
      </w:r>
      <w:r>
        <w:t>.</w:t>
      </w:r>
      <w:r>
        <w:tab/>
        <w:t>Exemptions for Blair Fox — Karakin Wind Farm</w:t>
      </w:r>
      <w:bookmarkEnd w:id="47"/>
      <w:bookmarkEnd w:id="48"/>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49" w:name="_Toc401304530"/>
      <w:bookmarkStart w:id="50" w:name="_Toc423078935"/>
      <w:r>
        <w:rPr>
          <w:rStyle w:val="CharSectno"/>
        </w:rPr>
        <w:t>21</w:t>
      </w:r>
      <w:r>
        <w:t>.</w:t>
      </w:r>
      <w:r>
        <w:tab/>
        <w:t>Exemptions for MMG Golden Grove — supply to Minjar Gold</w:t>
      </w:r>
      <w:bookmarkEnd w:id="49"/>
      <w:bookmarkEnd w:id="50"/>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pStyle w:val="Heading5"/>
      </w:pPr>
      <w:bookmarkStart w:id="51" w:name="_Toc401304531"/>
      <w:bookmarkStart w:id="52" w:name="_Toc423078936"/>
      <w:r>
        <w:rPr>
          <w:rStyle w:val="CharSectno"/>
        </w:rPr>
        <w:t>22</w:t>
      </w:r>
      <w:r>
        <w:t>.</w:t>
      </w:r>
      <w:r>
        <w:tab/>
        <w:t>Exemption for Power Rental Op Co Australia — South Hedland Power Station</w:t>
      </w:r>
      <w:bookmarkEnd w:id="51"/>
      <w:bookmarkEnd w:id="52"/>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53" w:name="_Toc423078937"/>
      <w:r>
        <w:rPr>
          <w:rStyle w:val="CharSectno"/>
        </w:rPr>
        <w:t>23</w:t>
      </w:r>
      <w:r>
        <w:t>.</w:t>
      </w:r>
      <w:r>
        <w:tab/>
        <w:t>Exemption for CSBP — Kwinana manufacturing facility</w:t>
      </w:r>
      <w:bookmarkEnd w:id="53"/>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4" w:name="_Toc376933982"/>
      <w:bookmarkStart w:id="55" w:name="_Toc401220070"/>
      <w:bookmarkStart w:id="56" w:name="_Toc401304406"/>
      <w:bookmarkStart w:id="57" w:name="_Toc401304503"/>
      <w:bookmarkStart w:id="58" w:name="_Toc401304532"/>
      <w:bookmarkStart w:id="59" w:name="_Toc416783018"/>
      <w:bookmarkStart w:id="60" w:name="_Toc416783046"/>
      <w:bookmarkStart w:id="61" w:name="_Toc419375841"/>
      <w:bookmarkStart w:id="62" w:name="_Toc419449221"/>
      <w:bookmarkStart w:id="63" w:name="_Toc423078794"/>
      <w:bookmarkStart w:id="64" w:name="_Toc423078938"/>
      <w:r>
        <w:rPr>
          <w:rStyle w:val="CharSchNo"/>
        </w:rPr>
        <w:t>Schedule 1</w:t>
      </w:r>
      <w:r>
        <w:rPr>
          <w:rStyle w:val="CharSDivNo"/>
        </w:rPr>
        <w:t> </w:t>
      </w:r>
      <w:r>
        <w:t>—</w:t>
      </w:r>
      <w:r>
        <w:rPr>
          <w:rStyle w:val="CharSDivText"/>
        </w:rPr>
        <w:t> </w:t>
      </w:r>
      <w:r>
        <w:rPr>
          <w:rStyle w:val="CharSchText"/>
        </w:rPr>
        <w:t>Depiction of EDL NGD (WA) exempt distribution system</w:t>
      </w:r>
      <w:bookmarkEnd w:id="54"/>
      <w:bookmarkEnd w:id="55"/>
      <w:bookmarkEnd w:id="56"/>
      <w:bookmarkEnd w:id="57"/>
      <w:bookmarkEnd w:id="58"/>
      <w:bookmarkEnd w:id="59"/>
      <w:bookmarkEnd w:id="60"/>
      <w:bookmarkEnd w:id="61"/>
      <w:bookmarkEnd w:id="62"/>
      <w:bookmarkEnd w:id="63"/>
      <w:bookmarkEnd w:id="64"/>
    </w:p>
    <w:p>
      <w:pPr>
        <w:pStyle w:val="yShoulderClause"/>
      </w:pPr>
      <w:r>
        <w:t>[cl. 18]</w:t>
      </w:r>
    </w:p>
    <w:p>
      <w:pPr>
        <w:pStyle w:val="yFootnoteheading"/>
      </w:pPr>
      <w:r>
        <w:tab/>
        <w:t>[Heading inserted in Gazette 9 Oct 2009 p. 3994.]</w:t>
      </w:r>
    </w:p>
    <w:p>
      <w:pPr>
        <w:pStyle w:val="yHeading3"/>
      </w:pPr>
      <w:bookmarkStart w:id="65" w:name="_Toc376933983"/>
      <w:bookmarkStart w:id="66" w:name="_Toc401220071"/>
      <w:bookmarkStart w:id="67" w:name="_Toc401304407"/>
      <w:bookmarkStart w:id="68" w:name="_Toc401304504"/>
      <w:bookmarkStart w:id="69" w:name="_Toc401304533"/>
      <w:bookmarkStart w:id="70" w:name="_Toc416783019"/>
      <w:bookmarkStart w:id="71" w:name="_Toc416783047"/>
      <w:bookmarkStart w:id="72" w:name="_Toc419375842"/>
      <w:bookmarkStart w:id="73" w:name="_Toc419449222"/>
      <w:bookmarkStart w:id="74" w:name="_Toc423078795"/>
      <w:bookmarkStart w:id="75" w:name="_Toc423078939"/>
      <w:r>
        <w:t>EDL NGD (WA) — HV Cabling Route</w:t>
      </w:r>
      <w:bookmarkEnd w:id="65"/>
      <w:bookmarkEnd w:id="66"/>
      <w:bookmarkEnd w:id="67"/>
      <w:bookmarkEnd w:id="68"/>
      <w:bookmarkEnd w:id="69"/>
      <w:bookmarkEnd w:id="70"/>
      <w:bookmarkEnd w:id="71"/>
      <w:bookmarkEnd w:id="72"/>
      <w:bookmarkEnd w:id="73"/>
      <w:bookmarkEnd w:id="74"/>
      <w:bookmarkEnd w:id="75"/>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77" w:name="_Toc376933984"/>
      <w:bookmarkStart w:id="78" w:name="_Toc401220072"/>
      <w:bookmarkStart w:id="79" w:name="_Toc401304408"/>
      <w:bookmarkStart w:id="80" w:name="_Toc401304505"/>
      <w:bookmarkStart w:id="81" w:name="_Toc401304534"/>
      <w:bookmarkStart w:id="82" w:name="_Toc416783020"/>
      <w:bookmarkStart w:id="83" w:name="_Toc416783048"/>
      <w:bookmarkStart w:id="84" w:name="_Toc419375843"/>
      <w:bookmarkStart w:id="85" w:name="_Toc419449223"/>
      <w:bookmarkStart w:id="86" w:name="_Toc423078796"/>
      <w:bookmarkStart w:id="87" w:name="_Toc423078940"/>
      <w:r>
        <w:t>Notes</w:t>
      </w:r>
      <w:bookmarkEnd w:id="77"/>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vertAlign w:val="superscript"/>
        </w:rPr>
        <w:t> 1a</w:t>
      </w:r>
      <w:r>
        <w:rPr>
          <w:i/>
        </w:rPr>
        <w:t>.</w:t>
      </w:r>
    </w:p>
    <w:p>
      <w:pPr>
        <w:pStyle w:val="nHeading3"/>
      </w:pPr>
      <w:bookmarkStart w:id="88" w:name="_Toc401304535"/>
      <w:bookmarkStart w:id="89" w:name="_Toc423078941"/>
      <w:r>
        <w:t>Compilation table</w:t>
      </w:r>
      <w:bookmarkEnd w:id="88"/>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spacing w:after="40"/>
            </w:pPr>
            <w:r>
              <w:t>17 Oct 2014 p. 4003</w:t>
            </w:r>
          </w:p>
        </w:tc>
        <w:tc>
          <w:tcPr>
            <w:tcW w:w="2693" w:type="dxa"/>
            <w:tcBorders>
              <w:top w:val="nil"/>
              <w:bottom w:val="nil"/>
            </w:tcBorders>
          </w:tcPr>
          <w:p>
            <w:pPr>
              <w:pStyle w:val="nTable"/>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single" w:sz="4" w:space="0" w:color="auto"/>
            </w:tcBorders>
          </w:tcPr>
          <w:p>
            <w:pPr>
              <w:pStyle w:val="nTable"/>
              <w:spacing w:after="40"/>
            </w:pPr>
            <w:r>
              <w:rPr>
                <w:i/>
              </w:rPr>
              <w:t>Electricity Industry Exemption Amendment Order (No. 2) 2015</w:t>
            </w:r>
          </w:p>
        </w:tc>
        <w:tc>
          <w:tcPr>
            <w:tcW w:w="1276" w:type="dxa"/>
            <w:tcBorders>
              <w:top w:val="nil"/>
              <w:bottom w:val="single" w:sz="4" w:space="0" w:color="auto"/>
            </w:tcBorders>
          </w:tcPr>
          <w:p>
            <w:pPr>
              <w:pStyle w:val="nTable"/>
              <w:spacing w:after="40"/>
            </w:pPr>
            <w:r>
              <w:t>26 Jun 2015 p. 2253</w:t>
            </w:r>
            <w:r>
              <w:noBreakHyphen/>
              <w:t>4</w:t>
            </w:r>
          </w:p>
        </w:tc>
        <w:tc>
          <w:tcPr>
            <w:tcW w:w="2693" w:type="dxa"/>
            <w:tcBorders>
              <w:top w:val="nil"/>
              <w:bottom w:val="single" w:sz="4" w:space="0" w:color="auto"/>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 w:name="_Toc423078942"/>
      <w:r>
        <w:t>Provisions that have not come into operation</w:t>
      </w:r>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Electricity Industry Exemption Amendment Order (No. 2) 2015</w:t>
            </w:r>
            <w:r>
              <w:t xml:space="preserve"> cl. 6</w:t>
            </w:r>
            <w:r>
              <w:rPr>
                <w:vertAlign w:val="superscript"/>
              </w:rPr>
              <w:t>2</w:t>
            </w:r>
          </w:p>
        </w:tc>
        <w:tc>
          <w:tcPr>
            <w:tcW w:w="1276" w:type="dxa"/>
          </w:tcPr>
          <w:p>
            <w:pPr>
              <w:pStyle w:val="nTable"/>
              <w:spacing w:after="40"/>
            </w:pPr>
            <w:r>
              <w:t>26 Jun 2015 p. 2253</w:t>
            </w:r>
            <w:r>
              <w:noBreakHyphen/>
              <w:t>4</w:t>
            </w:r>
          </w:p>
        </w:tc>
        <w:tc>
          <w:tcPr>
            <w:tcW w:w="2693" w:type="dxa"/>
          </w:tcPr>
          <w:p>
            <w:pPr>
              <w:pStyle w:val="nTable"/>
              <w:spacing w:after="40"/>
            </w:pPr>
            <w:r>
              <w:t>1 Jul 2015 (see cl. 2(b))</w:t>
            </w:r>
          </w:p>
        </w:tc>
      </w:tr>
    </w:tbl>
    <w:p/>
    <w:p>
      <w:pPr>
        <w:pStyle w:val="nSubsection"/>
      </w:pPr>
      <w:r>
        <w:rPr>
          <w:vertAlign w:val="superscript"/>
        </w:rPr>
        <w:t>2</w:t>
      </w:r>
      <w:r>
        <w:tab/>
        <w:t xml:space="preserve">On the date on which this compilation was prepared, the </w:t>
      </w:r>
      <w:r>
        <w:rPr>
          <w:i/>
        </w:rPr>
        <w:t>Electricity Industry Exemption Amendment Order (No. 2) 2015</w:t>
      </w:r>
      <w:r>
        <w:t xml:space="preserve"> cl. 6 had not come into operation.  It reads as follows:</w:t>
      </w:r>
    </w:p>
    <w:p>
      <w:pPr>
        <w:pStyle w:val="BlankOpen"/>
      </w:pPr>
    </w:p>
    <w:p>
      <w:pPr>
        <w:pStyle w:val="nzHeading5"/>
      </w:pPr>
      <w:r>
        <w:rPr>
          <w:rStyle w:val="CharSectno"/>
        </w:rPr>
        <w:t>6</w:t>
      </w:r>
      <w:r>
        <w:t>.</w:t>
      </w:r>
      <w:r>
        <w:tab/>
        <w:t>Clause 19 amended</w:t>
      </w:r>
    </w:p>
    <w:p>
      <w:pPr>
        <w:pStyle w:val="nzSubsection"/>
      </w:pPr>
      <w:r>
        <w:tab/>
      </w:r>
      <w:r>
        <w:tab/>
        <w:t>In clause 19(4) delete the passage that begins with “3 years” and continues to the end of the subsection and insert:</w:t>
      </w:r>
    </w:p>
    <w:p>
      <w:pPr>
        <w:pStyle w:val="BlankOpen"/>
      </w:pPr>
    </w:p>
    <w:p>
      <w:pPr>
        <w:pStyle w:val="nzSubsection"/>
      </w:pPr>
      <w:r>
        <w:tab/>
      </w:r>
      <w:r>
        <w:tab/>
        <w:t>on 30 June 2018.</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2" w:name="_Toc423078943"/>
      <w:r>
        <w:rPr>
          <w:sz w:val="28"/>
        </w:rPr>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Blair Fox</w:t>
      </w:r>
      <w:r>
        <w:tab/>
        <w:t>20(1)</w:t>
      </w:r>
    </w:p>
    <w:p>
      <w:pPr>
        <w:pStyle w:val="DefinedTerms"/>
      </w:pPr>
      <w:r>
        <w:t>code provision</w:t>
      </w:r>
      <w:r>
        <w:tab/>
        <w:t>11(1)</w:t>
      </w:r>
    </w:p>
    <w:p>
      <w:pPr>
        <w:pStyle w:val="DefinedTerms"/>
      </w:pPr>
      <w:r>
        <w:t>commercial premises</w:t>
      </w:r>
      <w:r>
        <w:tab/>
        <w:t>3A</w:t>
      </w:r>
    </w:p>
    <w:p>
      <w:pPr>
        <w:pStyle w:val="DefinedTerms"/>
      </w:pPr>
      <w:r>
        <w:t>connection point</w:t>
      </w:r>
      <w:r>
        <w:tab/>
        <w:t>3(1)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electric vehicle</w:t>
      </w:r>
      <w:r>
        <w:tab/>
        <w:t>19(1)</w:t>
      </w:r>
    </w:p>
    <w:p>
      <w:pPr>
        <w:pStyle w:val="DefinedTerms"/>
      </w:pPr>
      <w:r>
        <w:t>electricity reticulation system</w:t>
      </w:r>
      <w:r>
        <w:tab/>
        <w:t>6(1)</w:t>
      </w:r>
    </w:p>
    <w:p>
      <w:pPr>
        <w:pStyle w:val="DefinedTerms"/>
      </w:pPr>
      <w:r>
        <w:t>Eucla</w:t>
      </w:r>
      <w:r>
        <w:tab/>
        <w:t>15(1)</w:t>
      </w:r>
    </w:p>
    <w:p>
      <w:pPr>
        <w:pStyle w:val="DefinedTerms"/>
      </w:pPr>
      <w:r>
        <w:t>Fremantle Port Authority</w:t>
      </w:r>
      <w:r>
        <w:tab/>
        <w:t>14(1)</w:t>
      </w:r>
    </w:p>
    <w:p>
      <w:pPr>
        <w:pStyle w:val="DefinedTerms"/>
      </w:pPr>
      <w:r>
        <w:t>generation capacity</w:t>
      </w:r>
      <w:r>
        <w:tab/>
        <w:t>3(1)</w:t>
      </w:r>
    </w:p>
    <w:p>
      <w:pPr>
        <w:pStyle w:val="DefinedTerms"/>
      </w:pPr>
      <w:r>
        <w:t>Karakin Wind Farm</w:t>
      </w:r>
      <w:r>
        <w:tab/>
        <w:t>20(1)</w:t>
      </w:r>
    </w:p>
    <w:p>
      <w:pPr>
        <w:pStyle w:val="DefinedTerms"/>
      </w:pPr>
      <w:r>
        <w:t>Kwinana site</w:t>
      </w:r>
      <w:r>
        <w:tab/>
        <w:t>23(1)</w:t>
      </w:r>
    </w:p>
    <w:p>
      <w:pPr>
        <w:pStyle w:val="DefinedTerms"/>
      </w:pPr>
      <w:r>
        <w:t>Minjar Gold</w:t>
      </w:r>
      <w:r>
        <w:tab/>
        <w:t>21(1)</w:t>
      </w:r>
    </w:p>
    <w:p>
      <w:pPr>
        <w:pStyle w:val="DefinedTerms"/>
      </w:pPr>
      <w:r>
        <w:t>MMG Golden Grove</w:t>
      </w:r>
      <w:r>
        <w:tab/>
        <w:t>21(1)</w:t>
      </w:r>
    </w:p>
    <w:p>
      <w:pPr>
        <w:pStyle w:val="DefinedTerms"/>
      </w:pPr>
      <w:r>
        <w:t>PEP Agreement</w:t>
      </w:r>
      <w:r>
        <w:tab/>
        <w:t>8(1)</w:t>
      </w:r>
    </w:p>
    <w:p>
      <w:pPr>
        <w:pStyle w:val="DefinedTerms"/>
      </w:pPr>
      <w:r>
        <w:t>Power Rental Op Co Australia</w:t>
      </w:r>
      <w:r>
        <w:tab/>
        <w:t>22(1)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South Hedland Power Station site</w:t>
      </w:r>
      <w:r>
        <w:tab/>
        <w:t>22(1)</w:t>
      </w:r>
    </w:p>
    <w:p>
      <w:pPr>
        <w:pStyle w:val="DefinedTerms"/>
      </w:pPr>
      <w:r>
        <w:t>strata company</w:t>
      </w:r>
      <w:r>
        <w:tab/>
        <w:t>4(1), 5(1)</w:t>
      </w:r>
    </w:p>
    <w:p>
      <w:pPr>
        <w:pStyle w:val="DefinedTerms"/>
      </w:pPr>
      <w:r>
        <w:t>supplier</w:t>
      </w:r>
      <w:r>
        <w:tab/>
        <w:t>4A(1), 4A(2), 4B, 4(2), 4(3), 4(4), 5(2), 5(3)</w:t>
      </w:r>
    </w:p>
    <w:p>
      <w:pPr>
        <w:pStyle w:val="DefinedTerms"/>
      </w:pPr>
      <w:r>
        <w:t>SWIS</w:t>
      </w:r>
      <w:r>
        <w:tab/>
        <w:t>3A</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00-l0-01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127"/>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1207122127" w:val="RemoveTrackChanges"/>
    <w:docVar w:name="WAFER_20151207122127_GUID" w:val="d689f664-a8f7-46b5-bdb0-d51f687a8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04A6-4781-4D75-B72E-F3568FA5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5501</Words>
  <Characters>27617</Characters>
  <Application>Microsoft Office Word</Application>
  <DocSecurity>0</DocSecurity>
  <Lines>812</Lines>
  <Paragraphs>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2005 - 00-l0-01</dc:title>
  <dc:subject/>
  <dc:creator/>
  <cp:keywords/>
  <dc:description/>
  <cp:lastModifiedBy>svcMRProcess</cp:lastModifiedBy>
  <cp:revision>4</cp:revision>
  <cp:lastPrinted>2012-03-29T07:14:00Z</cp:lastPrinted>
  <dcterms:created xsi:type="dcterms:W3CDTF">2018-09-19T00:11:00Z</dcterms:created>
  <dcterms:modified xsi:type="dcterms:W3CDTF">2018-09-19T00:11:00Z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AsAtDate">
    <vt:lpwstr>27 Jun 2015</vt:lpwstr>
  </property>
  <property fmtid="{D5CDD505-2E9C-101B-9397-08002B2CF9AE}" pid="4" name="Suffix">
    <vt:lpwstr>00-l0-01</vt:lpwstr>
  </property>
  <property fmtid="{D5CDD505-2E9C-101B-9397-08002B2CF9AE}" pid="5" name="OWLSUId">
    <vt:i4>7017</vt:i4>
  </property>
  <property fmtid="{D5CDD505-2E9C-101B-9397-08002B2CF9AE}" pid="6" name="DocumentType">
    <vt:lpwstr>Reg</vt:lpwstr>
  </property>
  <property fmtid="{D5CDD505-2E9C-101B-9397-08002B2CF9AE}" pid="7" name="CommencementDate">
    <vt:lpwstr>20150627</vt:lpwstr>
  </property>
</Properties>
</file>