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Amendment Act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_Toc423081198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_Toc423081199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_Toc423081200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108 amended</w:t>
      </w:r>
      <w:r>
        <w:tab/>
      </w:r>
      <w:r>
        <w:fldChar w:fldCharType="begin"/>
      </w:r>
      <w:r>
        <w:instrText xml:space="preserve"> PAGEREF _Toc423081201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120 amended</w:t>
      </w:r>
      <w:r>
        <w:tab/>
      </w:r>
      <w:r>
        <w:fldChar w:fldCharType="begin"/>
      </w:r>
      <w:r>
        <w:instrText xml:space="preserve"> PAGEREF _Toc423081202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126 amended</w:t>
      </w:r>
      <w:r>
        <w:tab/>
      </w:r>
      <w:r>
        <w:fldChar w:fldCharType="begin"/>
      </w:r>
      <w:r>
        <w:instrText xml:space="preserve"> PAGEREF _Toc423081203 \h </w:instrText>
      </w:r>
      <w:r>
        <w:fldChar w:fldCharType="separate"/>
      </w:r>
      <w:r>
        <w:t>2</w:t>
      </w:r>
      <w:r>
        <w:fldChar w:fldCharType="end"/>
      </w:r>
    </w:p>
    <w:p>
      <w:pPr>
        <w:pStyle w:val="TOC8"/>
        <w:rPr>
          <w:rFonts w:asciiTheme="minorHAnsi" w:eastAsiaTheme="minorEastAsia" w:hAnsiTheme="minorHAnsi" w:cstheme="minorBidi"/>
          <w:szCs w:val="22"/>
        </w:rPr>
      </w:pPr>
      <w:r>
        <w:t>7.</w:t>
      </w:r>
      <w:r>
        <w:tab/>
        <w:t>Sections 127A and 127B inserted</w:t>
      </w:r>
      <w:r>
        <w:tab/>
      </w:r>
      <w:r>
        <w:fldChar w:fldCharType="begin"/>
      </w:r>
      <w:r>
        <w:instrText xml:space="preserve"> PAGEREF _Toc423081204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127A.</w:t>
      </w:r>
      <w:r>
        <w:rPr>
          <w:noProof/>
        </w:rPr>
        <w:tab/>
        <w:t>Interim dividend</w:t>
      </w:r>
      <w:r>
        <w:rPr>
          <w:noProof/>
        </w:rPr>
        <w:tab/>
      </w:r>
      <w:r>
        <w:rPr>
          <w:noProof/>
        </w:rPr>
        <w:fldChar w:fldCharType="begin"/>
      </w:r>
      <w:r>
        <w:rPr>
          <w:noProof/>
        </w:rPr>
        <w:instrText xml:space="preserve"> PAGEREF _Toc423081205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127B.</w:t>
      </w:r>
      <w:r>
        <w:rPr>
          <w:noProof/>
        </w:rPr>
        <w:tab/>
        <w:t>Amount of dividend</w:t>
      </w:r>
      <w:r>
        <w:rPr>
          <w:noProof/>
        </w:rPr>
        <w:tab/>
      </w:r>
      <w:r>
        <w:rPr>
          <w:noProof/>
        </w:rPr>
        <w:fldChar w:fldCharType="begin"/>
      </w:r>
      <w:r>
        <w:rPr>
          <w:noProof/>
        </w:rPr>
        <w:instrText xml:space="preserve"> PAGEREF _Toc423081206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8.</w:t>
      </w:r>
      <w:r>
        <w:tab/>
        <w:t>Section 134 amended</w:t>
      </w:r>
      <w:r>
        <w:tab/>
      </w:r>
      <w:r>
        <w:fldChar w:fldCharType="begin"/>
      </w:r>
      <w:r>
        <w:instrText xml:space="preserve"> PAGEREF _Toc423081207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Electricity Corporations Amendment Act 2015</w:t>
      </w:r>
    </w:p>
    <w:p>
      <w:pPr>
        <w:pStyle w:val="ABillFor"/>
        <w:pBdr>
          <w:top w:val="single" w:sz="4" w:space="6" w:color="auto"/>
          <w:bottom w:val="single" w:sz="4" w:space="6" w:color="auto"/>
        </w:pBdr>
        <w:spacing w:before="0" w:after="240"/>
        <w:ind w:left="2551" w:right="2551"/>
      </w:pPr>
      <w:bookmarkStart w:id="3" w:name="BillCited"/>
      <w:bookmarkEnd w:id="3"/>
      <w:r>
        <w:t>No. 16 of 2015</w:t>
      </w:r>
    </w:p>
    <w:p>
      <w:pPr>
        <w:pStyle w:val="LongTitle"/>
        <w:suppressLineNumbers/>
      </w:pPr>
      <w:r>
        <w:rPr>
          <w:snapToGrid w:val="0"/>
        </w:rPr>
        <w:t xml:space="preserve">An Act to amend the </w:t>
      </w:r>
      <w:r>
        <w:rPr>
          <w:i/>
          <w:snapToGrid w:val="0"/>
        </w:rPr>
        <w:t>Electricity Corporations Act 2005</w:t>
      </w:r>
      <w:r>
        <w:t>.</w:t>
      </w:r>
    </w:p>
    <w:p>
      <w:pPr>
        <w:pStyle w:val="AssentNote"/>
      </w:pPr>
      <w:r>
        <w:t>[Assented to 25 June 2015]</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spacing w:before="180"/>
      </w:pPr>
      <w:bookmarkStart w:id="4" w:name="_Toc410907067"/>
      <w:bookmarkStart w:id="5" w:name="_Toc423073482"/>
      <w:bookmarkStart w:id="6" w:name="_Toc423080433"/>
      <w:bookmarkStart w:id="7" w:name="_Toc423081198"/>
      <w:r>
        <w:rPr>
          <w:rStyle w:val="CharSectno"/>
        </w:rPr>
        <w:lastRenderedPageBreak/>
        <w:t>1</w:t>
      </w:r>
      <w:r>
        <w:t>.</w:t>
      </w:r>
      <w:r>
        <w:tab/>
      </w:r>
      <w:r>
        <w:rPr>
          <w:snapToGrid w:val="0"/>
        </w:rPr>
        <w:t>Short title</w:t>
      </w:r>
      <w:bookmarkEnd w:id="4"/>
      <w:bookmarkEnd w:id="5"/>
      <w:bookmarkEnd w:id="6"/>
      <w:bookmarkEnd w:id="7"/>
    </w:p>
    <w:p>
      <w:pPr>
        <w:pStyle w:val="Subsection"/>
      </w:pPr>
      <w:r>
        <w:tab/>
      </w:r>
      <w:r>
        <w:tab/>
        <w:t>This</w:t>
      </w:r>
      <w:r>
        <w:rPr>
          <w:snapToGrid w:val="0"/>
        </w:rPr>
        <w:t xml:space="preserve"> is the</w:t>
      </w:r>
      <w:r>
        <w:rPr>
          <w:i/>
          <w:snapToGrid w:val="0"/>
        </w:rPr>
        <w:t xml:space="preserve"> Electricity Corporations Amendment Act 2015</w:t>
      </w:r>
      <w:r>
        <w:rPr>
          <w:snapToGrid w:val="0"/>
        </w:rPr>
        <w:t>.</w:t>
      </w:r>
    </w:p>
    <w:p>
      <w:pPr>
        <w:pStyle w:val="Heading5"/>
        <w:spacing w:before="180"/>
        <w:rPr>
          <w:snapToGrid w:val="0"/>
        </w:rPr>
      </w:pPr>
      <w:bookmarkStart w:id="8" w:name="_Toc410907068"/>
      <w:bookmarkStart w:id="9" w:name="_Toc423073483"/>
      <w:bookmarkStart w:id="10" w:name="_Toc423080434"/>
      <w:bookmarkStart w:id="11" w:name="_Toc423081199"/>
      <w:r>
        <w:rPr>
          <w:rStyle w:val="CharSectno"/>
        </w:rPr>
        <w:t>2</w:t>
      </w:r>
      <w:r>
        <w:rPr>
          <w:snapToGrid w:val="0"/>
        </w:rPr>
        <w:t>.</w:t>
      </w:r>
      <w:r>
        <w:rPr>
          <w:snapToGrid w:val="0"/>
        </w:rPr>
        <w:tab/>
      </w:r>
      <w:r>
        <w:t>Commencement</w:t>
      </w:r>
      <w:bookmarkEnd w:id="8"/>
      <w:bookmarkEnd w:id="9"/>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spacing w:before="180"/>
        <w:rPr>
          <w:snapToGrid w:val="0"/>
        </w:rPr>
      </w:pPr>
      <w:bookmarkStart w:id="12" w:name="_Toc410907069"/>
      <w:bookmarkStart w:id="13" w:name="_Toc423073484"/>
      <w:bookmarkStart w:id="14" w:name="_Toc423080435"/>
      <w:bookmarkStart w:id="15" w:name="_Toc423081200"/>
      <w:r>
        <w:rPr>
          <w:rStyle w:val="CharSectno"/>
        </w:rPr>
        <w:t>3</w:t>
      </w:r>
      <w:r>
        <w:rPr>
          <w:snapToGrid w:val="0"/>
        </w:rPr>
        <w:t>.</w:t>
      </w:r>
      <w:r>
        <w:rPr>
          <w:snapToGrid w:val="0"/>
        </w:rPr>
        <w:tab/>
        <w:t>Act amended</w:t>
      </w:r>
      <w:bookmarkEnd w:id="12"/>
      <w:bookmarkEnd w:id="13"/>
      <w:bookmarkEnd w:id="14"/>
      <w:bookmarkEnd w:id="15"/>
    </w:p>
    <w:p>
      <w:pPr>
        <w:pStyle w:val="Subsection"/>
      </w:pPr>
      <w:r>
        <w:tab/>
      </w:r>
      <w:r>
        <w:tab/>
        <w:t xml:space="preserve">This Act amends the </w:t>
      </w:r>
      <w:r>
        <w:rPr>
          <w:i/>
        </w:rPr>
        <w:t>Electricity Corporations Act 2005</w:t>
      </w:r>
      <w:r>
        <w:t>.</w:t>
      </w:r>
    </w:p>
    <w:p>
      <w:pPr>
        <w:pStyle w:val="Heading5"/>
        <w:spacing w:before="180"/>
      </w:pPr>
      <w:bookmarkStart w:id="16" w:name="_Toc410907070"/>
      <w:bookmarkStart w:id="17" w:name="_Toc423073485"/>
      <w:bookmarkStart w:id="18" w:name="_Toc423080436"/>
      <w:bookmarkStart w:id="19" w:name="_Toc423081201"/>
      <w:r>
        <w:rPr>
          <w:rStyle w:val="CharSectno"/>
        </w:rPr>
        <w:t>4</w:t>
      </w:r>
      <w:r>
        <w:t>.</w:t>
      </w:r>
      <w:r>
        <w:tab/>
        <w:t>Section 108 amended</w:t>
      </w:r>
      <w:bookmarkEnd w:id="16"/>
      <w:bookmarkEnd w:id="17"/>
      <w:bookmarkEnd w:id="18"/>
      <w:bookmarkEnd w:id="19"/>
    </w:p>
    <w:p>
      <w:pPr>
        <w:pStyle w:val="Subsection"/>
      </w:pPr>
      <w:r>
        <w:tab/>
      </w:r>
      <w:r>
        <w:tab/>
        <w:t>In section 108(1)(d) delete “119(4) or 126(3) —” and insert:</w:t>
      </w:r>
    </w:p>
    <w:p>
      <w:pPr>
        <w:pStyle w:val="BlankOpen"/>
      </w:pPr>
    </w:p>
    <w:p>
      <w:pPr>
        <w:pStyle w:val="Subsection"/>
      </w:pPr>
      <w:r>
        <w:tab/>
      </w:r>
      <w:r>
        <w:tab/>
        <w:t xml:space="preserve">119(4), 126(3) or 127A(3) — </w:t>
      </w:r>
    </w:p>
    <w:p>
      <w:pPr>
        <w:pStyle w:val="BlankClose"/>
      </w:pPr>
    </w:p>
    <w:p>
      <w:pPr>
        <w:pStyle w:val="Heading5"/>
        <w:spacing w:before="180"/>
      </w:pPr>
      <w:bookmarkStart w:id="20" w:name="_Toc410907071"/>
      <w:bookmarkStart w:id="21" w:name="_Toc423073486"/>
      <w:bookmarkStart w:id="22" w:name="_Toc423080437"/>
      <w:bookmarkStart w:id="23" w:name="_Toc423081202"/>
      <w:r>
        <w:rPr>
          <w:rStyle w:val="CharSectno"/>
        </w:rPr>
        <w:t>5</w:t>
      </w:r>
      <w:r>
        <w:t>.</w:t>
      </w:r>
      <w:r>
        <w:tab/>
        <w:t>Section 120 amended</w:t>
      </w:r>
      <w:bookmarkEnd w:id="20"/>
      <w:bookmarkEnd w:id="21"/>
      <w:bookmarkEnd w:id="22"/>
      <w:bookmarkEnd w:id="23"/>
    </w:p>
    <w:p>
      <w:pPr>
        <w:pStyle w:val="Subsection"/>
      </w:pPr>
      <w:r>
        <w:tab/>
      </w:r>
      <w:r>
        <w:tab/>
        <w:t>In section 120(1)(b) delete “126(3)” insert:</w:t>
      </w:r>
    </w:p>
    <w:p>
      <w:pPr>
        <w:pStyle w:val="BlankOpen"/>
      </w:pPr>
    </w:p>
    <w:p>
      <w:pPr>
        <w:pStyle w:val="Subsection"/>
      </w:pPr>
      <w:r>
        <w:tab/>
      </w:r>
      <w:r>
        <w:tab/>
        <w:t>126(3), 127A(3)</w:t>
      </w:r>
    </w:p>
    <w:p>
      <w:pPr>
        <w:pStyle w:val="BlankClose"/>
      </w:pPr>
    </w:p>
    <w:p>
      <w:pPr>
        <w:pStyle w:val="Heading5"/>
        <w:spacing w:before="180"/>
      </w:pPr>
      <w:bookmarkStart w:id="24" w:name="_Toc410907072"/>
      <w:bookmarkStart w:id="25" w:name="_Toc423073487"/>
      <w:bookmarkStart w:id="26" w:name="_Toc423080438"/>
      <w:bookmarkStart w:id="27" w:name="_Toc423081203"/>
      <w:r>
        <w:rPr>
          <w:rStyle w:val="CharSectno"/>
        </w:rPr>
        <w:t>6</w:t>
      </w:r>
      <w:r>
        <w:t>.</w:t>
      </w:r>
      <w:r>
        <w:tab/>
        <w:t>Section 126 amended</w:t>
      </w:r>
      <w:bookmarkEnd w:id="24"/>
      <w:bookmarkEnd w:id="25"/>
      <w:bookmarkEnd w:id="26"/>
      <w:bookmarkEnd w:id="27"/>
    </w:p>
    <w:p>
      <w:pPr>
        <w:pStyle w:val="Subsection"/>
      </w:pPr>
      <w:r>
        <w:tab/>
        <w:t>(1)</w:t>
      </w:r>
      <w:r>
        <w:tab/>
        <w:t>Delete section 126(1).</w:t>
      </w:r>
    </w:p>
    <w:p>
      <w:pPr>
        <w:pStyle w:val="Subsection"/>
      </w:pPr>
      <w:r>
        <w:tab/>
        <w:t>(2)</w:t>
      </w:r>
      <w:r>
        <w:tab/>
        <w:t>In section 126(2) delete the passage that begins with “as to” and ends with “year.” and insert:</w:t>
      </w:r>
    </w:p>
    <w:p>
      <w:pPr>
        <w:pStyle w:val="BlankOpen"/>
      </w:pPr>
    </w:p>
    <w:p>
      <w:pPr>
        <w:pStyle w:val="zSubsection"/>
      </w:pPr>
      <w:r>
        <w:tab/>
      </w:r>
      <w:r>
        <w:tab/>
        <w:t xml:space="preserve">as to — </w:t>
      </w:r>
    </w:p>
    <w:p>
      <w:pPr>
        <w:pStyle w:val="zIndenta"/>
      </w:pPr>
      <w:r>
        <w:tab/>
        <w:t>(a)</w:t>
      </w:r>
      <w:r>
        <w:tab/>
        <w:t>whether the corporation should pay to the Treasurer a dividend for the year; and</w:t>
      </w:r>
    </w:p>
    <w:p>
      <w:pPr>
        <w:pStyle w:val="zIndenta"/>
      </w:pPr>
      <w:r>
        <w:tab/>
        <w:t>(b)</w:t>
      </w:r>
      <w:r>
        <w:tab/>
        <w:t>if so, the amount that should be paid.</w:t>
      </w:r>
    </w:p>
    <w:p>
      <w:pPr>
        <w:pStyle w:val="BlankClose"/>
      </w:pPr>
    </w:p>
    <w:p>
      <w:pPr>
        <w:pStyle w:val="Subsection"/>
      </w:pPr>
      <w:r>
        <w:tab/>
        <w:t>(3)</w:t>
      </w:r>
      <w:r>
        <w:tab/>
        <w:t>In section 126(3)(b) delete “that some other amount is to be paid.” and insert:</w:t>
      </w:r>
    </w:p>
    <w:p>
      <w:pPr>
        <w:pStyle w:val="BlankOpen"/>
      </w:pPr>
    </w:p>
    <w:p>
      <w:pPr>
        <w:pStyle w:val="Subsection"/>
      </w:pPr>
      <w:r>
        <w:tab/>
      </w:r>
      <w:r>
        <w:tab/>
        <w:t>the corporation to pay a dividend of an amount specified in the direction.</w:t>
      </w:r>
    </w:p>
    <w:p>
      <w:pPr>
        <w:pStyle w:val="BlankClose"/>
      </w:pPr>
    </w:p>
    <w:p>
      <w:pPr>
        <w:pStyle w:val="Heading5"/>
      </w:pPr>
      <w:bookmarkStart w:id="28" w:name="_Toc410907073"/>
      <w:bookmarkStart w:id="29" w:name="_Toc423073488"/>
      <w:bookmarkStart w:id="30" w:name="_Toc423080439"/>
      <w:bookmarkStart w:id="31" w:name="_Toc423081204"/>
      <w:r>
        <w:rPr>
          <w:rStyle w:val="CharSectno"/>
        </w:rPr>
        <w:t>7</w:t>
      </w:r>
      <w:r>
        <w:t>.</w:t>
      </w:r>
      <w:r>
        <w:tab/>
        <w:t>Sections 127A and 127B inserted</w:t>
      </w:r>
      <w:bookmarkEnd w:id="28"/>
      <w:bookmarkEnd w:id="29"/>
      <w:bookmarkEnd w:id="30"/>
      <w:bookmarkEnd w:id="31"/>
    </w:p>
    <w:p>
      <w:pPr>
        <w:pStyle w:val="Subsection"/>
      </w:pPr>
      <w:r>
        <w:tab/>
      </w:r>
      <w:r>
        <w:tab/>
        <w:t>At the end of Part 6 Division 2 insert:</w:t>
      </w:r>
    </w:p>
    <w:p>
      <w:pPr>
        <w:pStyle w:val="BlankOpen"/>
      </w:pPr>
    </w:p>
    <w:p>
      <w:pPr>
        <w:pStyle w:val="zHeading5"/>
      </w:pPr>
      <w:bookmarkStart w:id="32" w:name="_Toc410907074"/>
      <w:bookmarkStart w:id="33" w:name="_Toc423073489"/>
      <w:bookmarkStart w:id="34" w:name="_Toc423080440"/>
      <w:bookmarkStart w:id="35" w:name="_Toc423081205"/>
      <w:r>
        <w:t>127A.</w:t>
      </w:r>
      <w:r>
        <w:tab/>
        <w:t>Interim dividend</w:t>
      </w:r>
      <w:bookmarkEnd w:id="32"/>
      <w:bookmarkEnd w:id="33"/>
      <w:bookmarkEnd w:id="34"/>
      <w:bookmarkEnd w:id="35"/>
    </w:p>
    <w:p>
      <w:pPr>
        <w:pStyle w:val="z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zSubsection"/>
      </w:pPr>
      <w:r>
        <w:tab/>
        <w:t>(2)</w:t>
      </w:r>
      <w:r>
        <w:tab/>
        <w:t>As soon as is practicable after it receives a notice under subsection (1) the board is to make a recommendation to the Minister as to the amount of the interim dividend that the board recommends as appropriate.</w:t>
      </w:r>
    </w:p>
    <w:p>
      <w:pPr>
        <w:pStyle w:val="zSubsection"/>
      </w:pPr>
      <w:r>
        <w:tab/>
        <w:t>(3)</w:t>
      </w:r>
      <w:r>
        <w:tab/>
        <w:t xml:space="preserve">The Minister, with the Treasurer’s concurrence — </w:t>
      </w:r>
    </w:p>
    <w:p>
      <w:pPr>
        <w:pStyle w:val="zIndenta"/>
      </w:pPr>
      <w:r>
        <w:tab/>
        <w:t>(a)</w:t>
      </w:r>
      <w:r>
        <w:tab/>
        <w:t>may accept a recommendation under subsection (2); or</w:t>
      </w:r>
    </w:p>
    <w:p>
      <w:pPr>
        <w:pStyle w:val="zIndenta"/>
      </w:pPr>
      <w:r>
        <w:tab/>
        <w:t>(b)</w:t>
      </w:r>
      <w:r>
        <w:tab/>
        <w:t>after consultation with the board, is to direct the corporation to pay an interim dividend of an amount specified in the direction.</w:t>
      </w:r>
    </w:p>
    <w:p>
      <w:pPr>
        <w:pStyle w:val="zSubsection"/>
      </w:pPr>
      <w:r>
        <w:tab/>
        <w:t>(4)</w:t>
      </w:r>
      <w:r>
        <w:tab/>
        <w:t xml:space="preserve">The corporation is to pay the interim dividend — </w:t>
      </w:r>
    </w:p>
    <w:p>
      <w:pPr>
        <w:pStyle w:val="zIndenta"/>
      </w:pPr>
      <w:r>
        <w:tab/>
        <w:t>(a)</w:t>
      </w:r>
      <w:r>
        <w:tab/>
        <w:t>as soon as is practicable after the amount is fixed under subsection (3); and</w:t>
      </w:r>
    </w:p>
    <w:p>
      <w:pPr>
        <w:pStyle w:val="zIndenta"/>
      </w:pPr>
      <w:r>
        <w:tab/>
        <w:t>(b)</w:t>
      </w:r>
      <w:r>
        <w:tab/>
        <w:t xml:space="preserve">in any case not later than — </w:t>
      </w:r>
    </w:p>
    <w:p>
      <w:pPr>
        <w:pStyle w:val="zIndenti"/>
      </w:pPr>
      <w:r>
        <w:tab/>
        <w:t>(i)</w:t>
      </w:r>
      <w:r>
        <w:tab/>
        <w:t>the end of the financial year to which the dividend relates; or</w:t>
      </w:r>
    </w:p>
    <w:p>
      <w:pPr>
        <w:pStyle w:val="zIndenti"/>
      </w:pPr>
      <w:r>
        <w:tab/>
        <w:t>(ii)</w:t>
      </w:r>
      <w:r>
        <w:tab/>
        <w:t>such other time as may be agreed between the Treasurer and the board.</w:t>
      </w:r>
    </w:p>
    <w:p>
      <w:pPr>
        <w:pStyle w:val="zSubsection"/>
      </w:pPr>
      <w:r>
        <w:tab/>
        <w:t>(5)</w:t>
      </w:r>
      <w:r>
        <w:tab/>
        <w:t>The Minister must, within 14 days after a direction is given under subsection (3), cause a copy of it to be laid before each House of Parliament or dealt with in accordance with section 134.</w:t>
      </w:r>
    </w:p>
    <w:p>
      <w:pPr>
        <w:pStyle w:val="zHeading5"/>
      </w:pPr>
      <w:bookmarkStart w:id="36" w:name="_Toc410907075"/>
      <w:bookmarkStart w:id="37" w:name="_Toc423073490"/>
      <w:bookmarkStart w:id="38" w:name="_Toc423080441"/>
      <w:bookmarkStart w:id="39" w:name="_Toc423081206"/>
      <w:r>
        <w:t>127B.</w:t>
      </w:r>
      <w:r>
        <w:tab/>
        <w:t>Amount of dividend</w:t>
      </w:r>
      <w:bookmarkEnd w:id="36"/>
      <w:bookmarkEnd w:id="37"/>
      <w:bookmarkEnd w:id="38"/>
      <w:bookmarkEnd w:id="39"/>
    </w:p>
    <w:p>
      <w:pPr>
        <w:pStyle w:val="zSubsection"/>
      </w:pPr>
      <w:r>
        <w:tab/>
        <w:t>(1)</w:t>
      </w:r>
      <w:r>
        <w:tab/>
        <w:t xml:space="preserve">In this section — </w:t>
      </w:r>
    </w:p>
    <w:p>
      <w:pPr>
        <w:pStyle w:val="zDefstart"/>
      </w:pPr>
      <w:r>
        <w:tab/>
      </w:r>
      <w:r>
        <w:rPr>
          <w:rStyle w:val="CharDefText"/>
        </w:rPr>
        <w:t>solvent</w:t>
      </w:r>
      <w:r>
        <w:t xml:space="preserve"> has the meaning given in the </w:t>
      </w:r>
      <w:r>
        <w:rPr>
          <w:i/>
        </w:rPr>
        <w:t>Corporations Act 2001</w:t>
      </w:r>
      <w:r>
        <w:t xml:space="preserve"> (Commonwealth) section 95A(1).</w:t>
      </w:r>
    </w:p>
    <w:p>
      <w:pPr>
        <w:pStyle w:val="zSubsection"/>
      </w:pPr>
      <w:r>
        <w:tab/>
        <w:t>(2)</w:t>
      </w:r>
      <w:r>
        <w:tab/>
        <w:t xml:space="preserve">The board of a corporation must, before recommending the amount of a dividend under section 126(2) or 127A(2), be satisfied that — </w:t>
      </w:r>
    </w:p>
    <w:p>
      <w:pPr>
        <w:pStyle w:val="zIndenta"/>
      </w:pPr>
      <w:r>
        <w:tab/>
        <w:t>(a)</w:t>
      </w:r>
      <w:r>
        <w:tab/>
        <w:t>the corporation’s assets will, immediately before the dividend is paid, exceed its liabilities; and</w:t>
      </w:r>
    </w:p>
    <w:p>
      <w:pPr>
        <w:pStyle w:val="zIndenta"/>
      </w:pPr>
      <w:r>
        <w:tab/>
        <w:t>(b)</w:t>
      </w:r>
      <w:r>
        <w:tab/>
        <w:t>the excess is sufficient for the payment of the dividend; and</w:t>
      </w:r>
    </w:p>
    <w:p>
      <w:pPr>
        <w:pStyle w:val="zIndenta"/>
      </w:pPr>
      <w:r>
        <w:tab/>
        <w:t>(c)</w:t>
      </w:r>
      <w:r>
        <w:tab/>
        <w:t>the corporation will, immediately after the dividend is paid, be solvent.</w:t>
      </w:r>
    </w:p>
    <w:p>
      <w:pPr>
        <w:pStyle w:val="zSubsection"/>
      </w:pPr>
      <w:r>
        <w:tab/>
        <w:t>(3)</w:t>
      </w:r>
      <w:r>
        <w:tab/>
        <w:t xml:space="preserve">The Minister must, before giving a direction to a corporation under section 126(3) or 127A(3) as to the amount of a dividend, be satisfied that — </w:t>
      </w:r>
    </w:p>
    <w:p>
      <w:pPr>
        <w:pStyle w:val="zIndenta"/>
      </w:pPr>
      <w:r>
        <w:tab/>
        <w:t>(a)</w:t>
      </w:r>
      <w:r>
        <w:tab/>
        <w:t>the corporation’s assets will, immediately before the dividend is paid, exceed its liabilities; and</w:t>
      </w:r>
    </w:p>
    <w:p>
      <w:pPr>
        <w:pStyle w:val="zIndenta"/>
      </w:pPr>
      <w:r>
        <w:tab/>
        <w:t>(b)</w:t>
      </w:r>
      <w:r>
        <w:tab/>
        <w:t>the excess is sufficient for the payment of the dividend; and</w:t>
      </w:r>
    </w:p>
    <w:p>
      <w:pPr>
        <w:pStyle w:val="zIndenta"/>
      </w:pPr>
      <w:r>
        <w:tab/>
        <w:t>(c)</w:t>
      </w:r>
      <w:r>
        <w:tab/>
        <w:t>the corporation will, immediately after the dividend is paid, be solvent.</w:t>
      </w:r>
    </w:p>
    <w:p>
      <w:pPr>
        <w:pStyle w:val="zSubsection"/>
      </w:pPr>
      <w:r>
        <w:tab/>
        <w:t>(4)</w:t>
      </w:r>
      <w:r>
        <w:tab/>
        <w:t>For the purposes of subsection (3), it is sufficient for the Minister to be satisfied on the advice of the board of the corporation.</w:t>
      </w:r>
    </w:p>
    <w:p>
      <w:pPr>
        <w:pStyle w:val="BlankClose"/>
      </w:pPr>
    </w:p>
    <w:p>
      <w:pPr>
        <w:pStyle w:val="Heading5"/>
      </w:pPr>
      <w:bookmarkStart w:id="40" w:name="_Toc410907076"/>
      <w:bookmarkStart w:id="41" w:name="_Toc423073491"/>
      <w:bookmarkStart w:id="42" w:name="_Toc423080442"/>
      <w:bookmarkStart w:id="43" w:name="_Toc423081207"/>
      <w:r>
        <w:rPr>
          <w:rStyle w:val="CharSectno"/>
        </w:rPr>
        <w:t>8</w:t>
      </w:r>
      <w:r>
        <w:t>.</w:t>
      </w:r>
      <w:r>
        <w:tab/>
        <w:t>Section 134 amended</w:t>
      </w:r>
      <w:bookmarkEnd w:id="40"/>
      <w:bookmarkEnd w:id="41"/>
      <w:bookmarkEnd w:id="42"/>
      <w:bookmarkEnd w:id="43"/>
    </w:p>
    <w:p>
      <w:pPr>
        <w:pStyle w:val="Subsection"/>
      </w:pPr>
      <w:r>
        <w:tab/>
      </w:r>
      <w:r>
        <w:tab/>
        <w:t>In section 134(1)(a) after “126(4),” insert:</w:t>
      </w:r>
    </w:p>
    <w:p>
      <w:pPr>
        <w:pStyle w:val="BlankOpen"/>
      </w:pPr>
    </w:p>
    <w:p>
      <w:pPr>
        <w:pStyle w:val="Subsection"/>
      </w:pPr>
      <w:r>
        <w:tab/>
      </w:r>
      <w:r>
        <w:tab/>
        <w:t>127A(5),</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954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5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2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16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16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16 of 2015</w:t>
    </w:r>
    <w:r>
      <w:rPr>
        <w:rFonts w:cs="Arial"/>
        <w:sz w:val="20"/>
      </w:rPr>
      <w:fldChar w:fldCharType="end"/>
    </w:r>
    <w:r>
      <w:rPr>
        <w:rFonts w:cs="Arial"/>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16 of 2015</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5</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12130"/>
    <w:docVar w:name="WAFER_20150202111226" w:val="RemoveTocBookmarks,RemoveUnusedBookmarks,RemoveLanguageTags,UsedStyles,ResetPageSize"/>
    <w:docVar w:name="WAFER_20150202111226_GUID" w:val="6df401d8-01e9-4ee8-b2c0-bb429c8560f9"/>
    <w:docVar w:name="WAFER_20150219192812" w:val="ResetPageSize,UpdateArrangement,UpdateNTable"/>
    <w:docVar w:name="WAFER_20150219192812_GUID" w:val="9481f33f-65eb-45a4-9525-5414221f2a24"/>
    <w:docVar w:name="WAFER_20150626112130" w:val="ResetPageSize,UpdateArrangement,UpdateNTable"/>
    <w:docVar w:name="WAFER_20150626112130_GUID" w:val="c91a5017-9b9e-4c13-9430-336d97d5bb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D4F2-BFCA-444A-8444-440E748C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3956</Characters>
  <Application>Microsoft Office Word</Application>
  <DocSecurity>0</DocSecurity>
  <Lines>152</Lines>
  <Paragraphs>103</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4663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Amendment Act 2015 - 00-00-00</dc:title>
  <dc:subject>Bills and Amendments</dc:subject>
  <dc:creator>svcMRProcess</dc:creator>
  <cp:lastModifiedBy>svcMRProcess</cp:lastModifiedBy>
  <cp:revision>4</cp:revision>
  <cp:lastPrinted>2015-06-26T01:16:00Z</cp:lastPrinted>
  <dcterms:created xsi:type="dcterms:W3CDTF">2015-06-26T03:30:00Z</dcterms:created>
  <dcterms:modified xsi:type="dcterms:W3CDTF">2015-06-26T03:30:00Z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2376</vt:lpwstr>
  </property>
  <property fmtid="{D5CDD505-2E9C-101B-9397-08002B2CF9AE}" pid="3" name="ActNo">
    <vt:lpwstr>16 of 2015</vt:lpwstr>
  </property>
  <property fmtid="{D5CDD505-2E9C-101B-9397-08002B2CF9AE}" pid="4" name="DocumentType">
    <vt:lpwstr>Act</vt:lpwstr>
  </property>
  <property fmtid="{D5CDD505-2E9C-101B-9397-08002B2CF9AE}" pid="5" name="AsAtDate">
    <vt:lpwstr>25 Jun 2015</vt:lpwstr>
  </property>
  <property fmtid="{D5CDD505-2E9C-101B-9397-08002B2CF9AE}" pid="6" name="Suffix">
    <vt:lpwstr>00-00-00</vt:lpwstr>
  </property>
  <property fmtid="{D5CDD505-2E9C-101B-9397-08002B2CF9AE}" pid="7" name="ActNoFooter">
    <vt:lpwstr>No. 16 of 2015</vt:lpwstr>
  </property>
  <property fmtid="{D5CDD505-2E9C-101B-9397-08002B2CF9AE}" pid="8" name="CommencementDate">
    <vt:lpwstr>20150625</vt:lpwstr>
  </property>
</Properties>
</file>