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4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Loan Act 2015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Loan Act 2015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Short title</w:t>
      </w:r>
      <w:r>
        <w:tab/>
      </w:r>
      <w:r>
        <w:fldChar w:fldCharType="begin"/>
      </w:r>
      <w:r>
        <w:instrText xml:space="preserve"> PAGEREF _Toc423081386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_Toc423081387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Power to borrow for public purposes</w:t>
      </w:r>
      <w:r>
        <w:tab/>
      </w:r>
      <w:r>
        <w:fldChar w:fldCharType="begin"/>
      </w:r>
      <w:r>
        <w:instrText xml:space="preserve"> PAGEREF _Toc423081388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How sums borrowed are to be applied</w:t>
      </w:r>
      <w:r>
        <w:tab/>
      </w:r>
      <w:r>
        <w:fldChar w:fldCharType="begin"/>
      </w:r>
      <w:r>
        <w:instrText xml:space="preserve"> PAGEREF _Toc423081389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Principal, interest and expenses payable out of Consolidated Account</w:t>
      </w:r>
      <w:r>
        <w:tab/>
      </w:r>
      <w:r>
        <w:fldChar w:fldCharType="begin"/>
      </w:r>
      <w:r>
        <w:instrText xml:space="preserve"> PAGEREF _Toc423081390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uppressLineNumbers/>
        <w:spacing w:after="480"/>
        <w:outlineLvl w:val="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3455670</wp:posOffset>
            </wp:positionH>
            <wp:positionV relativeFrom="page">
              <wp:posOffset>827405</wp:posOffset>
            </wp:positionV>
            <wp:extent cx="648000" cy="414440"/>
            <wp:effectExtent l="0" t="0" r="0" b="508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41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>Western Australia</w:t>
      </w:r>
    </w:p>
    <w:p>
      <w:pPr>
        <w:pStyle w:val="NameofActReg"/>
        <w:suppressLineNumbers/>
      </w:pPr>
      <w:r>
        <w:t>Loan Act 2015</w:t>
      </w:r>
    </w:p>
    <w:p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3" w:name="BillCited"/>
      <w:bookmarkEnd w:id="3"/>
      <w:r>
        <w:t>No. 17 of 2015</w:t>
      </w:r>
    </w:p>
    <w:p>
      <w:pPr>
        <w:pStyle w:val="LongTitle"/>
        <w:suppressLineNumbers/>
      </w:pPr>
      <w:r>
        <w:t>An Act to authorise the borrowing of eight billion dollars for public purposes.</w:t>
      </w:r>
    </w:p>
    <w:p>
      <w:pPr>
        <w:pStyle w:val="AssentNote"/>
      </w:pPr>
      <w:r>
        <w:t>[Assented to 25 June 2015]</w:t>
      </w:r>
    </w:p>
    <w:p>
      <w:pPr>
        <w:pStyle w:val="Enactment"/>
      </w:pPr>
      <w:r>
        <w:t>The Parliament of Western Australia enacts as follows:</w:t>
      </w:r>
    </w:p>
    <w:p>
      <w:pPr>
        <w:sectPr>
          <w:headerReference w:type="even" r:id="rId23"/>
          <w:headerReference w:type="default" r:id="rId24"/>
          <w:footerReference w:type="even" r:id="rId25"/>
          <w:headerReference w:type="first" r:id="rId26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Heading5"/>
      </w:pPr>
      <w:bookmarkStart w:id="4" w:name="_Toc423073745"/>
      <w:bookmarkStart w:id="5" w:name="_Toc423080443"/>
      <w:bookmarkStart w:id="6" w:name="_Toc423081386"/>
      <w:r>
        <w:rPr>
          <w:rStyle w:val="CharSectno"/>
        </w:rPr>
        <w:lastRenderedPageBreak/>
        <w:t>1</w:t>
      </w:r>
      <w:r>
        <w:t>.</w:t>
      </w:r>
      <w:r>
        <w:tab/>
        <w:t>Short title</w:t>
      </w:r>
      <w:bookmarkEnd w:id="4"/>
      <w:bookmarkEnd w:id="5"/>
      <w:bookmarkEnd w:id="6"/>
    </w:p>
    <w:p>
      <w:pPr>
        <w:pStyle w:val="Subsection"/>
      </w:pPr>
      <w:r>
        <w:tab/>
      </w:r>
      <w:r>
        <w:tab/>
        <w:t>This is the</w:t>
      </w:r>
      <w:r>
        <w:rPr>
          <w:i/>
        </w:rPr>
        <w:t xml:space="preserve"> Loan Act 2015</w:t>
      </w:r>
      <w:r>
        <w:t>.</w:t>
      </w:r>
    </w:p>
    <w:p>
      <w:pPr>
        <w:pStyle w:val="Heading5"/>
      </w:pPr>
      <w:bookmarkStart w:id="7" w:name="_Toc423073746"/>
      <w:bookmarkStart w:id="8" w:name="_Toc423080444"/>
      <w:bookmarkStart w:id="9" w:name="_Toc423081387"/>
      <w:r>
        <w:rPr>
          <w:rStyle w:val="CharSectno"/>
        </w:rPr>
        <w:t>2</w:t>
      </w:r>
      <w:r>
        <w:t>.</w:t>
      </w:r>
      <w:r>
        <w:tab/>
        <w:t>Commencement</w:t>
      </w:r>
      <w:bookmarkEnd w:id="7"/>
      <w:bookmarkEnd w:id="8"/>
      <w:bookmarkEnd w:id="9"/>
    </w:p>
    <w:p>
      <w:pPr>
        <w:pStyle w:val="Subsection"/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 on the day on which it receives the Royal Assent.</w:t>
      </w:r>
    </w:p>
    <w:p>
      <w:pPr>
        <w:pStyle w:val="Heading5"/>
        <w:rPr>
          <w:snapToGrid w:val="0"/>
        </w:rPr>
      </w:pPr>
      <w:bookmarkStart w:id="10" w:name="_Toc423073747"/>
      <w:bookmarkStart w:id="11" w:name="_Toc423080445"/>
      <w:bookmarkStart w:id="12" w:name="_Toc423081388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Power to borrow for public purposes</w:t>
      </w:r>
      <w:bookmarkEnd w:id="10"/>
      <w:bookmarkEnd w:id="11"/>
      <w:bookmarkEnd w:id="12"/>
    </w:p>
    <w:p>
      <w:pPr>
        <w:pStyle w:val="Subsection"/>
      </w:pPr>
      <w:r>
        <w:tab/>
      </w:r>
      <w:r>
        <w:tab/>
        <w:t>The Treasurer may borrow for public purposes, from the Western Australian Treasury Corporation or elsewhere, sums of money not exceeding $8 000 000 000 in aggregate.</w:t>
      </w:r>
    </w:p>
    <w:p>
      <w:pPr>
        <w:pStyle w:val="Heading5"/>
      </w:pPr>
      <w:bookmarkStart w:id="13" w:name="_Toc423073748"/>
      <w:bookmarkStart w:id="14" w:name="_Toc423080446"/>
      <w:bookmarkStart w:id="15" w:name="_Toc423081389"/>
      <w:r>
        <w:rPr>
          <w:rStyle w:val="CharSectno"/>
        </w:rPr>
        <w:t>4</w:t>
      </w:r>
      <w:r>
        <w:t>.</w:t>
      </w:r>
      <w:r>
        <w:tab/>
        <w:t>How sums borrowed are to be applied</w:t>
      </w:r>
      <w:bookmarkEnd w:id="13"/>
      <w:bookmarkEnd w:id="14"/>
      <w:bookmarkEnd w:id="15"/>
    </w:p>
    <w:p>
      <w:pPr>
        <w:pStyle w:val="Subsection"/>
      </w:pPr>
      <w:r>
        <w:tab/>
      </w:r>
      <w:r>
        <w:tab/>
        <w:t>All sums borrowed under the authority of this Act are to be paid to the Treasurer and credited to the Consolidated Account.</w:t>
      </w:r>
    </w:p>
    <w:p>
      <w:pPr>
        <w:pStyle w:val="Heading5"/>
      </w:pPr>
      <w:bookmarkStart w:id="16" w:name="_Toc423073749"/>
      <w:bookmarkStart w:id="17" w:name="_Toc423080447"/>
      <w:bookmarkStart w:id="18" w:name="_Toc423081390"/>
      <w:r>
        <w:rPr>
          <w:rStyle w:val="CharSectno"/>
        </w:rPr>
        <w:t>5</w:t>
      </w:r>
      <w:r>
        <w:t>.</w:t>
      </w:r>
      <w:r>
        <w:tab/>
        <w:t>Principal, interest and expenses payable out of Consolidated Account</w:t>
      </w:r>
      <w:bookmarkEnd w:id="16"/>
      <w:bookmarkEnd w:id="17"/>
      <w:bookmarkEnd w:id="18"/>
    </w:p>
    <w:p>
      <w:pPr>
        <w:pStyle w:val="Subsection"/>
      </w:pPr>
      <w:r>
        <w:tab/>
      </w:r>
      <w:r>
        <w:tab/>
        <w:t>The principal, interest and other expenses of borrowings under the authority of this Act are payable out of the Consolidated Account and that Account is appropriated accordingly by this section.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ubsection"/>
        <w:sectPr>
          <w:headerReference w:type="even" r:id="rId28"/>
          <w:headerReference w:type="default" r:id="rId29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129540" cy="2451100"/>
                <wp:effectExtent l="0" t="0" r="1905" b="6350"/>
                <wp:wrapNone/>
                <wp:docPr id="3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" cy="245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Bdr>
                                <w:top w:val="double" w:sz="4" w:space="0" w:color="auto"/>
                              </w:pBdr>
                              <w:ind w:left="2381" w:right="2381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JOHN A. STRIJK,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0;width:10.2pt;height:193pt;z-index:251664384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" stroked="f" strokeweight=".5pt">
                <v:textbox>
                  <w:txbxContent>
                    <w:p w:rsidR="0040794B" w:rsidRDefault="0040794B">
                      <w:pPr>
                        <w:pBdr>
                          <w:top w:val="double" w:sz="4" w:space="0" w:color="auto"/>
                        </w:pBdr>
                        <w:ind w:left="2381" w:right="2381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 xml:space="preserve">By Authority: JOHN A. </w:t>
                      </w:r>
                      <w:proofErr w:type="spellStart"/>
                      <w:r>
                        <w:rPr>
                          <w:rFonts w:ascii="Arial" w:hAnsi="Arial" w:cs="Arial"/>
                          <w:sz w:val="12"/>
                        </w:rPr>
                        <w:t>STRIJK</w:t>
                      </w:r>
                      <w:proofErr w:type="spellEnd"/>
                      <w:r>
                        <w:rPr>
                          <w:rFonts w:ascii="Arial" w:hAnsi="Arial" w:cs="Arial"/>
                          <w:sz w:val="12"/>
                        </w:rPr>
                        <w:t>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endnotePr>
        <w:numFmt w:val="decimal"/>
      </w:endnotePr>
      <w:type w:val="continuous"/>
      <w:pgSz w:w="11907" w:h="16840" w:code="9"/>
      <w:pgMar w:top="567" w:right="2410" w:bottom="567" w:left="241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17 of 2015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25 Jun 2015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25 Jun 2015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17 of 2015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25 Jun 2015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17 of 2015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17 of 2015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25 Jun 2015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25 Jun 2015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17 of 2015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25 Jun 2015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17 of 2015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  <w:p>
    <w:pPr>
      <w:pStyle w:val="Footer"/>
      <w:pBdr>
        <w:top w:val="single" w:sz="4" w:space="1" w:color="auto"/>
      </w:pBdr>
      <w:tabs>
        <w:tab w:val="left" w:pos="1417"/>
      </w:tabs>
      <w:rPr>
        <w:rFonts w:cs="Arial"/>
        <w:sz w:val="20"/>
      </w:rPr>
    </w:pPr>
    <w:r>
      <w:rPr>
        <w:rFonts w:cs="Arial"/>
        <w:sz w:val="20"/>
      </w:rPr>
      <w:t xml:space="preserve">page </w:t>
    </w:r>
    <w:r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 PAGE  </w:instrText>
    </w:r>
    <w:r>
      <w:rPr>
        <w:rFonts w:cs="Arial"/>
        <w:sz w:val="20"/>
      </w:rPr>
      <w:fldChar w:fldCharType="separate"/>
    </w:r>
    <w:r>
      <w:rPr>
        <w:rFonts w:cs="Arial"/>
        <w:sz w:val="20"/>
      </w:rPr>
      <w:t>2</w:t>
    </w:r>
    <w:r>
      <w:rPr>
        <w:rFonts w:cs="Arial"/>
        <w:sz w:val="20"/>
      </w:rPr>
      <w:fldChar w:fldCharType="end"/>
    </w:r>
    <w:r>
      <w:rPr>
        <w:rFonts w:cs="Arial"/>
        <w:sz w:val="20"/>
      </w:rPr>
      <w:tab/>
    </w:r>
    <w:r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 DOCPROPERTY ActNoFooter \* MERGEFORMAT </w:instrText>
    </w:r>
    <w:r>
      <w:rPr>
        <w:rFonts w:cs="Arial"/>
        <w:sz w:val="20"/>
      </w:rPr>
      <w:fldChar w:fldCharType="separate"/>
    </w:r>
    <w:r>
      <w:rPr>
        <w:rFonts w:cs="Arial"/>
        <w:sz w:val="20"/>
      </w:rPr>
      <w:t>No. 17 of 2015</w:t>
    </w:r>
    <w:r>
      <w:rPr>
        <w:rFonts w:cs="Arial"/>
        <w:sz w:val="20"/>
      </w:rPr>
      <w:fldChar w:fldCharType="end"/>
    </w:r>
    <w:r>
      <w:rPr>
        <w:rFonts w:cs="Arial"/>
        <w:sz w:val="20"/>
      </w:rPr>
      <w:tab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Loan Act 2015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Loan Act 2015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19" w:name="Compilation"/>
    <w:bookmarkEnd w:id="19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0" w:name="Coversheet"/>
    <w:bookmarkEnd w:id="2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Loan Act 2015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Loan Act 2015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Loan Act 2015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Loan Act 2015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38D7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44F8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C2480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A4ED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29B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9ED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0D5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EB1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8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42CE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7422AA1"/>
    <w:multiLevelType w:val="multilevel"/>
    <w:tmpl w:val="4F10B00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F3C3412"/>
    <w:multiLevelType w:val="multilevel"/>
    <w:tmpl w:val="CC00AE5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C3A0729"/>
    <w:multiLevelType w:val="multilevel"/>
    <w:tmpl w:val="C868F7A4"/>
    <w:name w:val="TableNumber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2FF52EB"/>
    <w:multiLevelType w:val="multilevel"/>
    <w:tmpl w:val="85E88ED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0BF5862"/>
    <w:multiLevelType w:val="multilevel"/>
    <w:tmpl w:val="78A0113E"/>
    <w:name w:val="headings"/>
    <w:lvl w:ilvl="0">
      <w:start w:val="1"/>
      <w:numFmt w:val="decimal"/>
      <w:suff w:val="nothing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0" w:firstLine="0"/>
      </w:pPr>
    </w:lvl>
    <w:lvl w:ilvl="5">
      <w:start w:val="1"/>
      <w:numFmt w:val="none"/>
      <w:lvlText w:val="()"/>
      <w:lvlJc w:val="right"/>
      <w:pPr>
        <w:tabs>
          <w:tab w:val="num" w:pos="1080"/>
        </w:tabs>
        <w:ind w:left="0" w:firstLine="72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520" w:hanging="360"/>
      </w:pPr>
    </w:lvl>
    <w:lvl w:ilvl="7">
      <w:start w:val="1"/>
      <w:numFmt w:val="lowerRoman"/>
      <w:lvlText w:val="(%8)"/>
      <w:lvlJc w:val="right"/>
      <w:pPr>
        <w:tabs>
          <w:tab w:val="num" w:pos="1800"/>
        </w:tabs>
        <w:ind w:left="1800" w:hanging="288"/>
      </w:pPr>
    </w:lvl>
    <w:lvl w:ilvl="8">
      <w:start w:val="1"/>
      <w:numFmt w:val="upperRoman"/>
      <w:lvlText w:val="(%9)"/>
      <w:lvlJc w:val="right"/>
      <w:pPr>
        <w:tabs>
          <w:tab w:val="num" w:pos="2160"/>
        </w:tabs>
        <w:ind w:left="2160" w:hanging="288"/>
      </w:pPr>
    </w:lvl>
  </w:abstractNum>
  <w:abstractNum w:abstractNumId="21">
    <w:nsid w:val="30E2035F"/>
    <w:multiLevelType w:val="singleLevel"/>
    <w:tmpl w:val="F356D5B2"/>
    <w:name w:val="ScheduleNumberedItems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2">
    <w:nsid w:val="3C2808C0"/>
    <w:multiLevelType w:val="singleLevel"/>
    <w:tmpl w:val="B1B4B30E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3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8">
    <w:nsid w:val="65D140E9"/>
    <w:multiLevelType w:val="multilevel"/>
    <w:tmpl w:val="DBF4D434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CD156B2"/>
    <w:multiLevelType w:val="multilevel"/>
    <w:tmpl w:val="F54273BE"/>
    <w:name w:val="mainbill"/>
    <w:lvl w:ilvl="0">
      <w:start w:val="1"/>
      <w:numFmt w:val="decimal"/>
      <w:suff w:val="nothing"/>
      <w:lvlText w:val="Chapter %1 — "/>
      <w:lvlJc w:val="left"/>
      <w:pPr>
        <w:ind w:left="0" w:firstLine="0"/>
      </w:pPr>
    </w:lvl>
    <w:lvl w:ilvl="1">
      <w:start w:val="1"/>
      <w:numFmt w:val="decimal"/>
      <w:suff w:val="nothing"/>
      <w:lvlText w:val="Part %2 — "/>
      <w:lvlJc w:val="left"/>
      <w:pPr>
        <w:ind w:left="0" w:firstLine="0"/>
      </w:pPr>
    </w:lvl>
    <w:lvl w:ilvl="2">
      <w:start w:val="1"/>
      <w:numFmt w:val="decimal"/>
      <w:suff w:val="nothing"/>
      <w:lvlText w:val="Division %3 — "/>
      <w:lvlJc w:val="left"/>
      <w:pPr>
        <w:ind w:left="0" w:firstLine="0"/>
      </w:pPr>
    </w:lvl>
    <w:lvl w:ilvl="3">
      <w:start w:val="1"/>
      <w:numFmt w:val="decimal"/>
      <w:suff w:val="nothing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lvlText w:val="(%6)"/>
      <w:lvlJc w:val="right"/>
      <w:pPr>
        <w:tabs>
          <w:tab w:val="num" w:pos="893"/>
        </w:tabs>
        <w:ind w:left="893" w:hanging="173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lowerRoman"/>
      <w:lvlText w:val="(%8)"/>
      <w:lvlJc w:val="right"/>
      <w:pPr>
        <w:tabs>
          <w:tab w:val="num" w:pos="1800"/>
        </w:tabs>
        <w:ind w:left="1800" w:hanging="288"/>
      </w:pPr>
    </w:lvl>
    <w:lvl w:ilvl="8">
      <w:start w:val="1"/>
      <w:numFmt w:val="upperRoman"/>
      <w:lvlText w:val="(%9)"/>
      <w:lvlJc w:val="right"/>
      <w:pPr>
        <w:tabs>
          <w:tab w:val="num" w:pos="2160"/>
        </w:tabs>
        <w:ind w:left="2160" w:hanging="288"/>
      </w:pPr>
    </w:lvl>
  </w:abstractNum>
  <w:abstractNum w:abstractNumId="3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9"/>
  </w:num>
  <w:num w:numId="3">
    <w:abstractNumId w:val="13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7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0626112605"/>
    <w:docVar w:name="WAFER_20150206084435" w:val="ResetPageSize"/>
    <w:docVar w:name="WAFER_20150206084435_GUID" w:val="bd672a8f-e74f-4265-8b59-571b146e34b9"/>
    <w:docVar w:name="WAFER_20150415143517" w:val="RemoveTocBookmarks,RemoveUnusedBookmarks,RemoveLanguageTags,UsedStyles,ResetPageSize"/>
    <w:docVar w:name="WAFER_20150415143517_GUID" w:val="5f6ba992-1f36-462c-bc06-dd5f045a52c4"/>
    <w:docVar w:name="WAFER_20150626112605" w:val="ResetPageSize,UpdateArrangement,UpdateNTable"/>
    <w:docVar w:name="WAFER_20150626112605_GUID" w:val="1937b90a-bb5a-4d17-9bbb-e811d53934c6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rPr>
      <w:rFonts w:ascii="Arial" w:hAnsi="Arial"/>
      <w:noProof/>
    </w:rPr>
  </w:style>
  <w:style w:type="paragraph" w:styleId="Header">
    <w:name w:val="header"/>
    <w:link w:val="HeaderChar"/>
    <w:rPr>
      <w:rFonts w:ascii="Arial" w:hAnsi="Arial"/>
      <w:noProof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4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ListBullet2">
    <w:name w:val="List Bullet 2"/>
    <w:basedOn w:val="Normal"/>
    <w:autoRedefine/>
    <w:pPr>
      <w:numPr>
        <w:numId w:val="6"/>
      </w:numPr>
    </w:pPr>
  </w:style>
  <w:style w:type="paragraph" w:styleId="ListBullet3">
    <w:name w:val="List Bullet 3"/>
    <w:basedOn w:val="Normal"/>
    <w:autoRedefine/>
    <w:pPr>
      <w:numPr>
        <w:numId w:val="7"/>
      </w:numPr>
    </w:pPr>
  </w:style>
  <w:style w:type="paragraph" w:styleId="ListBullet4">
    <w:name w:val="List Bullet 4"/>
    <w:basedOn w:val="Normal"/>
    <w:autoRedefine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9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11"/>
      </w:numPr>
    </w:pPr>
  </w:style>
  <w:style w:type="paragraph" w:styleId="ListNumber3">
    <w:name w:val="List Number 3"/>
    <w:basedOn w:val="Normal"/>
    <w:pPr>
      <w:numPr>
        <w:numId w:val="12"/>
      </w:numPr>
    </w:pPr>
  </w:style>
  <w:style w:type="paragraph" w:styleId="ListNumber4">
    <w:name w:val="List Number 4"/>
    <w:basedOn w:val="Normal"/>
    <w:pPr>
      <w:numPr>
        <w:numId w:val="13"/>
      </w:numPr>
    </w:pPr>
  </w:style>
  <w:style w:type="paragraph" w:styleId="ListNumber5">
    <w:name w:val="List Number 5"/>
    <w:basedOn w:val="Normal"/>
    <w:pPr>
      <w:numPr>
        <w:numId w:val="1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basedOn w:val="Table"/>
    <w:pPr>
      <w:spacing w:before="40" w:line="240" w:lineRule="auto"/>
    </w:pPr>
    <w:rPr>
      <w:sz w:val="19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5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rPr>
      <w:rFonts w:ascii="Times New Roman" w:hAnsi="Times New Roman"/>
      <w:b/>
      <w:noProof/>
      <w:sz w:val="28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rFonts w:ascii="Times New Roman" w:hAnsi="Times New Roman"/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-PAGE-">
    <w:name w:val="- PAGE -"/>
    <w:rPr>
      <w:rFonts w:ascii="Times New Roman" w:hAnsi="Times New Roman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</w:style>
  <w:style w:type="character" w:customStyle="1" w:styleId="HeaderChar">
    <w:name w:val="Header Char"/>
    <w:basedOn w:val="DefaultParagraphFont"/>
    <w:link w:val="Header"/>
    <w:rPr>
      <w:rFonts w:ascii="Arial" w:hAnsi="Arial"/>
      <w:noProof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rPr>
      <w:rFonts w:ascii="Arial" w:hAnsi="Arial"/>
      <w:noProof/>
    </w:rPr>
  </w:style>
  <w:style w:type="paragraph" w:styleId="Header">
    <w:name w:val="header"/>
    <w:link w:val="HeaderChar"/>
    <w:rPr>
      <w:rFonts w:ascii="Arial" w:hAnsi="Arial"/>
      <w:noProof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4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ListBullet2">
    <w:name w:val="List Bullet 2"/>
    <w:basedOn w:val="Normal"/>
    <w:autoRedefine/>
    <w:pPr>
      <w:numPr>
        <w:numId w:val="6"/>
      </w:numPr>
    </w:pPr>
  </w:style>
  <w:style w:type="paragraph" w:styleId="ListBullet3">
    <w:name w:val="List Bullet 3"/>
    <w:basedOn w:val="Normal"/>
    <w:autoRedefine/>
    <w:pPr>
      <w:numPr>
        <w:numId w:val="7"/>
      </w:numPr>
    </w:pPr>
  </w:style>
  <w:style w:type="paragraph" w:styleId="ListBullet4">
    <w:name w:val="List Bullet 4"/>
    <w:basedOn w:val="Normal"/>
    <w:autoRedefine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9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11"/>
      </w:numPr>
    </w:pPr>
  </w:style>
  <w:style w:type="paragraph" w:styleId="ListNumber3">
    <w:name w:val="List Number 3"/>
    <w:basedOn w:val="Normal"/>
    <w:pPr>
      <w:numPr>
        <w:numId w:val="12"/>
      </w:numPr>
    </w:pPr>
  </w:style>
  <w:style w:type="paragraph" w:styleId="ListNumber4">
    <w:name w:val="List Number 4"/>
    <w:basedOn w:val="Normal"/>
    <w:pPr>
      <w:numPr>
        <w:numId w:val="13"/>
      </w:numPr>
    </w:pPr>
  </w:style>
  <w:style w:type="paragraph" w:styleId="ListNumber5">
    <w:name w:val="List Number 5"/>
    <w:basedOn w:val="Normal"/>
    <w:pPr>
      <w:numPr>
        <w:numId w:val="1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basedOn w:val="Table"/>
    <w:pPr>
      <w:spacing w:before="40" w:line="240" w:lineRule="auto"/>
    </w:pPr>
    <w:rPr>
      <w:sz w:val="19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5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rPr>
      <w:rFonts w:ascii="Times New Roman" w:hAnsi="Times New Roman"/>
      <w:b/>
      <w:noProof/>
      <w:sz w:val="28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rFonts w:ascii="Times New Roman" w:hAnsi="Times New Roman"/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-PAGE-">
    <w:name w:val="- PAGE -"/>
    <w:rPr>
      <w:rFonts w:ascii="Times New Roman" w:hAnsi="Times New Roman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</w:style>
  <w:style w:type="character" w:customStyle="1" w:styleId="HeaderChar">
    <w:name w:val="Header Char"/>
    <w:basedOn w:val="DefaultParagraphFont"/>
    <w:link w:val="Header"/>
    <w:rPr>
      <w:rFonts w:ascii="Arial" w:hAnsi="Arial"/>
      <w:noProof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header" Target="header14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33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footer" Target="footer8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header" Target="header10.xm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2.tiff"/><Relationship Id="rId27" Type="http://schemas.openxmlformats.org/officeDocument/2006/relationships/image" Target="media/image3.png"/><Relationship Id="rId30" Type="http://schemas.openxmlformats.org/officeDocument/2006/relationships/header" Target="header12.xml"/><Relationship Id="rId35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6C92B-73EA-41D8-893B-E4139C93A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304</Words>
  <Characters>1500</Characters>
  <Application>Microsoft Office Word</Application>
  <DocSecurity>0</DocSecurity>
  <Lines>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Company>Parliamentary Counsel's Office</Company>
  <LinksUpToDate>false</LinksUpToDate>
  <CharactersWithSpaces>1759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Loan Act 2015 - 00-00-00</dc:title>
  <dc:subject>Bills and Amendments</dc:subject>
  <dc:creator>Allan Mathieson</dc:creator>
  <cp:lastModifiedBy>svcMRProcess</cp:lastModifiedBy>
  <cp:revision>4</cp:revision>
  <cp:lastPrinted>2015-06-26T01:20:00Z</cp:lastPrinted>
  <dcterms:created xsi:type="dcterms:W3CDTF">2015-06-26T03:30:00Z</dcterms:created>
  <dcterms:modified xsi:type="dcterms:W3CDTF">2015-06-26T03:30:00Z</dcterms:modified>
  <cp:category>Bill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lID">
    <vt:lpwstr>2399</vt:lpwstr>
  </property>
  <property fmtid="{D5CDD505-2E9C-101B-9397-08002B2CF9AE}" pid="3" name="ShortTitle">
    <vt:lpwstr>Loan Act 2015</vt:lpwstr>
  </property>
  <property fmtid="{D5CDD505-2E9C-101B-9397-08002B2CF9AE}" pid="4" name="Citation">
    <vt:lpwstr>Loan Act 2015</vt:lpwstr>
  </property>
  <property fmtid="{D5CDD505-2E9C-101B-9397-08002B2CF9AE}" pid="5" name="PrincipalAct">
    <vt:lpwstr/>
  </property>
  <property fmtid="{D5CDD505-2E9C-101B-9397-08002B2CF9AE}" pid="6" name="PrivateMember">
    <vt:lpwstr/>
  </property>
  <property fmtid="{D5CDD505-2E9C-101B-9397-08002B2CF9AE}" pid="7" name="SLPBillNumber">
    <vt:lpwstr>131—1</vt:lpwstr>
  </property>
  <property fmtid="{D5CDD505-2E9C-101B-9397-08002B2CF9AE}" pid="8" name="ActNo">
    <vt:lpwstr>17 of 2015</vt:lpwstr>
  </property>
  <property fmtid="{D5CDD505-2E9C-101B-9397-08002B2CF9AE}" pid="9" name="KitandImprint">
    <vt:lpwstr>  </vt:lpwstr>
  </property>
  <property fmtid="{D5CDD505-2E9C-101B-9397-08002B2CF9AE}" pid="10" name="Assent Date">
    <vt:lpwstr>25 June 2015</vt:lpwstr>
  </property>
  <property fmtid="{D5CDD505-2E9C-101B-9397-08002B2CF9AE}" pid="11" name="PerfectBound">
    <vt:lpwstr>NO</vt:lpwstr>
  </property>
  <property fmtid="{D5CDD505-2E9C-101B-9397-08002B2CF9AE}" pid="12" name="_AdHocReviewCycleID">
    <vt:i4>198546809</vt:i4>
  </property>
  <property fmtid="{D5CDD505-2E9C-101B-9397-08002B2CF9AE}" pid="13" name="_NewReviewCycle">
    <vt:lpwstr/>
  </property>
  <property fmtid="{D5CDD505-2E9C-101B-9397-08002B2CF9AE}" pid="14" name="_EmailSubject">
    <vt:lpwstr>Acts No. 16 and 17 of 2015</vt:lpwstr>
  </property>
  <property fmtid="{D5CDD505-2E9C-101B-9397-08002B2CF9AE}" pid="15" name="_AuthorEmail">
    <vt:lpwstr>Brian.Cunnane@dpc.wa.gov.au</vt:lpwstr>
  </property>
  <property fmtid="{D5CDD505-2E9C-101B-9397-08002B2CF9AE}" pid="16" name="_AuthorEmailDisplayName">
    <vt:lpwstr>Cunnane, Brian</vt:lpwstr>
  </property>
  <property fmtid="{D5CDD505-2E9C-101B-9397-08002B2CF9AE}" pid="17" name="_ReviewingToolsShownOnce">
    <vt:lpwstr/>
  </property>
  <property fmtid="{D5CDD505-2E9C-101B-9397-08002B2CF9AE}" pid="18" name="DocumentType">
    <vt:lpwstr>Act</vt:lpwstr>
  </property>
  <property fmtid="{D5CDD505-2E9C-101B-9397-08002B2CF9AE}" pid="19" name="AsAtDate">
    <vt:lpwstr>25 Jun 2015</vt:lpwstr>
  </property>
  <property fmtid="{D5CDD505-2E9C-101B-9397-08002B2CF9AE}" pid="20" name="Suffix">
    <vt:lpwstr>00-00-00</vt:lpwstr>
  </property>
  <property fmtid="{D5CDD505-2E9C-101B-9397-08002B2CF9AE}" pid="21" name="ActNoFooter">
    <vt:lpwstr>No. 17 of 2015</vt:lpwstr>
  </property>
  <property fmtid="{D5CDD505-2E9C-101B-9397-08002B2CF9AE}" pid="22" name="CommencementDate">
    <vt:lpwstr>20150625</vt:lpwstr>
  </property>
</Properties>
</file>