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_Toc423442502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_Toc423442503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_Toc423442504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_Toc423442505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_Toc423442506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_Toc423442507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_Toc423442508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_Toc423442509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_Toc423442510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_Toc423442511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_Toc423442512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_Toc423442514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_Toc423442515 \h </w:instrText>
      </w:r>
      <w:r>
        <w:fldChar w:fldCharType="separate"/>
      </w:r>
      <w:r>
        <w:t>6</w:t>
      </w:r>
      <w:r>
        <w:fldChar w:fldCharType="end"/>
      </w:r>
    </w:p>
    <w:p>
      <w:pPr>
        <w:pStyle w:val="TOC8"/>
        <w:rPr>
          <w:rFonts w:asciiTheme="minorHAnsi" w:eastAsiaTheme="minorEastAsia" w:hAnsiTheme="minorHAnsi" w:cstheme="minorBidi"/>
          <w:szCs w:val="22"/>
        </w:rPr>
      </w:pPr>
      <w:r>
        <w:t>3.</w:t>
      </w:r>
      <w:r>
        <w:tab/>
        <w:t>Tariff M2 (general supply — high voltage tariff)</w:t>
      </w:r>
      <w:r>
        <w:tab/>
      </w:r>
      <w:r>
        <w:fldChar w:fldCharType="begin"/>
      </w:r>
      <w:r>
        <w:instrText xml:space="preserve"> PAGEREF _Toc423442516 \h </w:instrText>
      </w:r>
      <w:r>
        <w:fldChar w:fldCharType="separate"/>
      </w:r>
      <w:r>
        <w:t>7</w:t>
      </w:r>
      <w:r>
        <w:fldChar w:fldCharType="end"/>
      </w:r>
    </w:p>
    <w:p>
      <w:pPr>
        <w:pStyle w:val="TOC8"/>
        <w:rPr>
          <w:rFonts w:asciiTheme="minorHAnsi" w:eastAsiaTheme="minorEastAsia" w:hAnsiTheme="minorHAnsi" w:cstheme="minorBidi"/>
          <w:szCs w:val="22"/>
        </w:rPr>
      </w:pPr>
      <w:r>
        <w:t>4.</w:t>
      </w:r>
      <w:r>
        <w:tab/>
        <w:t>Tariff A2 (residential tariff)</w:t>
      </w:r>
      <w:r>
        <w:tab/>
      </w:r>
      <w:r>
        <w:fldChar w:fldCharType="begin"/>
      </w:r>
      <w:r>
        <w:instrText xml:space="preserve"> PAGEREF _Toc423442517 \h </w:instrText>
      </w:r>
      <w:r>
        <w:fldChar w:fldCharType="separate"/>
      </w:r>
      <w:r>
        <w:t>7</w:t>
      </w:r>
      <w:r>
        <w:fldChar w:fldCharType="end"/>
      </w:r>
    </w:p>
    <w:p>
      <w:pPr>
        <w:pStyle w:val="TOC8"/>
        <w:rPr>
          <w:rFonts w:asciiTheme="minorHAnsi" w:eastAsiaTheme="minorEastAsia" w:hAnsiTheme="minorHAnsi" w:cstheme="minorBidi"/>
          <w:szCs w:val="22"/>
        </w:rPr>
      </w:pPr>
      <w:r>
        <w:t>5.</w:t>
      </w:r>
      <w:r>
        <w:tab/>
        <w:t>Tariff C2 (special community service tariff)</w:t>
      </w:r>
      <w:r>
        <w:tab/>
      </w:r>
      <w:r>
        <w:fldChar w:fldCharType="begin"/>
      </w:r>
      <w:r>
        <w:instrText xml:space="preserve"> PAGEREF _Toc423442518 \h </w:instrText>
      </w:r>
      <w:r>
        <w:fldChar w:fldCharType="separate"/>
      </w:r>
      <w:r>
        <w:t>7</w:t>
      </w:r>
      <w:r>
        <w:fldChar w:fldCharType="end"/>
      </w:r>
    </w:p>
    <w:p>
      <w:pPr>
        <w:pStyle w:val="TOC8"/>
        <w:rPr>
          <w:rFonts w:asciiTheme="minorHAnsi" w:eastAsiaTheme="minorEastAsia" w:hAnsiTheme="minorHAnsi" w:cstheme="minorBidi"/>
          <w:szCs w:val="22"/>
        </w:rPr>
      </w:pPr>
      <w:r>
        <w:t>6.</w:t>
      </w:r>
      <w:r>
        <w:tab/>
        <w:t>Tariff D2 (special tariff for certain premises)</w:t>
      </w:r>
      <w:r>
        <w:tab/>
      </w:r>
      <w:r>
        <w:fldChar w:fldCharType="begin"/>
      </w:r>
      <w:r>
        <w:instrText xml:space="preserve"> PAGEREF _Toc423442519 \h </w:instrText>
      </w:r>
      <w:r>
        <w:fldChar w:fldCharType="separate"/>
      </w:r>
      <w:r>
        <w:t>8</w:t>
      </w:r>
      <w:r>
        <w:fldChar w:fldCharType="end"/>
      </w:r>
    </w:p>
    <w:p>
      <w:pPr>
        <w:pStyle w:val="TOC8"/>
        <w:rPr>
          <w:rFonts w:asciiTheme="minorHAnsi" w:eastAsiaTheme="minorEastAsia" w:hAnsiTheme="minorHAnsi" w:cstheme="minorBidi"/>
          <w:szCs w:val="22"/>
        </w:rPr>
      </w:pPr>
      <w:r>
        <w:t>7.</w:t>
      </w:r>
      <w:r>
        <w:tab/>
        <w:t>Tariff K2 (general supply with residential tariff)</w:t>
      </w:r>
      <w:r>
        <w:tab/>
      </w:r>
      <w:r>
        <w:fldChar w:fldCharType="begin"/>
      </w:r>
      <w:r>
        <w:instrText xml:space="preserve"> PAGEREF _Toc423442520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_Toc423442524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_Toc423442525 \h </w:instrText>
      </w:r>
      <w:r>
        <w:fldChar w:fldCharType="separate"/>
      </w:r>
      <w:r>
        <w:t>12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_Toc423442526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_Toc423442530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01908194"/>
      <w:bookmarkStart w:id="4" w:name="_Toc423442502"/>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23442503"/>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401908196"/>
      <w:bookmarkStart w:id="8" w:name="_Toc423442504"/>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9" w:name="_Toc401908197"/>
      <w:bookmarkStart w:id="10" w:name="_Toc423442505"/>
      <w:r>
        <w:rPr>
          <w:rStyle w:val="CharSectno"/>
        </w:rPr>
        <w:t>4</w:t>
      </w:r>
      <w:r>
        <w:t>.</w:t>
      </w:r>
      <w:r>
        <w:tab/>
      </w:r>
      <w:r>
        <w:rPr>
          <w:snapToGrid w:val="0"/>
        </w:rPr>
        <w:t>Electricity charges</w:t>
      </w:r>
      <w:bookmarkEnd w:id="9"/>
      <w:bookmarkEnd w:id="10"/>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1" w:name="_Toc401908198"/>
      <w:bookmarkStart w:id="12" w:name="_Toc423442506"/>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401908199"/>
      <w:bookmarkStart w:id="14" w:name="_Toc423442507"/>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401908200"/>
      <w:bookmarkStart w:id="16" w:name="_Toc423442508"/>
      <w:r>
        <w:rPr>
          <w:rStyle w:val="CharSectno"/>
        </w:rPr>
        <w:t>7</w:t>
      </w:r>
      <w:r>
        <w:t>.</w:t>
      </w:r>
      <w:r>
        <w:tab/>
        <w:t>Fees</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401908201"/>
      <w:bookmarkStart w:id="18" w:name="_Toc423442509"/>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401908202"/>
      <w:bookmarkStart w:id="20" w:name="_Toc423442510"/>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1" w:name="_Toc401908203"/>
      <w:bookmarkStart w:id="22" w:name="_Toc423442511"/>
      <w:r>
        <w:rPr>
          <w:rStyle w:val="CharSectno"/>
        </w:rPr>
        <w:t>11</w:t>
      </w:r>
      <w:r>
        <w:t>.</w:t>
      </w:r>
      <w:r>
        <w:tab/>
        <w:t>Changes in rates</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401908204"/>
      <w:bookmarkStart w:id="24" w:name="_Toc423442512"/>
      <w:r>
        <w:rPr>
          <w:rStyle w:val="CharSectno"/>
        </w:rPr>
        <w:t>12</w:t>
      </w:r>
      <w:r>
        <w:t>.</w:t>
      </w:r>
      <w:r>
        <w:tab/>
        <w:t>Prescribed rate of interest for s. 62(16) of Act</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25" w:name="_Toc423343933"/>
      <w:bookmarkStart w:id="26" w:name="_Toc423344417"/>
      <w:bookmarkStart w:id="27" w:name="_Toc423442513"/>
      <w:bookmarkStart w:id="28" w:name="_Toc399137918"/>
      <w:bookmarkStart w:id="29" w:name="_Toc401908205"/>
      <w:bookmarkStart w:id="30" w:name="_Toc416788387"/>
      <w:bookmarkStart w:id="31" w:name="_Toc416788419"/>
      <w:r>
        <w:rPr>
          <w:rStyle w:val="CharSchNo"/>
        </w:rPr>
        <w:t>Schedule 1</w:t>
      </w:r>
      <w:r>
        <w:t xml:space="preserve"> — </w:t>
      </w:r>
      <w:r>
        <w:rPr>
          <w:rStyle w:val="CharSchText"/>
        </w:rPr>
        <w:t>Supply charges</w:t>
      </w:r>
      <w:bookmarkEnd w:id="25"/>
      <w:bookmarkEnd w:id="26"/>
      <w:bookmarkEnd w:id="27"/>
    </w:p>
    <w:p>
      <w:pPr>
        <w:pStyle w:val="yShoulderClause"/>
      </w:pPr>
      <w:r>
        <w:t>[bl. 3, 4(1) and 10(1)]</w:t>
      </w:r>
    </w:p>
    <w:p>
      <w:pPr>
        <w:pStyle w:val="yFootnoteheading"/>
      </w:pPr>
      <w:r>
        <w:tab/>
        <w:t>[Heading inserted in Gazette 26 Jun 2015 p. 2248.]</w:t>
      </w:r>
    </w:p>
    <w:p>
      <w:pPr>
        <w:pStyle w:val="yHeading5"/>
      </w:pPr>
      <w:bookmarkStart w:id="32" w:name="_Toc423442514"/>
      <w:r>
        <w:rPr>
          <w:rStyle w:val="CharSClsNo"/>
        </w:rPr>
        <w:t>1</w:t>
      </w:r>
      <w:r>
        <w:t>.</w:t>
      </w:r>
      <w:r>
        <w:tab/>
        <w:t>Tariff L2 (general supply — low/medium voltage tariff)</w:t>
      </w:r>
      <w:bookmarkEnd w:id="3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44.7753 cents per day; and</w:t>
      </w:r>
    </w:p>
    <w:p>
      <w:pPr>
        <w:pStyle w:val="yIndenta"/>
      </w:pPr>
      <w:r>
        <w:tab/>
        <w:t>(b)</w:t>
      </w:r>
      <w:r>
        <w:tab/>
        <w:t xml:space="preserve">a charge for metered consumption at the rate of — </w:t>
      </w:r>
    </w:p>
    <w:p>
      <w:pPr>
        <w:pStyle w:val="yIndenti0"/>
      </w:pPr>
      <w:r>
        <w:tab/>
        <w:t>(i)</w:t>
      </w:r>
      <w:r>
        <w:tab/>
        <w:t>29.4275 cents per unit for the first 1 650 units per day; and</w:t>
      </w:r>
    </w:p>
    <w:p>
      <w:pPr>
        <w:pStyle w:val="yIndenti0"/>
      </w:pPr>
      <w:r>
        <w:tab/>
        <w:t>(ii)</w:t>
      </w:r>
      <w:r>
        <w:tab/>
        <w:t>26.5537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26 Jun 2015 p. 2248.]</w:t>
      </w:r>
    </w:p>
    <w:p>
      <w:pPr>
        <w:pStyle w:val="yHeading5"/>
      </w:pPr>
      <w:bookmarkStart w:id="33" w:name="_Toc423442515"/>
      <w:r>
        <w:rPr>
          <w:rStyle w:val="CharSClsNo"/>
        </w:rPr>
        <w:t>2</w:t>
      </w:r>
      <w:r>
        <w:t>.</w:t>
      </w:r>
      <w:r>
        <w:tab/>
        <w:t>Tariff L4 (general supply — low/medium voltage tariff)</w:t>
      </w:r>
      <w:bookmarkEnd w:id="33"/>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26 Jun 2015 p. 2248.]</w:t>
      </w:r>
    </w:p>
    <w:p>
      <w:pPr>
        <w:pStyle w:val="yHeading5"/>
      </w:pPr>
      <w:bookmarkStart w:id="34" w:name="_Toc423442516"/>
      <w:r>
        <w:rPr>
          <w:rStyle w:val="CharSClsNo"/>
        </w:rPr>
        <w:t>3</w:t>
      </w:r>
      <w:r>
        <w:t>.</w:t>
      </w:r>
      <w:r>
        <w:tab/>
        <w:t>Tariff M2 (general supply — high voltage tariff)</w:t>
      </w:r>
      <w:bookmarkEnd w:id="34"/>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54.2587 cents per day; and</w:t>
      </w:r>
    </w:p>
    <w:p>
      <w:pPr>
        <w:pStyle w:val="yIndenta"/>
      </w:pPr>
      <w:r>
        <w:tab/>
        <w:t>(b)</w:t>
      </w:r>
      <w:r>
        <w:tab/>
        <w:t xml:space="preserve">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2248</w:t>
      </w:r>
      <w:r>
        <w:noBreakHyphen/>
        <w:t>9.]</w:t>
      </w:r>
    </w:p>
    <w:p>
      <w:pPr>
        <w:pStyle w:val="yHeading5"/>
      </w:pPr>
      <w:bookmarkStart w:id="35" w:name="_Toc423442517"/>
      <w:r>
        <w:rPr>
          <w:rStyle w:val="CharSClsNo"/>
        </w:rPr>
        <w:t>4</w:t>
      </w:r>
      <w:r>
        <w:t>.</w:t>
      </w:r>
      <w:r>
        <w:tab/>
        <w:t>Tariff A2 (residential tariff)</w:t>
      </w:r>
      <w:bookmarkEnd w:id="3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47.1834 cents per day or, for multiple dwellings supplied through one metered supply point, a fixed charge at the rate of — </w:t>
      </w:r>
    </w:p>
    <w:p>
      <w:pPr>
        <w:pStyle w:val="yIndenti0"/>
      </w:pPr>
      <w:r>
        <w:tab/>
        <w:t>(i)</w:t>
      </w:r>
      <w:r>
        <w:tab/>
        <w:t>47.1834 cents per day for the first dwelling; and</w:t>
      </w:r>
    </w:p>
    <w:p>
      <w:pPr>
        <w:pStyle w:val="yIndenti0"/>
      </w:pPr>
      <w:r>
        <w:tab/>
        <w:t>(ii)</w:t>
      </w:r>
      <w:r>
        <w:tab/>
        <w:t>36.6357 cents per day for each additional dwelling;</w:t>
      </w:r>
    </w:p>
    <w:p>
      <w:pPr>
        <w:pStyle w:val="yIndenta"/>
      </w:pPr>
      <w:r>
        <w:tab/>
      </w:r>
      <w:r>
        <w:tab/>
        <w:t>and</w:t>
      </w:r>
    </w:p>
    <w:p>
      <w:pPr>
        <w:pStyle w:val="yIndenta"/>
      </w:pPr>
      <w:r>
        <w:tab/>
        <w:t>(b)</w:t>
      </w:r>
      <w:r>
        <w:tab/>
        <w:t>a charge for metered consumption at the rate of 25.7029 cents per unit.</w:t>
      </w:r>
    </w:p>
    <w:p>
      <w:pPr>
        <w:pStyle w:val="yFootnotesection"/>
      </w:pPr>
      <w:r>
        <w:tab/>
        <w:t>[Clause 4 inserted in Gazette 26 Jun 2015 p. 2249.]</w:t>
      </w:r>
    </w:p>
    <w:p>
      <w:pPr>
        <w:pStyle w:val="yHeading5"/>
      </w:pPr>
      <w:bookmarkStart w:id="36" w:name="_Toc423442518"/>
      <w:r>
        <w:rPr>
          <w:rStyle w:val="CharSClsNo"/>
        </w:rPr>
        <w:t>5</w:t>
      </w:r>
      <w:r>
        <w:t>.</w:t>
      </w:r>
      <w:r>
        <w:tab/>
        <w:t>Tariff C2 (special community service tariff)</w:t>
      </w:r>
      <w:bookmarkEnd w:id="36"/>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42.5908 cents per day; and</w:t>
      </w:r>
    </w:p>
    <w:p>
      <w:pPr>
        <w:pStyle w:val="yIndenta"/>
      </w:pPr>
      <w:r>
        <w:tab/>
        <w:t>(b)</w:t>
      </w:r>
      <w:r>
        <w:tab/>
        <w:t xml:space="preserve">a charge for metered consumption at the rate of — </w:t>
      </w:r>
    </w:p>
    <w:p>
      <w:pPr>
        <w:pStyle w:val="yIndenti0"/>
      </w:pPr>
      <w:r>
        <w:tab/>
        <w:t>(i)</w:t>
      </w:r>
      <w:r>
        <w:tab/>
        <w:t>23.2156 cents per unit for the first 20 units per day; and</w:t>
      </w:r>
    </w:p>
    <w:p>
      <w:pPr>
        <w:pStyle w:val="yIndenti0"/>
      </w:pPr>
      <w:r>
        <w:tab/>
        <w:t>(ii)</w:t>
      </w:r>
      <w:r>
        <w:tab/>
        <w:t>29.0870 cents per unit for the next 1 630 units per day; and</w:t>
      </w:r>
    </w:p>
    <w:p>
      <w:pPr>
        <w:pStyle w:val="yIndenti0"/>
      </w:pPr>
      <w:r>
        <w:tab/>
        <w:t>(iii)</w:t>
      </w:r>
      <w:r>
        <w:tab/>
        <w:t>26.2464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5 inserted in Gazette 26 Jun 2015 p. 2249</w:t>
      </w:r>
      <w:r>
        <w:noBreakHyphen/>
        <w:t>50.]</w:t>
      </w:r>
    </w:p>
    <w:p>
      <w:pPr>
        <w:pStyle w:val="yHeading5"/>
      </w:pPr>
      <w:bookmarkStart w:id="37" w:name="_Toc423442519"/>
      <w:r>
        <w:rPr>
          <w:rStyle w:val="CharSClsNo"/>
        </w:rPr>
        <w:t>6</w:t>
      </w:r>
      <w:r>
        <w:t>.</w:t>
      </w:r>
      <w:r>
        <w:tab/>
        <w:t>Tariff D2 (special tariff for certain premises)</w:t>
      </w:r>
      <w:bookmarkEnd w:id="37"/>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39.6778 cents per day; and</w:t>
      </w:r>
    </w:p>
    <w:p>
      <w:pPr>
        <w:pStyle w:val="yIndenta"/>
      </w:pPr>
      <w:r>
        <w:tab/>
        <w:t>(b)</w:t>
      </w:r>
      <w:r>
        <w:tab/>
        <w:t>if under subclause (3) there is deemed to be more than one equivalent domestic residence in the premises, a charge of 30.8080 cents per day for each equivalent domestic residence except the first that is deemed to be in the premises; and</w:t>
      </w:r>
    </w:p>
    <w:p>
      <w:pPr>
        <w:pStyle w:val="yIndenta"/>
      </w:pPr>
      <w:r>
        <w:tab/>
        <w:t>(c)</w:t>
      </w:r>
      <w:r>
        <w:tab/>
        <w:t>a charge for metered consumption at the rate of 21.6277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6 inserted in Gazette 26 Jun 2015 p. 2250.]</w:t>
      </w:r>
    </w:p>
    <w:p>
      <w:pPr>
        <w:pStyle w:val="yHeading5"/>
      </w:pPr>
      <w:bookmarkStart w:id="38" w:name="_Toc423442520"/>
      <w:r>
        <w:rPr>
          <w:rStyle w:val="CharSClsNo"/>
        </w:rPr>
        <w:t>7</w:t>
      </w:r>
      <w:r>
        <w:t>.</w:t>
      </w:r>
      <w:r>
        <w:tab/>
        <w:t xml:space="preserve">Tariff </w:t>
      </w:r>
      <w:smartTag w:uri="urn:schemas-microsoft-com:office:smarttags" w:element="place">
        <w:r>
          <w:t>K2</w:t>
        </w:r>
      </w:smartTag>
      <w:r>
        <w:t xml:space="preserve"> (general supply with residential tariff)</w:t>
      </w:r>
      <w:bookmarkEnd w:id="38"/>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47.1834 cents per day; and</w:t>
      </w:r>
    </w:p>
    <w:p>
      <w:pPr>
        <w:pStyle w:val="yIndenta"/>
      </w:pPr>
      <w:r>
        <w:tab/>
        <w:t>(b)</w:t>
      </w:r>
      <w:r>
        <w:tab/>
        <w:t xml:space="preserve">a charge for metered consumption at the rate of — </w:t>
      </w:r>
    </w:p>
    <w:p>
      <w:pPr>
        <w:pStyle w:val="yIndenti0"/>
      </w:pPr>
      <w:r>
        <w:tab/>
        <w:t>(i)</w:t>
      </w:r>
      <w:r>
        <w:tab/>
        <w:t>25.7029 cents per unit for the first 20 units per day; and</w:t>
      </w:r>
    </w:p>
    <w:p>
      <w:pPr>
        <w:pStyle w:val="yIndenti0"/>
      </w:pPr>
      <w:r>
        <w:tab/>
        <w:t>(ii)</w:t>
      </w:r>
      <w:r>
        <w:tab/>
        <w:t>29.4275 cents per unit for the next 1 630 units per day; and</w:t>
      </w:r>
    </w:p>
    <w:p>
      <w:pPr>
        <w:pStyle w:val="yIndenti0"/>
      </w:pPr>
      <w:r>
        <w:tab/>
        <w:t>(iii)</w:t>
      </w:r>
      <w:r>
        <w:tab/>
        <w:t>26.5537 cents per unit for all units exceeding 1 650 units per day.</w:t>
      </w:r>
    </w:p>
    <w:p>
      <w:pPr>
        <w:pStyle w:val="yFootnotesection"/>
        <w:rPr>
          <w:rStyle w:val="CharSchNo"/>
          <w:snapToGrid/>
        </w:rPr>
      </w:pPr>
      <w:r>
        <w:tab/>
        <w:t>[Clause 7 inserted in Gazette 26 Jun 2015 p. 2250.]</w:t>
      </w:r>
    </w:p>
    <w:bookmarkEnd w:id="28"/>
    <w:bookmarkEnd w:id="29"/>
    <w:bookmarkEnd w:id="30"/>
    <w:bookmarkEnd w:id="31"/>
    <w:p>
      <w:pPr>
        <w:pStyle w:val="yEdnoteschedule"/>
      </w:pP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2"/>
      </w:pPr>
      <w:bookmarkStart w:id="40" w:name="_Toc423343941"/>
      <w:bookmarkStart w:id="41" w:name="_Toc423344425"/>
      <w:bookmarkStart w:id="42" w:name="_Toc423442521"/>
      <w:bookmarkStart w:id="43" w:name="_Toc399137929"/>
      <w:bookmarkStart w:id="44" w:name="_Toc401908216"/>
      <w:bookmarkStart w:id="45" w:name="_Toc416788398"/>
      <w:bookmarkStart w:id="46" w:name="_Toc416788430"/>
      <w:r>
        <w:rPr>
          <w:rStyle w:val="CharSchNo"/>
        </w:rPr>
        <w:t>Schedule 2</w:t>
      </w:r>
      <w:r>
        <w:t> — </w:t>
      </w:r>
      <w:r>
        <w:rPr>
          <w:rStyle w:val="CharSchText"/>
        </w:rPr>
        <w:t>Unmetered supply</w:t>
      </w:r>
      <w:bookmarkEnd w:id="40"/>
      <w:bookmarkEnd w:id="41"/>
      <w:bookmarkEnd w:id="42"/>
    </w:p>
    <w:p>
      <w:pPr>
        <w:pStyle w:val="yShoulderClause"/>
      </w:pPr>
      <w:r>
        <w:t>[bl. 4(2) and (3)]</w:t>
      </w:r>
    </w:p>
    <w:p>
      <w:pPr>
        <w:pStyle w:val="yFootnoteheading"/>
        <w:spacing w:after="120"/>
      </w:pPr>
      <w:r>
        <w:tab/>
        <w:t>[Heading inserted in Gazette 26 Jun 2015 p. 2251.]</w:t>
      </w:r>
    </w:p>
    <w:p>
      <w:pPr>
        <w:pStyle w:val="yHeading3"/>
      </w:pPr>
      <w:bookmarkStart w:id="47" w:name="_Toc423343942"/>
      <w:bookmarkStart w:id="48" w:name="_Toc423344426"/>
      <w:bookmarkStart w:id="49" w:name="_Toc423442522"/>
      <w:r>
        <w:t>Division 1</w:t>
      </w:r>
      <w:r>
        <w:rPr>
          <w:b w:val="0"/>
        </w:rPr>
        <w:t> — </w:t>
      </w:r>
      <w:r>
        <w:t>Street lighting</w:t>
      </w:r>
      <w:bookmarkEnd w:id="47"/>
      <w:bookmarkEnd w:id="48"/>
      <w:bookmarkEnd w:id="49"/>
    </w:p>
    <w:p>
      <w:pPr>
        <w:pStyle w:val="yFootnoteheading"/>
        <w:spacing w:after="120"/>
      </w:pPr>
      <w:r>
        <w:tab/>
        <w:t>[Heading inserted in Gazette 26 Jun 2015 p. 2251.]</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sz w:val="16"/>
                <w:szCs w:val="16"/>
              </w:rPr>
              <w:t>Item</w:t>
            </w:r>
          </w:p>
        </w:tc>
        <w:tc>
          <w:tcPr>
            <w:tcW w:w="851" w:type="dxa"/>
            <w:tcBorders>
              <w:top w:val="single" w:sz="4" w:space="0" w:color="auto"/>
              <w:bottom w:val="single" w:sz="4" w:space="0" w:color="auto"/>
            </w:tcBorders>
          </w:tcPr>
          <w:p>
            <w:pPr>
              <w:pStyle w:val="yTableNAm"/>
            </w:pPr>
            <w:r>
              <w:rPr>
                <w:b/>
                <w:sz w:val="16"/>
                <w:szCs w:val="16"/>
              </w:rPr>
              <w:t>Wattage</w:t>
            </w:r>
          </w:p>
        </w:tc>
        <w:tc>
          <w:tcPr>
            <w:tcW w:w="992" w:type="dxa"/>
            <w:tcBorders>
              <w:top w:val="single" w:sz="4" w:space="0" w:color="auto"/>
              <w:bottom w:val="single" w:sz="4" w:space="0" w:color="auto"/>
            </w:tcBorders>
          </w:tcPr>
          <w:p>
            <w:pPr>
              <w:pStyle w:val="yTableNAm"/>
            </w:pPr>
            <w:r>
              <w:rPr>
                <w:b/>
                <w:sz w:val="16"/>
                <w:szCs w:val="16"/>
              </w:rPr>
              <w:t>Type</w:t>
            </w:r>
          </w:p>
        </w:tc>
        <w:tc>
          <w:tcPr>
            <w:tcW w:w="1512" w:type="dxa"/>
            <w:tcBorders>
              <w:top w:val="single" w:sz="4" w:space="0" w:color="auto"/>
              <w:bottom w:val="single" w:sz="4" w:space="0" w:color="auto"/>
            </w:tcBorders>
          </w:tcPr>
          <w:p>
            <w:pPr>
              <w:pStyle w:val="yTableNAm"/>
            </w:pPr>
            <w:r>
              <w:rPr>
                <w:b/>
                <w:spacing w:val="-4"/>
                <w:sz w:val="16"/>
                <w:szCs w:val="16"/>
              </w:rPr>
              <w:t>Midnight Switch</w:t>
            </w:r>
            <w:r>
              <w:rPr>
                <w:b/>
                <w:spacing w:val="-4"/>
                <w:sz w:val="16"/>
                <w:szCs w:val="16"/>
              </w:rPr>
              <w:noBreakHyphen/>
              <w:t xml:space="preserve">off (Obsolescent) </w:t>
            </w:r>
            <w:r>
              <w:rPr>
                <w:b/>
                <w:spacing w:val="-4"/>
                <w:sz w:val="16"/>
                <w:szCs w:val="16"/>
              </w:rPr>
              <w:br/>
              <w:t>Cents per day</w:t>
            </w:r>
          </w:p>
        </w:tc>
        <w:tc>
          <w:tcPr>
            <w:tcW w:w="1512" w:type="dxa"/>
            <w:tcBorders>
              <w:top w:val="single" w:sz="4" w:space="0" w:color="auto"/>
              <w:bottom w:val="single" w:sz="4" w:space="0" w:color="auto"/>
            </w:tcBorders>
          </w:tcPr>
          <w:p>
            <w:pPr>
              <w:pStyle w:val="yTableNAm"/>
            </w:pPr>
            <w:r>
              <w:rPr>
                <w:b/>
                <w:spacing w:val="-4"/>
                <w:sz w:val="16"/>
                <w:szCs w:val="16"/>
              </w:rPr>
              <w:t>1.15 a.m. Switch</w:t>
            </w:r>
            <w:r>
              <w:rPr>
                <w:b/>
                <w:spacing w:val="-4"/>
                <w:sz w:val="16"/>
                <w:szCs w:val="16"/>
              </w:rPr>
              <w:noBreakHyphen/>
              <w:t>off Cents per day</w:t>
            </w:r>
          </w:p>
        </w:tc>
        <w:tc>
          <w:tcPr>
            <w:tcW w:w="1512" w:type="dxa"/>
            <w:tcBorders>
              <w:top w:val="single" w:sz="4" w:space="0" w:color="auto"/>
              <w:bottom w:val="single" w:sz="4" w:space="0" w:color="auto"/>
            </w:tcBorders>
          </w:tcPr>
          <w:p>
            <w:pPr>
              <w:pStyle w:val="yTableNAm"/>
            </w:pPr>
            <w:r>
              <w:rPr>
                <w:b/>
                <w:spacing w:val="-4"/>
                <w:sz w:val="16"/>
                <w:szCs w:val="16"/>
              </w:rPr>
              <w:t>Dawn Switch</w:t>
            </w:r>
            <w:r>
              <w:rPr>
                <w:b/>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34.7217</w:t>
            </w:r>
          </w:p>
        </w:tc>
        <w:tc>
          <w:tcPr>
            <w:tcW w:w="1512" w:type="dxa"/>
          </w:tcPr>
          <w:p>
            <w:pPr>
              <w:pStyle w:val="yTableNAm"/>
            </w:pPr>
            <w:r>
              <w:rPr>
                <w:sz w:val="16"/>
                <w:szCs w:val="16"/>
              </w:rPr>
              <w:t>35.4653</w:t>
            </w:r>
          </w:p>
        </w:tc>
        <w:tc>
          <w:tcPr>
            <w:tcW w:w="1512" w:type="dxa"/>
          </w:tcPr>
          <w:p>
            <w:pPr>
              <w:pStyle w:val="yTableNAm"/>
            </w:pPr>
            <w:r>
              <w:rPr>
                <w:sz w:val="16"/>
                <w:szCs w:val="16"/>
              </w:rPr>
              <w:t>38.1517</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50.5705</w:t>
            </w:r>
          </w:p>
        </w:tc>
        <w:tc>
          <w:tcPr>
            <w:tcW w:w="1512" w:type="dxa"/>
          </w:tcPr>
          <w:p>
            <w:pPr>
              <w:pStyle w:val="yTableNAm"/>
            </w:pPr>
            <w:r>
              <w:rPr>
                <w:sz w:val="16"/>
                <w:szCs w:val="16"/>
              </w:rPr>
              <w:t>52.2095</w:t>
            </w:r>
          </w:p>
        </w:tc>
        <w:tc>
          <w:tcPr>
            <w:tcW w:w="1512" w:type="dxa"/>
          </w:tcPr>
          <w:p>
            <w:pPr>
              <w:pStyle w:val="yTableNAm"/>
            </w:pPr>
            <w:r>
              <w:rPr>
                <w:sz w:val="16"/>
                <w:szCs w:val="16"/>
              </w:rPr>
              <w:t>58.1231</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51.7532</w:t>
            </w:r>
          </w:p>
        </w:tc>
        <w:tc>
          <w:tcPr>
            <w:tcW w:w="1512" w:type="dxa"/>
          </w:tcPr>
          <w:p>
            <w:pPr>
              <w:pStyle w:val="yTableNAm"/>
            </w:pPr>
            <w:r>
              <w:rPr>
                <w:sz w:val="16"/>
                <w:szCs w:val="16"/>
              </w:rPr>
              <w:t>53.4430</w:t>
            </w:r>
          </w:p>
        </w:tc>
        <w:tc>
          <w:tcPr>
            <w:tcW w:w="1512" w:type="dxa"/>
          </w:tcPr>
          <w:p>
            <w:pPr>
              <w:pStyle w:val="yTableNAm"/>
            </w:pPr>
            <w:r>
              <w:rPr>
                <w:sz w:val="16"/>
                <w:szCs w:val="16"/>
              </w:rPr>
              <w:t>60.2352</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62.7528</w:t>
            </w:r>
          </w:p>
        </w:tc>
        <w:tc>
          <w:tcPr>
            <w:tcW w:w="1512" w:type="dxa"/>
          </w:tcPr>
          <w:p>
            <w:pPr>
              <w:pStyle w:val="yTableNAm"/>
            </w:pPr>
            <w:r>
              <w:rPr>
                <w:sz w:val="16"/>
                <w:szCs w:val="16"/>
              </w:rPr>
              <w:t>65.9461</w:t>
            </w:r>
          </w:p>
        </w:tc>
        <w:tc>
          <w:tcPr>
            <w:tcW w:w="1512" w:type="dxa"/>
          </w:tcPr>
          <w:p>
            <w:pPr>
              <w:pStyle w:val="yTableNAm"/>
            </w:pPr>
            <w:r>
              <w:rPr>
                <w:sz w:val="16"/>
                <w:szCs w:val="16"/>
              </w:rPr>
              <w:t>77.8579</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92.9631</w:t>
            </w:r>
          </w:p>
        </w:tc>
        <w:tc>
          <w:tcPr>
            <w:tcW w:w="1512" w:type="dxa"/>
          </w:tcPr>
          <w:p>
            <w:pPr>
              <w:pStyle w:val="yTableNAm"/>
            </w:pPr>
            <w:r>
              <w:rPr>
                <w:sz w:val="16"/>
                <w:szCs w:val="16"/>
              </w:rPr>
              <w:t>97.8293</w:t>
            </w:r>
          </w:p>
        </w:tc>
        <w:tc>
          <w:tcPr>
            <w:tcW w:w="1512" w:type="dxa"/>
          </w:tcPr>
          <w:p>
            <w:pPr>
              <w:pStyle w:val="yTableNAm"/>
            </w:pPr>
            <w:r>
              <w:rPr>
                <w:sz w:val="16"/>
                <w:szCs w:val="16"/>
              </w:rPr>
              <w:t>116.4151</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47.9009</w:t>
            </w:r>
          </w:p>
        </w:tc>
        <w:tc>
          <w:tcPr>
            <w:tcW w:w="1512" w:type="dxa"/>
          </w:tcPr>
          <w:p>
            <w:pPr>
              <w:pStyle w:val="yTableNAm"/>
            </w:pPr>
            <w:r>
              <w:rPr>
                <w:sz w:val="16"/>
                <w:szCs w:val="16"/>
              </w:rPr>
              <w:t>49.6582</w:t>
            </w:r>
          </w:p>
        </w:tc>
        <w:tc>
          <w:tcPr>
            <w:tcW w:w="1512" w:type="dxa"/>
          </w:tcPr>
          <w:p>
            <w:pPr>
              <w:pStyle w:val="yTableNAm"/>
            </w:pPr>
            <w:r>
              <w:rPr>
                <w:sz w:val="16"/>
                <w:szCs w:val="16"/>
              </w:rPr>
              <w:t>59.4916</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71.0149</w:t>
            </w:r>
          </w:p>
        </w:tc>
        <w:tc>
          <w:tcPr>
            <w:tcW w:w="1512" w:type="dxa"/>
          </w:tcPr>
          <w:p>
            <w:pPr>
              <w:pStyle w:val="yTableNAm"/>
            </w:pPr>
            <w:r>
              <w:rPr>
                <w:sz w:val="16"/>
                <w:szCs w:val="16"/>
              </w:rPr>
              <w:t>74.7998</w:t>
            </w:r>
          </w:p>
        </w:tc>
        <w:tc>
          <w:tcPr>
            <w:tcW w:w="1512" w:type="dxa"/>
          </w:tcPr>
          <w:p>
            <w:pPr>
              <w:pStyle w:val="yTableNAm"/>
            </w:pPr>
            <w:r>
              <w:rPr>
                <w:sz w:val="16"/>
                <w:szCs w:val="16"/>
              </w:rPr>
              <w:t>89.3980</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259.2388</w:t>
            </w:r>
          </w:p>
        </w:tc>
      </w:tr>
      <w:tr>
        <w:trPr>
          <w:cantSplit/>
        </w:trPr>
        <w:tc>
          <w:tcPr>
            <w:tcW w:w="709"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tcPr>
          <w:p>
            <w:pPr>
              <w:pStyle w:val="yTableNAm"/>
            </w:pPr>
            <w:r>
              <w:rPr>
                <w:sz w:val="16"/>
                <w:szCs w:val="16"/>
              </w:rPr>
              <w:t>35.2947</w:t>
            </w:r>
          </w:p>
        </w:tc>
        <w:tc>
          <w:tcPr>
            <w:tcW w:w="1512" w:type="dxa"/>
          </w:tcPr>
          <w:p>
            <w:pPr>
              <w:pStyle w:val="yTableNAm"/>
            </w:pPr>
            <w:r>
              <w:rPr>
                <w:sz w:val="16"/>
                <w:szCs w:val="16"/>
              </w:rPr>
              <w:t>36.3361</w:t>
            </w:r>
          </w:p>
        </w:tc>
        <w:tc>
          <w:tcPr>
            <w:tcW w:w="1512" w:type="dxa"/>
          </w:tcPr>
          <w:p>
            <w:pPr>
              <w:pStyle w:val="yTableNAm"/>
            </w:pPr>
            <w:r>
              <w:rPr>
                <w:sz w:val="16"/>
                <w:szCs w:val="16"/>
              </w:rPr>
              <w:t>39.3118</w:t>
            </w:r>
          </w:p>
        </w:tc>
      </w:tr>
      <w:tr>
        <w:trPr>
          <w:cantSplit/>
        </w:trPr>
        <w:tc>
          <w:tcPr>
            <w:tcW w:w="709"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tcPr>
          <w:p>
            <w:pPr>
              <w:pStyle w:val="yTableNAm"/>
            </w:pPr>
            <w:r>
              <w:rPr>
                <w:sz w:val="16"/>
                <w:szCs w:val="16"/>
              </w:rPr>
              <w:t>47.1147</w:t>
            </w:r>
          </w:p>
        </w:tc>
        <w:tc>
          <w:tcPr>
            <w:tcW w:w="1512" w:type="dxa"/>
          </w:tcPr>
          <w:p>
            <w:pPr>
              <w:pStyle w:val="yTableNAm"/>
            </w:pPr>
            <w:r>
              <w:rPr>
                <w:sz w:val="16"/>
                <w:szCs w:val="16"/>
              </w:rPr>
              <w:t>49.3540</w:t>
            </w:r>
          </w:p>
        </w:tc>
        <w:tc>
          <w:tcPr>
            <w:tcW w:w="1512" w:type="dxa"/>
          </w:tcPr>
          <w:p>
            <w:pPr>
              <w:pStyle w:val="yTableNAm"/>
            </w:pPr>
            <w:r>
              <w:rPr>
                <w:sz w:val="16"/>
                <w:szCs w:val="16"/>
              </w:rPr>
              <w:t>59.8570</w:t>
            </w:r>
          </w:p>
        </w:tc>
      </w:tr>
      <w:tr>
        <w:trPr>
          <w:cantSplit/>
        </w:trPr>
        <w:tc>
          <w:tcPr>
            <w:tcW w:w="709"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tcPr>
          <w:p>
            <w:pPr>
              <w:pStyle w:val="yTableNAm"/>
            </w:pPr>
            <w:r>
              <w:rPr>
                <w:sz w:val="16"/>
                <w:szCs w:val="16"/>
              </w:rPr>
              <w:t>51.3449</w:t>
            </w:r>
          </w:p>
        </w:tc>
        <w:tc>
          <w:tcPr>
            <w:tcW w:w="1512" w:type="dxa"/>
          </w:tcPr>
          <w:p>
            <w:pPr>
              <w:pStyle w:val="yTableNAm"/>
            </w:pPr>
            <w:r>
              <w:rPr>
                <w:sz w:val="16"/>
                <w:szCs w:val="16"/>
              </w:rPr>
              <w:t>54.9891</w:t>
            </w:r>
          </w:p>
        </w:tc>
        <w:tc>
          <w:tcPr>
            <w:tcW w:w="1512" w:type="dxa"/>
          </w:tcPr>
          <w:p>
            <w:pPr>
              <w:pStyle w:val="yTableNAm"/>
            </w:pPr>
            <w:r>
              <w:rPr>
                <w:sz w:val="16"/>
                <w:szCs w:val="16"/>
              </w:rPr>
              <w:t>71.4287</w:t>
            </w:r>
          </w:p>
        </w:tc>
      </w:tr>
      <w:tr>
        <w:trPr>
          <w:cantSplit/>
        </w:trPr>
        <w:tc>
          <w:tcPr>
            <w:tcW w:w="709"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tcPr>
          <w:p>
            <w:pPr>
              <w:pStyle w:val="yTableNAm"/>
            </w:pPr>
            <w:r>
              <w:rPr>
                <w:sz w:val="16"/>
                <w:szCs w:val="16"/>
              </w:rPr>
              <w:t>32.4998</w:t>
            </w:r>
          </w:p>
        </w:tc>
        <w:tc>
          <w:tcPr>
            <w:tcW w:w="1512" w:type="dxa"/>
          </w:tcPr>
          <w:p>
            <w:pPr>
              <w:pStyle w:val="yTableNAm"/>
            </w:pPr>
            <w:r>
              <w:rPr>
                <w:sz w:val="16"/>
                <w:szCs w:val="16"/>
              </w:rPr>
              <w:t>32.8577</w:t>
            </w:r>
          </w:p>
        </w:tc>
        <w:tc>
          <w:tcPr>
            <w:tcW w:w="1512" w:type="dxa"/>
          </w:tcPr>
          <w:p>
            <w:pPr>
              <w:pStyle w:val="yTableNAm"/>
            </w:pPr>
            <w:r>
              <w:rPr>
                <w:sz w:val="16"/>
                <w:szCs w:val="16"/>
              </w:rPr>
              <w:t>33.2389</w:t>
            </w:r>
          </w:p>
        </w:tc>
      </w:tr>
      <w:tr>
        <w:trPr>
          <w:cantSplit/>
        </w:trPr>
        <w:tc>
          <w:tcPr>
            <w:tcW w:w="7088" w:type="dxa"/>
            <w:gridSpan w:val="6"/>
          </w:tcPr>
          <w:p>
            <w:pPr>
              <w:pStyle w:val="yTableNAm"/>
              <w:keepNext/>
            </w:pPr>
            <w:r>
              <w:rPr>
                <w:b/>
                <w:i/>
                <w:iCs/>
                <w:sz w:val="16"/>
                <w:szCs w:val="16"/>
              </w:rPr>
              <w:t>Street lighting for existing services only</w:t>
            </w:r>
          </w:p>
        </w:tc>
      </w:tr>
      <w:tr>
        <w:trPr>
          <w:cantSplit/>
        </w:trPr>
        <w:tc>
          <w:tcPr>
            <w:tcW w:w="709" w:type="dxa"/>
          </w:tcPr>
          <w:p>
            <w:pPr>
              <w:pStyle w:val="yTableNAm"/>
              <w:keepNext/>
            </w:pPr>
            <w:r>
              <w:rPr>
                <w:sz w:val="16"/>
                <w:szCs w:val="16"/>
              </w:rPr>
              <w:t>Z.05</w:t>
            </w:r>
          </w:p>
        </w:tc>
        <w:tc>
          <w:tcPr>
            <w:tcW w:w="851" w:type="dxa"/>
          </w:tcPr>
          <w:p>
            <w:pPr>
              <w:pStyle w:val="yTableNAm"/>
              <w:keepNext/>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72.0287</w:t>
            </w:r>
          </w:p>
        </w:tc>
        <w:tc>
          <w:tcPr>
            <w:tcW w:w="1512" w:type="dxa"/>
          </w:tcPr>
          <w:p>
            <w:pPr>
              <w:pStyle w:val="yTableNAm"/>
            </w:pPr>
            <w:r>
              <w:rPr>
                <w:sz w:val="16"/>
                <w:szCs w:val="16"/>
              </w:rPr>
              <w:t>75.1715</w:t>
            </w:r>
          </w:p>
        </w:tc>
        <w:tc>
          <w:tcPr>
            <w:tcW w:w="1512" w:type="dxa"/>
          </w:tcPr>
          <w:p>
            <w:pPr>
              <w:pStyle w:val="yTableNAm"/>
            </w:pPr>
            <w:r>
              <w:rPr>
                <w:sz w:val="16"/>
                <w:szCs w:val="16"/>
              </w:rPr>
              <w:t>87.1340</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81.3217</w:t>
            </w:r>
          </w:p>
        </w:tc>
        <w:tc>
          <w:tcPr>
            <w:tcW w:w="1512" w:type="dxa"/>
          </w:tcPr>
          <w:p>
            <w:pPr>
              <w:pStyle w:val="yTableNAm"/>
            </w:pPr>
            <w:r>
              <w:rPr>
                <w:sz w:val="16"/>
                <w:szCs w:val="16"/>
              </w:rPr>
              <w:t>84.4982</w:t>
            </w:r>
          </w:p>
        </w:tc>
        <w:tc>
          <w:tcPr>
            <w:tcW w:w="1512" w:type="dxa"/>
          </w:tcPr>
          <w:p>
            <w:pPr>
              <w:pStyle w:val="yTableNAm"/>
            </w:pPr>
            <w:r>
              <w:rPr>
                <w:sz w:val="16"/>
                <w:szCs w:val="16"/>
              </w:rPr>
              <w:t>96.4269</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102.2561</w:t>
            </w:r>
          </w:p>
        </w:tc>
        <w:tc>
          <w:tcPr>
            <w:tcW w:w="1512" w:type="dxa"/>
          </w:tcPr>
          <w:p>
            <w:pPr>
              <w:pStyle w:val="yTableNAm"/>
            </w:pPr>
            <w:r>
              <w:rPr>
                <w:sz w:val="16"/>
                <w:szCs w:val="16"/>
              </w:rPr>
              <w:t>107.1392</w:t>
            </w:r>
          </w:p>
        </w:tc>
        <w:tc>
          <w:tcPr>
            <w:tcW w:w="1512" w:type="dxa"/>
          </w:tcPr>
          <w:p>
            <w:pPr>
              <w:pStyle w:val="yTableNAm"/>
            </w:pPr>
            <w:r>
              <w:rPr>
                <w:sz w:val="16"/>
                <w:szCs w:val="16"/>
              </w:rPr>
              <w:t>125.6574</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111.5490</w:t>
            </w:r>
          </w:p>
        </w:tc>
        <w:tc>
          <w:tcPr>
            <w:tcW w:w="1512" w:type="dxa"/>
          </w:tcPr>
          <w:p>
            <w:pPr>
              <w:pStyle w:val="yTableNAm"/>
            </w:pPr>
            <w:r>
              <w:rPr>
                <w:sz w:val="16"/>
                <w:szCs w:val="16"/>
              </w:rPr>
              <w:t>116.4151</w:t>
            </w:r>
          </w:p>
        </w:tc>
        <w:tc>
          <w:tcPr>
            <w:tcW w:w="1512" w:type="dxa"/>
          </w:tcPr>
          <w:p>
            <w:pPr>
              <w:pStyle w:val="yTableNAm"/>
            </w:pPr>
            <w:r>
              <w:rPr>
                <w:sz w:val="16"/>
                <w:szCs w:val="16"/>
              </w:rPr>
              <w:t>134.9164</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73.9041</w:t>
            </w:r>
          </w:p>
        </w:tc>
        <w:tc>
          <w:tcPr>
            <w:tcW w:w="1512" w:type="dxa"/>
          </w:tcPr>
          <w:p>
            <w:pPr>
              <w:pStyle w:val="yTableNAm"/>
            </w:pPr>
            <w:r>
              <w:rPr>
                <w:sz w:val="16"/>
                <w:szCs w:val="16"/>
              </w:rPr>
              <w:t>75.6275</w:t>
            </w:r>
          </w:p>
        </w:tc>
        <w:tc>
          <w:tcPr>
            <w:tcW w:w="1512" w:type="dxa"/>
          </w:tcPr>
          <w:p>
            <w:pPr>
              <w:pStyle w:val="yTableNAm"/>
            </w:pPr>
            <w:r>
              <w:rPr>
                <w:sz w:val="16"/>
                <w:szCs w:val="16"/>
              </w:rPr>
              <w:t>85.4273</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84.9204</w:t>
            </w:r>
          </w:p>
        </w:tc>
        <w:tc>
          <w:tcPr>
            <w:tcW w:w="1512" w:type="dxa"/>
          </w:tcPr>
          <w:p>
            <w:pPr>
              <w:pStyle w:val="yTableNAm"/>
            </w:pPr>
            <w:r>
              <w:rPr>
                <w:sz w:val="16"/>
                <w:szCs w:val="16"/>
              </w:rPr>
              <w:t>88.7391</w:t>
            </w:r>
          </w:p>
        </w:tc>
        <w:tc>
          <w:tcPr>
            <w:tcW w:w="1512" w:type="dxa"/>
          </w:tcPr>
          <w:p>
            <w:pPr>
              <w:pStyle w:val="yTableNAm"/>
            </w:pPr>
            <w:r>
              <w:rPr>
                <w:sz w:val="16"/>
                <w:szCs w:val="16"/>
              </w:rPr>
              <w:t>103.3036</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98.7922</w:t>
            </w:r>
          </w:p>
        </w:tc>
        <w:tc>
          <w:tcPr>
            <w:tcW w:w="1512" w:type="dxa"/>
          </w:tcPr>
          <w:p>
            <w:pPr>
              <w:pStyle w:val="yTableNAm"/>
            </w:pPr>
            <w:r>
              <w:rPr>
                <w:sz w:val="16"/>
                <w:szCs w:val="16"/>
              </w:rPr>
              <w:t>102.6616</w:t>
            </w:r>
          </w:p>
        </w:tc>
        <w:tc>
          <w:tcPr>
            <w:tcW w:w="1512" w:type="dxa"/>
          </w:tcPr>
          <w:p>
            <w:pPr>
              <w:pStyle w:val="yTableNAm"/>
            </w:pPr>
            <w:r>
              <w:rPr>
                <w:sz w:val="16"/>
                <w:szCs w:val="16"/>
              </w:rPr>
              <w:t>117.2430</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34.7218</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40.8890</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50.5705</w:t>
            </w:r>
          </w:p>
        </w:tc>
        <w:tc>
          <w:tcPr>
            <w:tcW w:w="1512" w:type="dxa"/>
          </w:tcPr>
          <w:p>
            <w:pPr>
              <w:pStyle w:val="yTableNAm"/>
            </w:pPr>
            <w:r>
              <w:rPr>
                <w:sz w:val="16"/>
                <w:szCs w:val="16"/>
              </w:rPr>
              <w:t>52.2093</w:t>
            </w:r>
          </w:p>
        </w:tc>
        <w:tc>
          <w:tcPr>
            <w:tcW w:w="1512" w:type="dxa"/>
          </w:tcPr>
          <w:p>
            <w:pPr>
              <w:pStyle w:val="yTableNAm"/>
            </w:pPr>
            <w:r>
              <w:rPr>
                <w:sz w:val="16"/>
                <w:szCs w:val="16"/>
              </w:rPr>
              <w:t>58.1230</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81.3216</w:t>
            </w:r>
          </w:p>
        </w:tc>
        <w:tc>
          <w:tcPr>
            <w:tcW w:w="1512" w:type="dxa"/>
          </w:tcPr>
          <w:p>
            <w:pPr>
              <w:pStyle w:val="yTableNAm"/>
            </w:pPr>
            <w:r>
              <w:rPr>
                <w:sz w:val="16"/>
                <w:szCs w:val="16"/>
              </w:rPr>
              <w:t>84.4980</w:t>
            </w:r>
          </w:p>
        </w:tc>
        <w:tc>
          <w:tcPr>
            <w:tcW w:w="1512" w:type="dxa"/>
          </w:tcPr>
          <w:p>
            <w:pPr>
              <w:pStyle w:val="yTableNAm"/>
            </w:pPr>
            <w:r>
              <w:rPr>
                <w:sz w:val="16"/>
                <w:szCs w:val="16"/>
              </w:rPr>
              <w:t>96.4268</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34.7217</w:t>
            </w:r>
          </w:p>
        </w:tc>
        <w:tc>
          <w:tcPr>
            <w:tcW w:w="1512" w:type="dxa"/>
          </w:tcPr>
          <w:p>
            <w:pPr>
              <w:pStyle w:val="yTableNAm"/>
            </w:pPr>
            <w:r>
              <w:rPr>
                <w:sz w:val="16"/>
                <w:szCs w:val="16"/>
              </w:rPr>
              <w:t>35.4652</w:t>
            </w:r>
          </w:p>
        </w:tc>
        <w:tc>
          <w:tcPr>
            <w:tcW w:w="1512" w:type="dxa"/>
          </w:tcPr>
          <w:p>
            <w:pPr>
              <w:pStyle w:val="yTableNAm"/>
            </w:pPr>
            <w:r>
              <w:rPr>
                <w:sz w:val="16"/>
                <w:szCs w:val="16"/>
              </w:rPr>
              <w:t>38.1516</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40.8888</w:t>
            </w:r>
          </w:p>
        </w:tc>
        <w:tc>
          <w:tcPr>
            <w:tcW w:w="1512" w:type="dxa"/>
          </w:tcPr>
          <w:p>
            <w:pPr>
              <w:pStyle w:val="yTableNAm"/>
            </w:pPr>
            <w:r>
              <w:rPr>
                <w:sz w:val="16"/>
                <w:szCs w:val="16"/>
              </w:rPr>
              <w:t>41.8013</w:t>
            </w:r>
          </w:p>
        </w:tc>
        <w:tc>
          <w:tcPr>
            <w:tcW w:w="1512" w:type="dxa"/>
          </w:tcPr>
          <w:p>
            <w:pPr>
              <w:pStyle w:val="yTableNAm"/>
            </w:pPr>
            <w:r>
              <w:rPr>
                <w:sz w:val="16"/>
                <w:szCs w:val="16"/>
              </w:rPr>
              <w:t>45.9917</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512"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2251</w:t>
      </w:r>
      <w:r>
        <w:noBreakHyphen/>
        <w:t>2.]</w:t>
      </w:r>
    </w:p>
    <w:p>
      <w:pPr>
        <w:pStyle w:val="yHeading3"/>
        <w:rPr>
          <w:rStyle w:val="CharSDivText"/>
        </w:rPr>
      </w:pPr>
      <w:bookmarkStart w:id="50" w:name="_Toc423343943"/>
      <w:bookmarkStart w:id="51" w:name="_Toc423344427"/>
      <w:bookmarkStart w:id="52" w:name="_Toc423442523"/>
      <w:r>
        <w:rPr>
          <w:rStyle w:val="CharSDivNo"/>
        </w:rPr>
        <w:t>Division 2</w:t>
      </w:r>
      <w:r>
        <w:rPr>
          <w:b w:val="0"/>
        </w:rPr>
        <w:t> — </w:t>
      </w:r>
      <w:r>
        <w:rPr>
          <w:rStyle w:val="CharSDivText"/>
        </w:rPr>
        <w:t>Miscellaneous</w:t>
      </w:r>
      <w:bookmarkEnd w:id="50"/>
      <w:bookmarkEnd w:id="51"/>
      <w:bookmarkEnd w:id="52"/>
    </w:p>
    <w:p>
      <w:pPr>
        <w:pStyle w:val="yFootnoteheading"/>
        <w:spacing w:after="120"/>
      </w:pPr>
      <w:r>
        <w:tab/>
        <w:t>[Heading inserted in Gazette 26 Jun 2015 p. 2252.]</w:t>
      </w:r>
    </w:p>
    <w:p>
      <w:pPr>
        <w:pStyle w:val="yHeading5"/>
      </w:pPr>
      <w:bookmarkStart w:id="53" w:name="_Toc423442524"/>
      <w:r>
        <w:rPr>
          <w:rStyle w:val="CharSClsNo"/>
        </w:rPr>
        <w:t>1</w:t>
      </w:r>
      <w:r>
        <w:t>.</w:t>
      </w:r>
      <w:r>
        <w:tab/>
        <w:t>Traffic light installations</w:t>
      </w:r>
      <w:bookmarkEnd w:id="53"/>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2252.]</w:t>
      </w:r>
    </w:p>
    <w:p>
      <w:pPr>
        <w:pStyle w:val="yHeading5"/>
      </w:pPr>
      <w:bookmarkStart w:id="54" w:name="_Toc423442525"/>
      <w:r>
        <w:rPr>
          <w:rStyle w:val="CharSClsNo"/>
        </w:rPr>
        <w:t>2</w:t>
      </w:r>
      <w:r>
        <w:t>.</w:t>
      </w:r>
      <w:r>
        <w:tab/>
        <w:t>Public telephone facility</w:t>
      </w:r>
      <w:bookmarkEnd w:id="54"/>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2252.]</w:t>
      </w:r>
    </w:p>
    <w:p>
      <w:pPr>
        <w:pStyle w:val="yHeading5"/>
      </w:pPr>
      <w:bookmarkStart w:id="55" w:name="_Toc423442526"/>
      <w:r>
        <w:rPr>
          <w:rStyle w:val="CharSClsNo"/>
        </w:rPr>
        <w:t>3</w:t>
      </w:r>
      <w:r>
        <w:t>.</w:t>
      </w:r>
      <w:r>
        <w:tab/>
        <w:t>Railway crossing</w:t>
      </w:r>
      <w:bookmarkEnd w:id="55"/>
    </w:p>
    <w:p>
      <w:pPr>
        <w:pStyle w:val="ySubsection"/>
      </w:pPr>
      <w:r>
        <w:tab/>
      </w:r>
      <w:r>
        <w:tab/>
        <w:t>Supply of electricity to standard railway crossing lights comprises a charge of 67.1387 cents per day.</w:t>
      </w:r>
    </w:p>
    <w:p>
      <w:pPr>
        <w:pStyle w:val="yFootnotesection"/>
        <w:rPr>
          <w:rStyle w:val="CharSchNo"/>
          <w:snapToGrid/>
        </w:rPr>
      </w:pPr>
      <w:r>
        <w:tab/>
        <w:t>[Clause 3 inserted in Gazette 26 Jun 2015 p. 2252.]</w:t>
      </w:r>
    </w:p>
    <w:bookmarkEnd w:id="43"/>
    <w:bookmarkEnd w:id="44"/>
    <w:bookmarkEnd w:id="45"/>
    <w:bookmarkEnd w:id="46"/>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6" w:name="_Toc399137935"/>
      <w:bookmarkStart w:id="57" w:name="_Toc401908222"/>
      <w:bookmarkStart w:id="58" w:name="_Toc416788404"/>
      <w:bookmarkStart w:id="59" w:name="_Toc416788436"/>
      <w:bookmarkStart w:id="60" w:name="_Toc423343947"/>
      <w:bookmarkStart w:id="61" w:name="_Toc423344431"/>
      <w:bookmarkStart w:id="62" w:name="_Toc423442527"/>
      <w:r>
        <w:rPr>
          <w:rStyle w:val="CharSchNo"/>
        </w:rPr>
        <w:t>Schedule 3</w:t>
      </w:r>
      <w:r>
        <w:rPr>
          <w:rStyle w:val="CharSDivNo"/>
        </w:rPr>
        <w:t> </w:t>
      </w:r>
      <w:r>
        <w:t>—</w:t>
      </w:r>
      <w:r>
        <w:rPr>
          <w:rStyle w:val="CharSDivText"/>
        </w:rPr>
        <w:t> </w:t>
      </w:r>
      <w:r>
        <w:rPr>
          <w:rStyle w:val="CharSchText"/>
        </w:rPr>
        <w:t>Meter rentals</w:t>
      </w:r>
      <w:bookmarkEnd w:id="56"/>
      <w:bookmarkEnd w:id="57"/>
      <w:bookmarkEnd w:id="58"/>
      <w:bookmarkEnd w:id="59"/>
      <w:bookmarkEnd w:id="60"/>
      <w:bookmarkEnd w:id="61"/>
      <w:bookmarkEnd w:id="62"/>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3" w:name="_Toc399137936"/>
      <w:bookmarkStart w:id="64" w:name="_Toc401908223"/>
      <w:bookmarkStart w:id="65" w:name="_Toc416788405"/>
      <w:bookmarkStart w:id="66" w:name="_Toc416788437"/>
      <w:bookmarkStart w:id="67" w:name="_Toc423343948"/>
      <w:bookmarkStart w:id="68" w:name="_Toc423344432"/>
      <w:bookmarkStart w:id="69" w:name="_Toc423442528"/>
      <w:r>
        <w:rPr>
          <w:rStyle w:val="CharSchNo"/>
        </w:rPr>
        <w:t>Schedule 4</w:t>
      </w:r>
      <w:r>
        <w:t> — </w:t>
      </w:r>
      <w:r>
        <w:rPr>
          <w:rStyle w:val="CharSchText"/>
        </w:rPr>
        <w:t>Fees</w:t>
      </w:r>
      <w:bookmarkEnd w:id="63"/>
      <w:bookmarkEnd w:id="64"/>
      <w:bookmarkEnd w:id="65"/>
      <w:bookmarkEnd w:id="66"/>
      <w:bookmarkEnd w:id="67"/>
      <w:bookmarkEnd w:id="68"/>
      <w:bookmarkEnd w:id="69"/>
    </w:p>
    <w:p>
      <w:pPr>
        <w:pStyle w:val="yShoulderClause"/>
      </w:pPr>
      <w:r>
        <w:rPr>
          <w:szCs w:val="22"/>
        </w:rPr>
        <w:t>[bl. 7]</w:t>
      </w:r>
    </w:p>
    <w:p>
      <w:pPr>
        <w:pStyle w:val="yFootnoteheading"/>
        <w:spacing w:after="120"/>
      </w:pPr>
      <w:r>
        <w:tab/>
        <w:t>[Heading inserted in Gazette 26 Mar 2010 p. 1187; amended in Gazette 22 Aug 2014 p. 3023.]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spacing w:after="80"/>
              <w:rPr>
                <w:b/>
                <w:iCs/>
              </w:rPr>
            </w:pPr>
            <w:r>
              <w:rPr>
                <w:b/>
                <w:iCs/>
              </w:rPr>
              <w:t>Description of fee</w:t>
            </w:r>
          </w:p>
        </w:tc>
        <w:tc>
          <w:tcPr>
            <w:tcW w:w="1276" w:type="dxa"/>
            <w:tcBorders>
              <w:top w:val="single" w:sz="4" w:space="0" w:color="auto"/>
              <w:bottom w:val="single" w:sz="4" w:space="0" w:color="auto"/>
            </w:tcBorders>
          </w:tcPr>
          <w:p>
            <w:pPr>
              <w:pStyle w:val="yTableNAm"/>
              <w:spacing w:after="80"/>
              <w:rPr>
                <w:b/>
                <w:iCs/>
              </w:rPr>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75"/>
              </w:tabs>
              <w:rPr>
                <w:b/>
                <w:iCs/>
              </w:rPr>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rPr>
                <w:bCs/>
                <w:iCs/>
              </w:rPr>
            </w:pPr>
            <w:r>
              <w:rPr>
                <w:bCs/>
                <w:iCs/>
              </w:rPr>
              <w:br/>
              <w:t>$33.80</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07"/>
                <w:tab w:val="left" w:pos="708"/>
                <w:tab w:val="right" w:pos="934"/>
                <w:tab w:val="right" w:leader="dot" w:pos="5075"/>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installation of subsidiary three phase meter (each installation) </w:t>
            </w:r>
            <w:r>
              <w:tab/>
            </w:r>
          </w:p>
        </w:tc>
        <w:tc>
          <w:tcPr>
            <w:tcW w:w="1276"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567" w:type="dxa"/>
          </w:tcPr>
          <w:p>
            <w:pPr>
              <w:pStyle w:val="yTableNAm"/>
            </w:pPr>
            <w:r>
              <w:t>3.</w:t>
            </w:r>
          </w:p>
        </w:tc>
        <w:tc>
          <w:tcPr>
            <w:tcW w:w="5245" w:type="dxa"/>
          </w:tcPr>
          <w:p>
            <w:pPr>
              <w:pStyle w:val="yTableNAm"/>
              <w:tabs>
                <w:tab w:val="right" w:leader="dot" w:pos="5075"/>
              </w:tabs>
              <w:rPr>
                <w:b/>
                <w:iCs/>
              </w:rPr>
            </w:pPr>
            <w:r>
              <w:t>Non</w:t>
            </w:r>
            <w:r>
              <w:noBreakHyphen/>
              <w:t>refundable reconnection fee where supply has been terminated for non</w:t>
            </w:r>
            <w:r>
              <w:noBreakHyphen/>
              <w:t>payment of charges or for any other lawful reason</w:t>
            </w:r>
            <w:r>
              <w:tab/>
            </w:r>
          </w:p>
        </w:tc>
        <w:tc>
          <w:tcPr>
            <w:tcW w:w="1276" w:type="dxa"/>
          </w:tcPr>
          <w:p>
            <w:pPr>
              <w:pStyle w:val="yTableNAm"/>
              <w:rPr>
                <w:bCs/>
                <w:iCs/>
              </w:rPr>
            </w:pPr>
            <w:r>
              <w:rPr>
                <w:bCs/>
                <w:iCs/>
              </w:rPr>
              <w:br/>
            </w:r>
            <w:r>
              <w:rPr>
                <w:bCs/>
                <w:iCs/>
              </w:rPr>
              <w:br/>
              <w:t>$31.10</w:t>
            </w:r>
          </w:p>
        </w:tc>
      </w:tr>
      <w:tr>
        <w:tc>
          <w:tcPr>
            <w:tcW w:w="5812" w:type="dxa"/>
            <w:gridSpan w:val="2"/>
          </w:tcPr>
          <w:p>
            <w:pPr>
              <w:pStyle w:val="yTableNAm"/>
              <w:rPr>
                <w:i/>
              </w:rPr>
            </w:pPr>
            <w:r>
              <w:rPr>
                <w:i/>
              </w:rPr>
              <w:t>[4.</w:t>
            </w:r>
            <w:r>
              <w:rPr>
                <w:i/>
              </w:rPr>
              <w:tab/>
              <w:t>Deleted]</w:t>
            </w:r>
          </w:p>
        </w:tc>
        <w:tc>
          <w:tcPr>
            <w:tcW w:w="1276" w:type="dxa"/>
          </w:tcPr>
          <w:p>
            <w:pPr>
              <w:pStyle w:val="yTableNAm"/>
              <w:rPr>
                <w:bCs/>
                <w:iCs/>
              </w:rPr>
            </w:pP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207"/>
                <w:tab w:val="left" w:pos="708"/>
                <w:tab w:val="right" w:pos="934"/>
                <w:tab w:val="right" w:leader="dot" w:pos="5075"/>
              </w:tabs>
              <w:ind w:left="686" w:hanging="686"/>
            </w:pPr>
            <w:r>
              <w:tab/>
              <w:t>(a)</w:t>
            </w:r>
            <w:r>
              <w:tab/>
              <w:t xml:space="preserve">single phase (overhead)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three phase (overhead) </w:t>
            </w:r>
            <w:r>
              <w:tab/>
            </w:r>
          </w:p>
        </w:tc>
        <w:tc>
          <w:tcPr>
            <w:tcW w:w="1276" w:type="dxa"/>
          </w:tcPr>
          <w:p>
            <w:pPr>
              <w:pStyle w:val="yTableNAm"/>
              <w:rPr>
                <w:bCs/>
                <w:iCs/>
              </w:rPr>
            </w:pPr>
          </w:p>
          <w:p>
            <w:pPr>
              <w:pStyle w:val="yTableNAm"/>
              <w:rPr>
                <w:bCs/>
                <w:iCs/>
              </w:rPr>
            </w:pPr>
            <w:r>
              <w:t>$721.00</w:t>
            </w:r>
          </w:p>
          <w:p>
            <w:pPr>
              <w:pStyle w:val="yTableNAm"/>
              <w:rPr>
                <w:bCs/>
                <w:iCs/>
              </w:rPr>
            </w:pPr>
            <w:r>
              <w:t>$721.00</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207"/>
                <w:tab w:val="left" w:pos="708"/>
                <w:tab w:val="right" w:pos="934"/>
                <w:tab w:val="right" w:leader="dot" w:pos="5075"/>
              </w:tabs>
              <w:ind w:left="686" w:hanging="686"/>
            </w:pPr>
            <w:r>
              <w:tab/>
              <w:t>(a)</w:t>
            </w:r>
            <w:r>
              <w:tab/>
              <w:t xml:space="preserve">standard meter testing fee </w:t>
            </w:r>
            <w:r>
              <w:tab/>
            </w:r>
          </w:p>
          <w:p>
            <w:pPr>
              <w:pStyle w:val="yTableNAm"/>
              <w:tabs>
                <w:tab w:val="clear" w:pos="567"/>
                <w:tab w:val="left" w:pos="207"/>
                <w:tab w:val="left" w:pos="708"/>
                <w:tab w:val="right" w:pos="934"/>
                <w:tab w:val="right" w:leader="dot" w:pos="5075"/>
              </w:tabs>
              <w:ind w:left="686" w:hanging="686"/>
            </w:pPr>
            <w:r>
              <w:tab/>
              <w:t>(b)</w:t>
            </w:r>
            <w:r>
              <w:tab/>
              <w:t xml:space="preserve">reduced meter testing fee </w:t>
            </w:r>
            <w:r>
              <w:tab/>
            </w:r>
          </w:p>
        </w:tc>
        <w:tc>
          <w:tcPr>
            <w:tcW w:w="1276"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567" w:type="dxa"/>
          </w:tcPr>
          <w:p>
            <w:pPr>
              <w:pStyle w:val="yTableNAm"/>
            </w:pPr>
            <w:r>
              <w:t>7.</w:t>
            </w:r>
          </w:p>
        </w:tc>
        <w:tc>
          <w:tcPr>
            <w:tcW w:w="5245" w:type="dxa"/>
          </w:tcPr>
          <w:p>
            <w:pPr>
              <w:pStyle w:val="yTableNAm"/>
              <w:tabs>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rPr>
                <w:bCs/>
                <w:iCs/>
              </w:rPr>
            </w:pPr>
            <w:r>
              <w:rPr>
                <w:bCs/>
                <w:iCs/>
              </w:rPr>
              <w:br/>
            </w:r>
            <w:r>
              <w:t>$412.00</w:t>
            </w:r>
          </w:p>
        </w:tc>
      </w:tr>
      <w:tr>
        <w:tc>
          <w:tcPr>
            <w:tcW w:w="567" w:type="dxa"/>
          </w:tcPr>
          <w:p>
            <w:pPr>
              <w:pStyle w:val="yTableNAm"/>
            </w:pPr>
            <w:r>
              <w:t>8.</w:t>
            </w:r>
          </w:p>
        </w:tc>
        <w:tc>
          <w:tcPr>
            <w:tcW w:w="5245" w:type="dxa"/>
          </w:tcPr>
          <w:p>
            <w:pPr>
              <w:pStyle w:val="yTableNAm"/>
              <w:tabs>
                <w:tab w:val="right" w:leader="dot" w:pos="5075"/>
              </w:tabs>
            </w:pPr>
            <w:r>
              <w:t xml:space="preserve">Meter reading where reading requested by consumer </w:t>
            </w:r>
            <w:r>
              <w:tab/>
            </w:r>
          </w:p>
        </w:tc>
        <w:tc>
          <w:tcPr>
            <w:tcW w:w="1276" w:type="dxa"/>
          </w:tcPr>
          <w:p>
            <w:pPr>
              <w:pStyle w:val="yTableNAm"/>
              <w:rPr>
                <w:bCs/>
                <w:iCs/>
              </w:rPr>
            </w:pPr>
            <w:r>
              <w:t>$22.77</w:t>
            </w:r>
          </w:p>
        </w:tc>
      </w:tr>
      <w:tr>
        <w:tc>
          <w:tcPr>
            <w:tcW w:w="5812" w:type="dxa"/>
            <w:gridSpan w:val="2"/>
          </w:tcPr>
          <w:p>
            <w:pPr>
              <w:pStyle w:val="yTableNAm"/>
              <w:tabs>
                <w:tab w:val="right" w:leader="dot" w:pos="5075"/>
              </w:tabs>
              <w:rPr>
                <w:i/>
              </w:rPr>
            </w:pPr>
            <w:r>
              <w:rPr>
                <w:i/>
              </w:rPr>
              <w:t>[9.</w:t>
            </w:r>
            <w:r>
              <w:rPr>
                <w:i/>
              </w:rPr>
              <w:tab/>
              <w:t>Deleted]</w:t>
            </w:r>
          </w:p>
        </w:tc>
        <w:tc>
          <w:tcPr>
            <w:tcW w:w="1276" w:type="dxa"/>
          </w:tcPr>
          <w:p>
            <w:pPr>
              <w:pStyle w:val="yTableNAm"/>
              <w:rPr>
                <w:bCs/>
                <w:iCs/>
              </w:rPr>
            </w:pPr>
          </w:p>
        </w:tc>
      </w:tr>
      <w:tr>
        <w:tc>
          <w:tcPr>
            <w:tcW w:w="567" w:type="dxa"/>
          </w:tcPr>
          <w:p>
            <w:pPr>
              <w:pStyle w:val="yTableNAm"/>
            </w:pPr>
            <w:r>
              <w:t>10.</w:t>
            </w:r>
          </w:p>
        </w:tc>
        <w:tc>
          <w:tcPr>
            <w:tcW w:w="5245" w:type="dxa"/>
          </w:tcPr>
          <w:p>
            <w:pPr>
              <w:pStyle w:val="yTableNAm"/>
              <w:tabs>
                <w:tab w:val="right" w:leader="dot" w:pos="5075"/>
              </w:tabs>
            </w:pPr>
            <w:r>
              <w:t xml:space="preserve">Overdue account notices </w:t>
            </w:r>
            <w:r>
              <w:tab/>
            </w:r>
          </w:p>
        </w:tc>
        <w:tc>
          <w:tcPr>
            <w:tcW w:w="1276" w:type="dxa"/>
          </w:tcPr>
          <w:p>
            <w:pPr>
              <w:pStyle w:val="yTableNAm"/>
              <w:rPr>
                <w:bCs/>
                <w:iCs/>
              </w:rPr>
            </w:pPr>
            <w:r>
              <w:rPr>
                <w:szCs w:val="22"/>
              </w:rPr>
              <w:t>$4.75</w:t>
            </w:r>
          </w:p>
        </w:tc>
      </w:tr>
      <w:tr>
        <w:trPr>
          <w:cantSplit/>
        </w:trPr>
        <w:tc>
          <w:tcPr>
            <w:tcW w:w="567" w:type="dxa"/>
          </w:tcPr>
          <w:p>
            <w:pPr>
              <w:pStyle w:val="yTableNAm"/>
            </w:pPr>
            <w:r>
              <w:t>11.</w:t>
            </w:r>
          </w:p>
        </w:tc>
        <w:tc>
          <w:tcPr>
            <w:tcW w:w="5245" w:type="dxa"/>
          </w:tcPr>
          <w:p>
            <w:pPr>
              <w:pStyle w:val="yTableNAm"/>
              <w:tabs>
                <w:tab w:val="right" w:leader="dot" w:pos="5075"/>
              </w:tabs>
            </w:pPr>
            <w:r>
              <w:t xml:space="preserve">Rejected account payment (where payment made through Australia Post) </w:t>
            </w:r>
            <w:r>
              <w:tab/>
            </w:r>
          </w:p>
        </w:tc>
        <w:tc>
          <w:tcPr>
            <w:tcW w:w="1276" w:type="dxa"/>
          </w:tcPr>
          <w:p>
            <w:pPr>
              <w:pStyle w:val="yTableNAm"/>
              <w:rPr>
                <w:bCs/>
                <w:iCs/>
              </w:rPr>
            </w:pPr>
            <w:r>
              <w:rPr>
                <w:bCs/>
                <w:iCs/>
              </w:rPr>
              <w:br/>
            </w:r>
            <w:r>
              <w:t>$24.20</w:t>
            </w:r>
          </w:p>
        </w:tc>
      </w:tr>
      <w:tr>
        <w:trPr>
          <w:cantSplit/>
        </w:trPr>
        <w:tc>
          <w:tcPr>
            <w:tcW w:w="567" w:type="dxa"/>
          </w:tcPr>
          <w:p>
            <w:pPr>
              <w:pStyle w:val="yTableNAm"/>
            </w:pPr>
            <w:r>
              <w:t>12.</w:t>
            </w:r>
          </w:p>
        </w:tc>
        <w:tc>
          <w:tcPr>
            <w:tcW w:w="5245" w:type="dxa"/>
          </w:tcPr>
          <w:p>
            <w:pPr>
              <w:pStyle w:val="yTableNAm"/>
            </w:pPr>
            <w:r>
              <w:t>A transaction fee where a consumer makes a payment to the corporation by means of one of the following — </w:t>
            </w:r>
          </w:p>
        </w:tc>
        <w:tc>
          <w:tcPr>
            <w:tcW w:w="1276" w:type="dxa"/>
          </w:tcPr>
          <w:p>
            <w:pPr>
              <w:pStyle w:val="yTableNAm"/>
              <w:rPr>
                <w:bCs/>
                <w:iCs/>
              </w:rPr>
            </w:pPr>
          </w:p>
        </w:tc>
      </w:tr>
      <w:tr>
        <w:trPr>
          <w:cantSplit/>
        </w:trPr>
        <w:tc>
          <w:tcPr>
            <w:tcW w:w="567" w:type="dxa"/>
          </w:tcPr>
          <w:p>
            <w:pPr>
              <w:pStyle w:val="yTableNAm"/>
            </w:pPr>
          </w:p>
        </w:tc>
        <w:tc>
          <w:tcPr>
            <w:tcW w:w="5245" w:type="dxa"/>
          </w:tcPr>
          <w:p>
            <w:pPr>
              <w:pStyle w:val="yTableNAm"/>
              <w:tabs>
                <w:tab w:val="clear" w:pos="567"/>
                <w:tab w:val="left" w:pos="207"/>
                <w:tab w:val="left" w:pos="708"/>
                <w:tab w:val="right" w:pos="934"/>
                <w:tab w:val="right" w:leader="dot" w:pos="5075"/>
              </w:tabs>
              <w:ind w:left="686" w:hanging="686"/>
            </w:pPr>
            <w:r>
              <w:tab/>
              <w:t>(a)</w:t>
            </w:r>
            <w:r>
              <w:tab/>
              <w:t xml:space="preserve">a Visa or a MasterCard credit card or debit card </w:t>
            </w:r>
            <w:r>
              <w:tab/>
            </w:r>
          </w:p>
        </w:tc>
        <w:tc>
          <w:tcPr>
            <w:tcW w:w="1276" w:type="dxa"/>
          </w:tcPr>
          <w:p>
            <w:pPr>
              <w:pStyle w:val="yTableNAm"/>
              <w:rPr>
                <w:bCs/>
                <w:iCs/>
              </w:rPr>
            </w:pPr>
            <w:r>
              <w:t>0.7% of the amount of the charge</w:t>
            </w:r>
          </w:p>
        </w:tc>
      </w:tr>
      <w:tr>
        <w:trPr>
          <w:cantSplit/>
        </w:trPr>
        <w:tc>
          <w:tcPr>
            <w:tcW w:w="567" w:type="dxa"/>
            <w:tcBorders>
              <w:bottom w:val="single" w:sz="4" w:space="0" w:color="auto"/>
            </w:tcBorders>
          </w:tcPr>
          <w:p>
            <w:pPr>
              <w:pStyle w:val="yTableNAm"/>
              <w:spacing w:after="80"/>
            </w:pPr>
          </w:p>
        </w:tc>
        <w:tc>
          <w:tcPr>
            <w:tcW w:w="5245" w:type="dxa"/>
            <w:tcBorders>
              <w:bottom w:val="single" w:sz="4" w:space="0" w:color="auto"/>
            </w:tcBorders>
          </w:tcPr>
          <w:p>
            <w:pPr>
              <w:pStyle w:val="yTableNAm"/>
              <w:tabs>
                <w:tab w:val="clear" w:pos="567"/>
                <w:tab w:val="left" w:pos="207"/>
                <w:tab w:val="left" w:pos="708"/>
                <w:tab w:val="right" w:pos="934"/>
                <w:tab w:val="right" w:leader="dot" w:pos="5075"/>
              </w:tabs>
              <w:spacing w:after="80"/>
              <w:ind w:left="686" w:hanging="686"/>
            </w:pPr>
            <w:r>
              <w:tab/>
              <w:t>(b)</w:t>
            </w:r>
            <w:r>
              <w:tab/>
              <w:t xml:space="preserve">an American Express credit card </w:t>
            </w:r>
            <w:r>
              <w:tab/>
            </w:r>
          </w:p>
        </w:tc>
        <w:tc>
          <w:tcPr>
            <w:tcW w:w="1276" w:type="dxa"/>
            <w:tcBorders>
              <w:bottom w:val="single" w:sz="4" w:space="0" w:color="auto"/>
            </w:tcBorders>
          </w:tcPr>
          <w:p>
            <w:pPr>
              <w:pStyle w:val="yTableNAm"/>
              <w:spacing w:after="80"/>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70" w:name="_Toc399137937"/>
      <w:bookmarkStart w:id="71" w:name="_Toc401908224"/>
      <w:bookmarkStart w:id="72" w:name="_Toc416788406"/>
      <w:bookmarkStart w:id="73" w:name="_Toc416788438"/>
      <w:bookmarkStart w:id="74" w:name="_Toc423343949"/>
      <w:bookmarkStart w:id="75" w:name="_Toc423344433"/>
      <w:bookmarkStart w:id="76" w:name="_Toc423442529"/>
      <w:r>
        <w:t>Notes</w:t>
      </w:r>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77" w:name="_Toc401908225"/>
      <w:bookmarkStart w:id="78" w:name="_Toc423442530"/>
      <w:r>
        <w:t>Compilation table</w:t>
      </w:r>
      <w:bookmarkEnd w:id="77"/>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tcBorders>
              <w:bottom w:val="single" w:sz="8" w:space="0" w:color="auto"/>
            </w:tcBorders>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tcBorders>
              <w:bottom w:val="single" w:sz="8" w:space="0" w:color="auto"/>
            </w:tcBorders>
            <w:shd w:val="clear" w:color="auto" w:fill="auto"/>
          </w:tcPr>
          <w:p>
            <w:pPr>
              <w:pStyle w:val="nTable"/>
              <w:keepNext/>
              <w:keepLines/>
              <w:spacing w:after="40"/>
              <w:rPr>
                <w:b/>
                <w:bCs/>
                <w:iCs/>
                <w:noProof/>
                <w:snapToGrid w:val="0"/>
              </w:rPr>
            </w:pPr>
            <w:r>
              <w:t>26 Jun 2015 p. 2247</w:t>
            </w:r>
            <w:r>
              <w:noBreakHyphen/>
              <w:t>52</w:t>
            </w:r>
          </w:p>
        </w:tc>
        <w:tc>
          <w:tcPr>
            <w:tcW w:w="2694" w:type="dxa"/>
            <w:tcBorders>
              <w:bottom w:val="single" w:sz="8" w:space="0" w:color="auto"/>
            </w:tcBorders>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bl>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0" w:name="_Toc416788440"/>
      <w:bookmarkStart w:id="81" w:name="_Toc423343951"/>
      <w:bookmarkStart w:id="82" w:name="_Toc423344435"/>
      <w:bookmarkStart w:id="83" w:name="_Toc423442531"/>
      <w:r>
        <w:rPr>
          <w:sz w:val="28"/>
        </w:rPr>
        <w:t>Defined terms</w:t>
      </w:r>
      <w:bookmarkEnd w:id="80"/>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BC54-ED47-4E09-94B2-885C7482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3697</Words>
  <Characters>18119</Characters>
  <Application>Microsoft Office Word</Application>
  <DocSecurity>0</DocSecurity>
  <Lines>823</Lines>
  <Paragraphs>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2006 - 02-b0-03</dc:title>
  <dc:subject/>
  <dc:creator/>
  <cp:keywords/>
  <dc:description/>
  <cp:lastModifiedBy>svcMRProcess</cp:lastModifiedBy>
  <cp:revision>4</cp:revision>
  <cp:lastPrinted>2014-10-21T01:03:00Z</cp:lastPrinted>
  <dcterms:created xsi:type="dcterms:W3CDTF">2020-02-24T16:47:00Z</dcterms:created>
  <dcterms:modified xsi:type="dcterms:W3CDTF">2020-02-24T16:47:00Z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2015</vt:lpwstr>
  </property>
  <property fmtid="{D5CDD505-2E9C-101B-9397-08002B2CF9AE}" pid="8" name="Suffix">
    <vt:lpwstr>02-b0-03</vt:lpwstr>
  </property>
  <property fmtid="{D5CDD505-2E9C-101B-9397-08002B2CF9AE}" pid="9" name="CommencementDate">
    <vt:lpwstr>20150701</vt:lpwstr>
  </property>
</Properties>
</file>