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_Toc423445269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_Toc423445270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_Toc423445271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_Toc423445272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_Toc423445273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application</w:t>
      </w:r>
      <w:r>
        <w:tab/>
      </w:r>
      <w:r>
        <w:fldChar w:fldCharType="begin"/>
      </w:r>
      <w:r>
        <w:instrText xml:space="preserve"> PAGEREF _Toc423445274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objection</w:t>
      </w:r>
      <w:r>
        <w:tab/>
      </w:r>
      <w:r>
        <w:fldChar w:fldCharType="begin"/>
      </w:r>
      <w:r>
        <w:instrText xml:space="preserve"> PAGEREF _Toc423445275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_Toc423445276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_Toc423445277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_Toc423445278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_Toc423445279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_Toc423445282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401301935"/>
      <w:bookmarkStart w:id="4" w:name="_Toc423445269"/>
      <w:r>
        <w:rPr>
          <w:rStyle w:val="CharSectno"/>
        </w:rPr>
        <w:t>1</w:t>
      </w:r>
      <w:r>
        <w:rPr>
          <w:snapToGrid w:val="0"/>
        </w:rPr>
        <w:t>.</w:t>
      </w:r>
      <w:r>
        <w:rPr>
          <w:snapToGrid w:val="0"/>
        </w:rPr>
        <w:tab/>
        <w:t>Citation</w:t>
      </w:r>
      <w:bookmarkEnd w:id="3"/>
      <w:bookmarkEnd w:id="4"/>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5" w:name="_Toc401301936"/>
      <w:bookmarkStart w:id="6" w:name="_Toc423445270"/>
      <w:r>
        <w:rPr>
          <w:rStyle w:val="CharSectno"/>
        </w:rPr>
        <w:t>2</w:t>
      </w:r>
      <w:r>
        <w:rPr>
          <w:snapToGrid w:val="0"/>
        </w:rPr>
        <w:t>.</w:t>
      </w:r>
      <w:r>
        <w:rPr>
          <w:snapToGrid w:val="0"/>
        </w:rPr>
        <w:tab/>
        <w:t>Forms</w:t>
      </w:r>
      <w:bookmarkEnd w:id="5"/>
      <w:bookmarkEnd w:id="6"/>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7" w:name="_Toc401301937"/>
      <w:bookmarkStart w:id="8" w:name="_Toc423445271"/>
      <w:r>
        <w:rPr>
          <w:rStyle w:val="CharSectno"/>
        </w:rPr>
        <w:t>3</w:t>
      </w:r>
      <w:r>
        <w:rPr>
          <w:snapToGrid w:val="0"/>
        </w:rPr>
        <w:t>.</w:t>
      </w:r>
      <w:r>
        <w:rPr>
          <w:snapToGrid w:val="0"/>
        </w:rPr>
        <w:tab/>
        <w:t>Applications</w:t>
      </w:r>
      <w:bookmarkEnd w:id="7"/>
      <w:bookmarkEnd w:id="8"/>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$230.00 per annum</w:t>
            </w:r>
          </w:p>
        </w:tc>
      </w:tr>
      <w:tr>
        <w:tc>
          <w:tcPr>
            <w:tcW w:w="1276" w:type="dxa"/>
          </w:tcPr>
          <w:p>
            <w:pPr>
              <w:pStyle w:val="TableNAm"/>
              <w:spacing w:before="100"/>
              <w:jc w:val="center"/>
            </w:pPr>
            <w:r>
              <w:t>2</w:t>
            </w:r>
          </w:p>
        </w:tc>
        <w:tc>
          <w:tcPr>
            <w:tcW w:w="2551" w:type="dxa"/>
          </w:tcPr>
          <w:p>
            <w:pPr>
              <w:pStyle w:val="TableNAm"/>
              <w:spacing w:before="100"/>
            </w:pPr>
            <w:r>
              <w:t>Restricted licence</w:t>
            </w:r>
          </w:p>
        </w:tc>
        <w:tc>
          <w:tcPr>
            <w:tcW w:w="2268" w:type="dxa"/>
          </w:tcPr>
          <w:p>
            <w:pPr>
              <w:pStyle w:val="TableNAm"/>
              <w:spacing w:before="100"/>
            </w:pPr>
            <w:r>
              <w:t>$230.00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$66.00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$1.50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$49.00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 xml:space="preserve">7; 27 Jun 2013 p. 2662; 17 Jun 2014 p. 1956; 23 Jun 2015 p. 2161.] </w:t>
      </w:r>
    </w:p>
    <w:p>
      <w:pPr>
        <w:pStyle w:val="Heading5"/>
        <w:rPr>
          <w:snapToGrid w:val="0"/>
        </w:rPr>
      </w:pPr>
      <w:bookmarkStart w:id="9" w:name="_Toc401301938"/>
      <w:bookmarkStart w:id="10" w:name="_Toc423445272"/>
      <w:r>
        <w:rPr>
          <w:rStyle w:val="CharSectno"/>
        </w:rPr>
        <w:t>4</w:t>
      </w:r>
      <w:r>
        <w:rPr>
          <w:snapToGrid w:val="0"/>
        </w:rPr>
        <w:t>.</w:t>
      </w:r>
      <w:r>
        <w:rPr>
          <w:snapToGrid w:val="0"/>
        </w:rPr>
        <w:tab/>
        <w:t>Renewals</w:t>
      </w:r>
      <w:bookmarkEnd w:id="9"/>
      <w:bookmarkEnd w:id="10"/>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11" w:name="_Toc401301939"/>
      <w:bookmarkStart w:id="12" w:name="_Toc423445273"/>
      <w:r>
        <w:rPr>
          <w:rStyle w:val="CharSectno"/>
        </w:rPr>
        <w:t>5</w:t>
      </w:r>
      <w:r>
        <w:rPr>
          <w:snapToGrid w:val="0"/>
        </w:rPr>
        <w:t>.</w:t>
      </w:r>
      <w:r>
        <w:rPr>
          <w:snapToGrid w:val="0"/>
        </w:rPr>
        <w:tab/>
        <w:t>Method of application</w:t>
      </w:r>
      <w:bookmarkEnd w:id="11"/>
      <w:bookmarkEnd w:id="12"/>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13" w:name="_Toc401301940"/>
      <w:bookmarkStart w:id="14" w:name="_Toc423445274"/>
      <w:r>
        <w:rPr>
          <w:rStyle w:val="CharSectno"/>
        </w:rPr>
        <w:t>6</w:t>
      </w:r>
      <w:r>
        <w:rPr>
          <w:snapToGrid w:val="0"/>
        </w:rPr>
        <w:t>.</w:t>
      </w:r>
      <w:r>
        <w:rPr>
          <w:snapToGrid w:val="0"/>
        </w:rPr>
        <w:tab/>
        <w:t>Notice of application</w:t>
      </w:r>
      <w:bookmarkEnd w:id="13"/>
      <w:bookmarkEnd w:id="14"/>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15" w:name="_Toc401301941"/>
      <w:bookmarkStart w:id="16" w:name="_Toc423445275"/>
      <w:r>
        <w:rPr>
          <w:rStyle w:val="CharSectno"/>
        </w:rPr>
        <w:t>7</w:t>
      </w:r>
      <w:r>
        <w:rPr>
          <w:snapToGrid w:val="0"/>
        </w:rPr>
        <w:t>.</w:t>
      </w:r>
      <w:r>
        <w:rPr>
          <w:snapToGrid w:val="0"/>
        </w:rPr>
        <w:tab/>
        <w:t>Notice of objection</w:t>
      </w:r>
      <w:bookmarkEnd w:id="15"/>
      <w:bookmarkEnd w:id="16"/>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17" w:name="_Toc401301942"/>
      <w:bookmarkStart w:id="18" w:name="_Toc423445276"/>
      <w:r>
        <w:rPr>
          <w:rStyle w:val="CharSectno"/>
        </w:rPr>
        <w:t>8</w:t>
      </w:r>
      <w:r>
        <w:rPr>
          <w:snapToGrid w:val="0"/>
        </w:rPr>
        <w:t>.</w:t>
      </w:r>
      <w:r>
        <w:rPr>
          <w:snapToGrid w:val="0"/>
        </w:rPr>
        <w:tab/>
        <w:t>Police inquiries</w:t>
      </w:r>
      <w:bookmarkEnd w:id="17"/>
      <w:bookmarkEnd w:id="1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19" w:name="_Toc401301943"/>
      <w:bookmarkStart w:id="20" w:name="_Toc423445277"/>
      <w:r>
        <w:rPr>
          <w:rStyle w:val="CharSectno"/>
        </w:rPr>
        <w:t>9</w:t>
      </w:r>
      <w:r>
        <w:rPr>
          <w:snapToGrid w:val="0"/>
        </w:rPr>
        <w:t>.</w:t>
      </w:r>
      <w:r>
        <w:rPr>
          <w:snapToGrid w:val="0"/>
        </w:rPr>
        <w:tab/>
        <w:t>Stock register</w:t>
      </w:r>
      <w:bookmarkEnd w:id="19"/>
      <w:bookmarkEnd w:id="20"/>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21" w:name="_Toc401301944"/>
      <w:bookmarkStart w:id="22" w:name="_Toc423445278"/>
      <w:r>
        <w:rPr>
          <w:rStyle w:val="CharSectno"/>
        </w:rPr>
        <w:t>10</w:t>
      </w:r>
      <w:r>
        <w:rPr>
          <w:snapToGrid w:val="0"/>
        </w:rPr>
        <w:t>.</w:t>
      </w:r>
      <w:r>
        <w:rPr>
          <w:snapToGrid w:val="0"/>
        </w:rPr>
        <w:tab/>
        <w:t>Waybills</w:t>
      </w:r>
      <w:bookmarkEnd w:id="21"/>
      <w:bookmarkEnd w:id="22"/>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23" w:name="_Toc401301945"/>
      <w:bookmarkStart w:id="24" w:name="_Toc423445279"/>
      <w:r>
        <w:rPr>
          <w:rStyle w:val="CharSectno"/>
        </w:rPr>
        <w:t>11</w:t>
      </w:r>
      <w:r>
        <w:rPr>
          <w:snapToGrid w:val="0"/>
        </w:rPr>
        <w:t>.</w:t>
      </w:r>
      <w:r>
        <w:rPr>
          <w:snapToGrid w:val="0"/>
        </w:rPr>
        <w:tab/>
        <w:t>Misrepresentation</w:t>
      </w:r>
      <w:bookmarkEnd w:id="23"/>
      <w:bookmarkEnd w:id="24"/>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98545685"/>
      <w:bookmarkStart w:id="26" w:name="_Toc398545699"/>
      <w:bookmarkStart w:id="27" w:name="_Toc398900590"/>
      <w:bookmarkStart w:id="28" w:name="_Toc401301946"/>
      <w:bookmarkStart w:id="29" w:name="_Toc412629142"/>
      <w:bookmarkStart w:id="30" w:name="_Toc412629162"/>
      <w:bookmarkStart w:id="31" w:name="_Toc422919775"/>
      <w:bookmarkStart w:id="32" w:name="_Toc422919855"/>
      <w:bookmarkStart w:id="33" w:name="_Toc423445280"/>
      <w:r>
        <w:rPr>
          <w:rStyle w:val="CharSchNo"/>
        </w:rPr>
        <w:t>Schedule</w:t>
      </w:r>
      <w:bookmarkEnd w:id="25"/>
      <w:bookmarkEnd w:id="26"/>
      <w:bookmarkEnd w:id="27"/>
      <w:bookmarkEnd w:id="28"/>
      <w:bookmarkEnd w:id="29"/>
      <w:bookmarkEnd w:id="30"/>
      <w:bookmarkEnd w:id="31"/>
      <w:bookmarkEnd w:id="32"/>
      <w:bookmarkEnd w:id="33"/>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4" w:name="_Toc398545686"/>
      <w:bookmarkStart w:id="35" w:name="_Toc398545700"/>
      <w:bookmarkStart w:id="36" w:name="_Toc398900591"/>
      <w:bookmarkStart w:id="37" w:name="_Toc401301947"/>
      <w:bookmarkStart w:id="38" w:name="_Toc412629143"/>
      <w:bookmarkStart w:id="39" w:name="_Toc412629163"/>
      <w:bookmarkStart w:id="40" w:name="_Toc422919776"/>
      <w:bookmarkStart w:id="41" w:name="_Toc422919856"/>
      <w:bookmarkStart w:id="42" w:name="_Toc423445281"/>
      <w:r>
        <w:t>Notes</w:t>
      </w:r>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401301948"/>
      <w:bookmarkStart w:id="44" w:name="_Toc423445282"/>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tcBorders>
              <w:bottom w:val="single" w:sz="8" w:space="0" w:color="auto"/>
            </w:tcBorders>
            <w:shd w:val="clear" w:color="auto" w:fill="auto"/>
          </w:tcPr>
          <w:p>
            <w:pPr>
              <w:pStyle w:val="nTable"/>
              <w:spacing w:after="40"/>
              <w:rPr>
                <w:rFonts w:ascii="Times" w:hAnsi="Times"/>
                <w:b/>
                <w:bCs/>
                <w:snapToGrid w:val="0"/>
                <w:spacing w:val="-2"/>
              </w:rPr>
            </w:pPr>
            <w:r>
              <w:t>23 Jun 2015 p. 2160</w:t>
            </w:r>
            <w:r>
              <w:noBreakHyphen/>
              <w:t>1</w:t>
            </w:r>
          </w:p>
        </w:tc>
        <w:tc>
          <w:tcPr>
            <w:tcW w:w="2664" w:type="dxa"/>
            <w:tcBorders>
              <w:bottom w:val="single" w:sz="8" w:space="0" w:color="auto"/>
            </w:tcBorders>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160"/>
        <w:rPr>
          <w:lang w:eastAsia="en-US"/>
        </w:rPr>
      </w:pPr>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lang w:eastAsia="en-US"/>
        </w:rPr>
        <w:t>Reprints Act 1984</w:t>
      </w:r>
      <w:r>
        <w:rPr>
          <w:lang w:eastAsia="en-US"/>
        </w:rPr>
        <w:t xml:space="preserve"> s. 7(5)(a).</w:t>
      </w:r>
    </w:p>
    <w:p>
      <w:pPr>
        <w:pStyle w:val="nSubsection"/>
        <w:rPr>
          <w:lang w:eastAsia="en-US"/>
        </w:rPr>
      </w:pPr>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6" w:name="_Toc412629165"/>
      <w:bookmarkStart w:id="47" w:name="_Toc422919778"/>
      <w:bookmarkStart w:id="48" w:name="_Toc422919858"/>
      <w:bookmarkStart w:id="49" w:name="_Toc423445283"/>
      <w:r>
        <w:rPr>
          <w:sz w:val="28"/>
        </w:rPr>
        <w:t>Defined terms</w:t>
      </w:r>
      <w:bookmarkEnd w:id="46"/>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15"/>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4597</Words>
  <Characters>43312</Characters>
  <Application>Microsoft Office Word</Application>
  <DocSecurity>0</DocSecurity>
  <Lines>832</Lines>
  <Paragraphs>638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1974 - 02-b0-01</dc:title>
  <dc:subject/>
  <dc:creator/>
  <cp:keywords/>
  <dc:description/>
  <cp:lastModifiedBy>svcMRProcess</cp:lastModifiedBy>
  <cp:revision>4</cp:revision>
  <cp:lastPrinted>2014-11-17T03:45:00Z</cp:lastPrinted>
  <dcterms:created xsi:type="dcterms:W3CDTF">2015-11-02T04:47:00Z</dcterms:created>
  <dcterms:modified xsi:type="dcterms:W3CDTF">2015-11-02T04:47:00Z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2015</vt:lpwstr>
  </property>
  <property fmtid="{D5CDD505-2E9C-101B-9397-08002B2CF9AE}" pid="8" name="Suffix">
    <vt:lpwstr>02-b0-01</vt:lpwstr>
  </property>
  <property fmtid="{D5CDD505-2E9C-101B-9397-08002B2CF9AE}" pid="9" name="CommencementDate">
    <vt:lpwstr>20150701</vt:lpwstr>
  </property>
</Properties>
</file>