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(Sales) Regulations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_Toc423448260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_Toc423448261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Forms</w:t>
      </w:r>
    </w:p>
    <w:p>
      <w:pPr>
        <w:pStyle w:val="TOC8"/>
        <w:rPr>
          <w:rFonts w:asciiTheme="minorHAnsi" w:eastAsiaTheme="minorEastAsia" w:hAnsiTheme="minorHAnsi" w:cstheme="minorBidi"/>
          <w:szCs w:val="22"/>
        </w:rPr>
      </w:pPr>
      <w:r>
        <w:t>3.</w:t>
      </w:r>
      <w:r>
        <w:tab/>
        <w:t>Form of register of transactions</w:t>
      </w:r>
      <w:r>
        <w:tab/>
      </w:r>
      <w:r>
        <w:fldChar w:fldCharType="begin"/>
      </w:r>
      <w:r>
        <w:instrText xml:space="preserve"> PAGEREF _Toc423448263 \h </w:instrText>
      </w:r>
      <w:r>
        <w:fldChar w:fldCharType="separate"/>
      </w:r>
      <w:r>
        <w:t>2</w:t>
      </w:r>
      <w:r>
        <w:fldChar w:fldCharType="end"/>
      </w:r>
    </w:p>
    <w:p>
      <w:pPr>
        <w:pStyle w:val="TOC8"/>
        <w:rPr>
          <w:rFonts w:asciiTheme="minorHAnsi" w:eastAsiaTheme="minorEastAsia" w:hAnsiTheme="minorHAnsi" w:cstheme="minorBidi"/>
          <w:szCs w:val="22"/>
        </w:rPr>
      </w:pPr>
      <w:r>
        <w:t>4.</w:t>
      </w:r>
      <w:r>
        <w:tab/>
        <w:t>Registers kept in writing</w:t>
      </w:r>
      <w:r>
        <w:tab/>
      </w:r>
      <w:r>
        <w:fldChar w:fldCharType="begin"/>
      </w:r>
      <w:r>
        <w:instrText xml:space="preserve"> PAGEREF _Toc423448264 \h </w:instrText>
      </w:r>
      <w:r>
        <w:fldChar w:fldCharType="separate"/>
      </w:r>
      <w:r>
        <w:t>2</w:t>
      </w:r>
      <w:r>
        <w:fldChar w:fldCharType="end"/>
      </w:r>
    </w:p>
    <w:p>
      <w:pPr>
        <w:pStyle w:val="TOC8"/>
        <w:rPr>
          <w:rFonts w:asciiTheme="minorHAnsi" w:eastAsiaTheme="minorEastAsia" w:hAnsiTheme="minorHAnsi" w:cstheme="minorBidi"/>
          <w:szCs w:val="22"/>
        </w:rPr>
      </w:pPr>
      <w:r>
        <w:t>4A.</w:t>
      </w:r>
      <w:r>
        <w:tab/>
        <w:t>Registers kept in electronic form</w:t>
      </w:r>
      <w:r>
        <w:tab/>
      </w:r>
      <w:r>
        <w:fldChar w:fldCharType="begin"/>
      </w:r>
      <w:r>
        <w:instrText xml:space="preserve"> PAGEREF _Toc423448265 \h </w:instrText>
      </w:r>
      <w:r>
        <w:fldChar w:fldCharType="separate"/>
      </w:r>
      <w:r>
        <w:t>3</w:t>
      </w:r>
      <w:r>
        <w:fldChar w:fldCharType="end"/>
      </w:r>
    </w:p>
    <w:p>
      <w:pPr>
        <w:pStyle w:val="TOC8"/>
        <w:rPr>
          <w:rFonts w:asciiTheme="minorHAnsi" w:eastAsiaTheme="minorEastAsia" w:hAnsiTheme="minorHAnsi" w:cstheme="minorBidi"/>
          <w:szCs w:val="22"/>
        </w:rPr>
      </w:pPr>
      <w:r>
        <w:t>5.</w:t>
      </w:r>
      <w:r>
        <w:tab/>
        <w:t>Notice of required particulars (section 33)</w:t>
      </w:r>
      <w:r>
        <w:tab/>
      </w:r>
      <w:r>
        <w:fldChar w:fldCharType="begin"/>
      </w:r>
      <w:r>
        <w:instrText xml:space="preserve"> PAGEREF _Toc423448266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excluded defects (Form 5)</w:t>
      </w:r>
      <w:r>
        <w:tab/>
      </w:r>
      <w:r>
        <w:fldChar w:fldCharType="begin"/>
      </w:r>
      <w:r>
        <w:instrText xml:space="preserve"> PAGEREF _Toc423448267 \h </w:instrText>
      </w:r>
      <w:r>
        <w:fldChar w:fldCharType="separate"/>
      </w:r>
      <w:r>
        <w:t>6</w:t>
      </w:r>
      <w:r>
        <w:fldChar w:fldCharType="end"/>
      </w:r>
    </w:p>
    <w:p>
      <w:pPr>
        <w:pStyle w:val="TOC8"/>
        <w:rPr>
          <w:rFonts w:asciiTheme="minorHAnsi" w:eastAsiaTheme="minorEastAsia" w:hAnsiTheme="minorHAnsi" w:cstheme="minorBidi"/>
          <w:szCs w:val="22"/>
        </w:rPr>
      </w:pPr>
      <w:r>
        <w:t>7.</w:t>
      </w:r>
      <w:r>
        <w:tab/>
        <w:t>Copies of notice at time of sale (section 33(7))</w:t>
      </w:r>
      <w:r>
        <w:tab/>
      </w:r>
      <w:r>
        <w:fldChar w:fldCharType="begin"/>
      </w:r>
      <w:r>
        <w:instrText xml:space="preserve"> PAGEREF _Toc423448268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Trust accounts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10A.</w:t>
      </w:r>
      <w:r>
        <w:tab/>
      </w:r>
      <w:r>
        <w:rPr>
          <w:snapToGrid w:val="0"/>
        </w:rPr>
        <w:t>Application</w:t>
      </w:r>
      <w:r>
        <w:tab/>
      </w:r>
      <w:r>
        <w:fldChar w:fldCharType="begin"/>
      </w:r>
      <w:r>
        <w:instrText xml:space="preserve"> PAGEREF _Toc423448271 \h </w:instrText>
      </w:r>
      <w:r>
        <w:fldChar w:fldCharType="separate"/>
      </w:r>
      <w:r>
        <w:t>8</w:t>
      </w:r>
      <w:r>
        <w:fldChar w:fldCharType="end"/>
      </w:r>
    </w:p>
    <w:p>
      <w:pPr>
        <w:pStyle w:val="TOC8"/>
        <w:rPr>
          <w:rFonts w:asciiTheme="minorHAnsi" w:eastAsiaTheme="minorEastAsia" w:hAnsiTheme="minorHAnsi" w:cstheme="minorBidi"/>
          <w:szCs w:val="22"/>
        </w:rPr>
      </w:pPr>
      <w:r>
        <w:t>10B.</w:t>
      </w:r>
      <w:r>
        <w:tab/>
        <w:t>Prescribed financial institutions (section 32C)</w:t>
      </w:r>
      <w:r>
        <w:tab/>
      </w:r>
      <w:r>
        <w:fldChar w:fldCharType="begin"/>
      </w:r>
      <w:r>
        <w:instrText xml:space="preserve"> PAGEREF _Toc423448272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Keeping and management of trust accounts</w:t>
      </w:r>
    </w:p>
    <w:p>
      <w:pPr>
        <w:pStyle w:val="TOC8"/>
        <w:rPr>
          <w:rFonts w:asciiTheme="minorHAnsi" w:eastAsiaTheme="minorEastAsia" w:hAnsiTheme="minorHAnsi" w:cstheme="minorBidi"/>
          <w:szCs w:val="22"/>
        </w:rPr>
      </w:pPr>
      <w:r>
        <w:t>10C.</w:t>
      </w:r>
      <w:r>
        <w:tab/>
        <w:t>Information to be given by the dealer to the Commissioner</w:t>
      </w:r>
      <w:r>
        <w:tab/>
      </w:r>
      <w:r>
        <w:fldChar w:fldCharType="begin"/>
      </w:r>
      <w:r>
        <w:instrText xml:space="preserve"> PAGEREF _Toc423448274 \h </w:instrText>
      </w:r>
      <w:r>
        <w:fldChar w:fldCharType="separate"/>
      </w:r>
      <w:r>
        <w:t>8</w:t>
      </w:r>
      <w:r>
        <w:fldChar w:fldCharType="end"/>
      </w:r>
    </w:p>
    <w:p>
      <w:pPr>
        <w:pStyle w:val="TOC8"/>
        <w:rPr>
          <w:rFonts w:asciiTheme="minorHAnsi" w:eastAsiaTheme="minorEastAsia" w:hAnsiTheme="minorHAnsi" w:cstheme="minorBidi"/>
          <w:szCs w:val="22"/>
        </w:rPr>
      </w:pPr>
      <w:r>
        <w:t>10D.</w:t>
      </w:r>
      <w:r>
        <w:tab/>
        <w:t>Trust accounts records</w:t>
      </w:r>
      <w:r>
        <w:tab/>
      </w:r>
      <w:r>
        <w:fldChar w:fldCharType="begin"/>
      </w:r>
      <w:r>
        <w:instrText xml:space="preserve"> PAGEREF _Toc423448275 \h </w:instrText>
      </w:r>
      <w:r>
        <w:fldChar w:fldCharType="separate"/>
      </w:r>
      <w:r>
        <w:t>9</w:t>
      </w:r>
      <w:r>
        <w:fldChar w:fldCharType="end"/>
      </w:r>
    </w:p>
    <w:p>
      <w:pPr>
        <w:pStyle w:val="TOC8"/>
        <w:rPr>
          <w:rFonts w:asciiTheme="minorHAnsi" w:eastAsiaTheme="minorEastAsia" w:hAnsiTheme="minorHAnsi" w:cstheme="minorBidi"/>
          <w:szCs w:val="22"/>
        </w:rPr>
      </w:pPr>
      <w:r>
        <w:t>10E.</w:t>
      </w:r>
      <w:r>
        <w:tab/>
        <w:t>Manner of accounting for moneys received</w:t>
      </w:r>
      <w:r>
        <w:tab/>
      </w:r>
      <w:r>
        <w:fldChar w:fldCharType="begin"/>
      </w:r>
      <w:r>
        <w:instrText xml:space="preserve"> PAGEREF _Toc423448276 \h </w:instrText>
      </w:r>
      <w:r>
        <w:fldChar w:fldCharType="separate"/>
      </w:r>
      <w:r>
        <w:t>9</w:t>
      </w:r>
      <w:r>
        <w:fldChar w:fldCharType="end"/>
      </w:r>
    </w:p>
    <w:p>
      <w:pPr>
        <w:pStyle w:val="TOC8"/>
        <w:rPr>
          <w:rFonts w:asciiTheme="minorHAnsi" w:eastAsiaTheme="minorEastAsia" w:hAnsiTheme="minorHAnsi" w:cstheme="minorBidi"/>
          <w:szCs w:val="22"/>
        </w:rPr>
      </w:pPr>
      <w:r>
        <w:t>10F.</w:t>
      </w:r>
      <w:r>
        <w:tab/>
        <w:t>Statutory declaration</w:t>
      </w:r>
      <w:r>
        <w:tab/>
      </w:r>
      <w:r>
        <w:fldChar w:fldCharType="begin"/>
      </w:r>
      <w:r>
        <w:instrText xml:space="preserve"> PAGEREF _Toc423448277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Duties of financial institutions</w:t>
      </w:r>
    </w:p>
    <w:p>
      <w:pPr>
        <w:pStyle w:val="TOC8"/>
        <w:rPr>
          <w:rFonts w:asciiTheme="minorHAnsi" w:eastAsiaTheme="minorEastAsia" w:hAnsiTheme="minorHAnsi" w:cstheme="minorBidi"/>
          <w:szCs w:val="22"/>
        </w:rPr>
      </w:pPr>
      <w:r>
        <w:t>10G.</w:t>
      </w:r>
      <w:r>
        <w:tab/>
        <w:t>Reporting overdrawn accounts</w:t>
      </w:r>
      <w:r>
        <w:tab/>
      </w:r>
      <w:r>
        <w:fldChar w:fldCharType="begin"/>
      </w:r>
      <w:r>
        <w:instrText xml:space="preserve"> PAGEREF _Toc423448279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Auditing of trust accounts</w:t>
      </w:r>
    </w:p>
    <w:p>
      <w:pPr>
        <w:pStyle w:val="TOC8"/>
        <w:rPr>
          <w:rFonts w:asciiTheme="minorHAnsi" w:eastAsiaTheme="minorEastAsia" w:hAnsiTheme="minorHAnsi" w:cstheme="minorBidi"/>
          <w:szCs w:val="22"/>
        </w:rPr>
      </w:pPr>
      <w:r>
        <w:t>10H.</w:t>
      </w:r>
      <w:r>
        <w:tab/>
        <w:t>Appointment of auditors</w:t>
      </w:r>
      <w:r>
        <w:tab/>
      </w:r>
      <w:r>
        <w:fldChar w:fldCharType="begin"/>
      </w:r>
      <w:r>
        <w:instrText xml:space="preserve"> PAGEREF _Toc423448281 \h </w:instrText>
      </w:r>
      <w:r>
        <w:fldChar w:fldCharType="separate"/>
      </w:r>
      <w:r>
        <w:t>10</w:t>
      </w:r>
      <w:r>
        <w:fldChar w:fldCharType="end"/>
      </w:r>
    </w:p>
    <w:p>
      <w:pPr>
        <w:pStyle w:val="TOC8"/>
        <w:rPr>
          <w:rFonts w:asciiTheme="minorHAnsi" w:eastAsiaTheme="minorEastAsia" w:hAnsiTheme="minorHAnsi" w:cstheme="minorBidi"/>
          <w:szCs w:val="22"/>
        </w:rPr>
      </w:pPr>
      <w:r>
        <w:t>10I.</w:t>
      </w:r>
      <w:r>
        <w:tab/>
        <w:t>Production of records to auditors</w:t>
      </w:r>
      <w:r>
        <w:tab/>
      </w:r>
      <w:r>
        <w:fldChar w:fldCharType="begin"/>
      </w:r>
      <w:r>
        <w:instrText xml:space="preserve"> PAGEREF _Toc423448282 \h </w:instrText>
      </w:r>
      <w:r>
        <w:fldChar w:fldCharType="separate"/>
      </w:r>
      <w:r>
        <w:t>11</w:t>
      </w:r>
      <w:r>
        <w:fldChar w:fldCharType="end"/>
      </w:r>
    </w:p>
    <w:p>
      <w:pPr>
        <w:pStyle w:val="TOC8"/>
        <w:rPr>
          <w:rFonts w:asciiTheme="minorHAnsi" w:eastAsiaTheme="minorEastAsia" w:hAnsiTheme="minorHAnsi" w:cstheme="minorBidi"/>
          <w:szCs w:val="22"/>
        </w:rPr>
      </w:pPr>
      <w:r>
        <w:t>10J.</w:t>
      </w:r>
      <w:r>
        <w:tab/>
        <w:t>Conduct of audits</w:t>
      </w:r>
      <w:r>
        <w:tab/>
      </w:r>
      <w:r>
        <w:fldChar w:fldCharType="begin"/>
      </w:r>
      <w:r>
        <w:instrText xml:space="preserve"> PAGEREF _Toc423448283 \h </w:instrText>
      </w:r>
      <w:r>
        <w:fldChar w:fldCharType="separate"/>
      </w:r>
      <w:r>
        <w:t>11</w:t>
      </w:r>
      <w:r>
        <w:fldChar w:fldCharType="end"/>
      </w:r>
    </w:p>
    <w:p>
      <w:pPr>
        <w:pStyle w:val="TOC8"/>
        <w:rPr>
          <w:rFonts w:asciiTheme="minorHAnsi" w:eastAsiaTheme="minorEastAsia" w:hAnsiTheme="minorHAnsi" w:cstheme="minorBidi"/>
          <w:szCs w:val="22"/>
        </w:rPr>
      </w:pPr>
      <w:r>
        <w:t>10K.</w:t>
      </w:r>
      <w:r>
        <w:tab/>
        <w:t>Auditors’ reports, contents of</w:t>
      </w:r>
      <w:r>
        <w:tab/>
      </w:r>
      <w:r>
        <w:fldChar w:fldCharType="begin"/>
      </w:r>
      <w:r>
        <w:instrText xml:space="preserve"> PAGEREF _Toc423448284 \h </w:instrText>
      </w:r>
      <w:r>
        <w:fldChar w:fldCharType="separate"/>
      </w:r>
      <w:r>
        <w:t>11</w:t>
      </w:r>
      <w:r>
        <w:fldChar w:fldCharType="end"/>
      </w:r>
    </w:p>
    <w:p>
      <w:pPr>
        <w:pStyle w:val="TOC8"/>
        <w:rPr>
          <w:rFonts w:asciiTheme="minorHAnsi" w:eastAsiaTheme="minorEastAsia" w:hAnsiTheme="minorHAnsi" w:cstheme="minorBidi"/>
          <w:szCs w:val="22"/>
        </w:rPr>
      </w:pPr>
      <w:r>
        <w:t>10L.</w:t>
      </w:r>
      <w:r>
        <w:tab/>
        <w:t>Obligation of auditor to disclose certain information</w:t>
      </w:r>
      <w:r>
        <w:tab/>
      </w:r>
      <w:r>
        <w:fldChar w:fldCharType="begin"/>
      </w:r>
      <w:r>
        <w:instrText xml:space="preserve"> PAGEREF _Toc423448285 \h </w:instrText>
      </w:r>
      <w:r>
        <w:fldChar w:fldCharType="separate"/>
      </w:r>
      <w:r>
        <w:t>12</w:t>
      </w:r>
      <w:r>
        <w:fldChar w:fldCharType="end"/>
      </w:r>
    </w:p>
    <w:p>
      <w:pPr>
        <w:pStyle w:val="TOC8"/>
        <w:rPr>
          <w:rFonts w:asciiTheme="minorHAnsi" w:eastAsiaTheme="minorEastAsia" w:hAnsiTheme="minorHAnsi" w:cstheme="minorBidi"/>
          <w:szCs w:val="22"/>
        </w:rPr>
      </w:pPr>
      <w:r>
        <w:t>10M.</w:t>
      </w:r>
      <w:r>
        <w:tab/>
        <w:t>Costs of auditing</w:t>
      </w:r>
      <w:r>
        <w:tab/>
      </w:r>
      <w:r>
        <w:fldChar w:fldCharType="begin"/>
      </w:r>
      <w:r>
        <w:instrText xml:space="preserve"> PAGEREF _Toc423448286 \h </w:instrText>
      </w:r>
      <w:r>
        <w:fldChar w:fldCharType="separate"/>
      </w:r>
      <w:r>
        <w:t>12</w:t>
      </w:r>
      <w:r>
        <w:fldChar w:fldCharType="end"/>
      </w:r>
    </w:p>
    <w:p>
      <w:pPr>
        <w:pStyle w:val="TOC8"/>
        <w:rPr>
          <w:rFonts w:asciiTheme="minorHAnsi" w:eastAsiaTheme="minorEastAsia" w:hAnsiTheme="minorHAnsi" w:cstheme="minorBidi"/>
          <w:szCs w:val="22"/>
        </w:rPr>
      </w:pPr>
      <w:r>
        <w:t>10N.</w:t>
      </w:r>
      <w:r>
        <w:tab/>
        <w:t>When and to whom the auditor must report</w:t>
      </w:r>
      <w:r>
        <w:tab/>
      </w:r>
      <w:r>
        <w:fldChar w:fldCharType="begin"/>
      </w:r>
      <w:r>
        <w:instrText xml:space="preserve"> PAGEREF _Toc423448287 \h </w:instrText>
      </w:r>
      <w:r>
        <w:fldChar w:fldCharType="separate"/>
      </w:r>
      <w:r>
        <w:t>12</w:t>
      </w:r>
      <w:r>
        <w:fldChar w:fldCharType="end"/>
      </w:r>
    </w:p>
    <w:p>
      <w:pPr>
        <w:pStyle w:val="TOC8"/>
        <w:rPr>
          <w:rFonts w:asciiTheme="minorHAnsi" w:eastAsiaTheme="minorEastAsia" w:hAnsiTheme="minorHAnsi" w:cstheme="minorBidi"/>
          <w:szCs w:val="22"/>
        </w:rPr>
      </w:pPr>
      <w:r>
        <w:t>10O.</w:t>
      </w:r>
      <w:r>
        <w:tab/>
        <w:t>Confidentiality of audit information</w:t>
      </w:r>
      <w:r>
        <w:tab/>
      </w:r>
      <w:r>
        <w:fldChar w:fldCharType="begin"/>
      </w:r>
      <w:r>
        <w:instrText xml:space="preserve"> PAGEREF _Toc423448288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11</w:t>
      </w:r>
      <w:r>
        <w:rPr>
          <w:snapToGrid w:val="0"/>
        </w:rPr>
        <w:t>.</w:t>
      </w:r>
      <w:r>
        <w:rPr>
          <w:snapToGrid w:val="0"/>
        </w:rPr>
        <w:tab/>
        <w:t>Advertising</w:t>
      </w:r>
      <w:r>
        <w:tab/>
      </w:r>
      <w:r>
        <w:fldChar w:fldCharType="begin"/>
      </w:r>
      <w:r>
        <w:instrText xml:space="preserve"> PAGEREF _Toc423448290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Undesirable practices (Schedule 2)</w:t>
      </w:r>
      <w:r>
        <w:tab/>
      </w:r>
      <w:r>
        <w:fldChar w:fldCharType="begin"/>
      </w:r>
      <w:r>
        <w:instrText xml:space="preserve"> PAGEREF _Toc423448291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Prescribed accessories (Schedule 3)</w:t>
      </w:r>
      <w:r>
        <w:tab/>
      </w:r>
      <w:r>
        <w:fldChar w:fldCharType="begin"/>
      </w:r>
      <w:r>
        <w:instrText xml:space="preserve"> PAGEREF _Toc423448292 \h </w:instrText>
      </w:r>
      <w:r>
        <w:fldChar w:fldCharType="separate"/>
      </w:r>
      <w:r>
        <w:t>14</w:t>
      </w:r>
      <w:r>
        <w:fldChar w:fldCharType="end"/>
      </w:r>
    </w:p>
    <w:p>
      <w:pPr>
        <w:pStyle w:val="TOC8"/>
        <w:rPr>
          <w:rFonts w:asciiTheme="minorHAnsi" w:eastAsiaTheme="minorEastAsia" w:hAnsiTheme="minorHAnsi" w:cstheme="minorBidi"/>
          <w:szCs w:val="22"/>
        </w:rPr>
      </w:pPr>
      <w:r>
        <w:t>13A.</w:t>
      </w:r>
      <w:r>
        <w:tab/>
        <w:t>Prescribed requirements</w:t>
      </w:r>
      <w:r>
        <w:rPr>
          <w:snapToGrid w:val="0"/>
        </w:rPr>
        <w:t xml:space="preserve"> for vehicle consignment agreements (Schedule 4)</w:t>
      </w:r>
      <w:r>
        <w:tab/>
      </w:r>
      <w:r>
        <w:fldChar w:fldCharType="begin"/>
      </w:r>
      <w:r>
        <w:instrText xml:space="preserve"> PAGEREF _Toc423448293 \h </w:instrText>
      </w:r>
      <w:r>
        <w:fldChar w:fldCharType="separate"/>
      </w:r>
      <w:r>
        <w:t>14</w:t>
      </w:r>
      <w:r>
        <w:fldChar w:fldCharType="end"/>
      </w:r>
    </w:p>
    <w:p>
      <w:pPr>
        <w:pStyle w:val="TOC8"/>
        <w:rPr>
          <w:rFonts w:asciiTheme="minorHAnsi" w:eastAsiaTheme="minorEastAsia" w:hAnsiTheme="minorHAnsi" w:cstheme="minorBidi"/>
          <w:szCs w:val="22"/>
        </w:rPr>
      </w:pPr>
      <w:r>
        <w:t>13B.</w:t>
      </w:r>
      <w:r>
        <w:tab/>
        <w:t>Prescribed requirements for vehicle sale agreements (Schedule 5)</w:t>
      </w:r>
      <w:r>
        <w:tab/>
      </w:r>
      <w:r>
        <w:fldChar w:fldCharType="begin"/>
      </w:r>
      <w:r>
        <w:instrText xml:space="preserve"> PAGEREF _Toc423448294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Penalties</w:t>
      </w:r>
      <w:r>
        <w:tab/>
      </w:r>
      <w:r>
        <w:fldChar w:fldCharType="begin"/>
      </w:r>
      <w:r>
        <w:instrText xml:space="preserve"> PAGEREF _Toc423448295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Form 1 — Register of transactions</w:t>
      </w:r>
    </w:p>
    <w:p>
      <w:pPr>
        <w:pStyle w:val="TOC4"/>
        <w:tabs>
          <w:tab w:val="right" w:leader="dot" w:pos="7077"/>
        </w:tabs>
        <w:rPr>
          <w:rFonts w:asciiTheme="minorHAnsi" w:eastAsiaTheme="minorEastAsia" w:hAnsiTheme="minorHAnsi" w:cstheme="minorBidi"/>
          <w:b w:val="0"/>
          <w:szCs w:val="22"/>
        </w:rPr>
      </w:pPr>
      <w:r>
        <w:t>Form 4</w:t>
      </w:r>
      <w:r>
        <w:rPr>
          <w:b w:val="0"/>
        </w:rPr>
        <w:t> — </w:t>
      </w:r>
      <w:r>
        <w:t>Vehicle particulars and warranty</w:t>
      </w:r>
    </w:p>
    <w:p>
      <w:pPr>
        <w:pStyle w:val="TOC4"/>
        <w:tabs>
          <w:tab w:val="right" w:leader="dot" w:pos="7077"/>
        </w:tabs>
        <w:rPr>
          <w:rFonts w:asciiTheme="minorHAnsi" w:eastAsiaTheme="minorEastAsia" w:hAnsiTheme="minorHAnsi" w:cstheme="minorBidi"/>
          <w:b w:val="0"/>
          <w:szCs w:val="22"/>
        </w:rPr>
      </w:pPr>
      <w:r>
        <w:t>Form 5</w:t>
      </w:r>
      <w:r>
        <w:rPr>
          <w:b w:val="0"/>
        </w:rPr>
        <w:t> — </w:t>
      </w:r>
      <w:r>
        <w:t>Notice of defects excluded from warranty</w:t>
      </w:r>
    </w:p>
    <w:p>
      <w:pPr>
        <w:pStyle w:val="TOC4"/>
        <w:tabs>
          <w:tab w:val="right" w:leader="dot" w:pos="7077"/>
        </w:tabs>
        <w:rPr>
          <w:rFonts w:asciiTheme="minorHAnsi" w:eastAsiaTheme="minorEastAsia" w:hAnsiTheme="minorHAnsi" w:cstheme="minorBidi"/>
          <w:b w:val="0"/>
          <w:szCs w:val="22"/>
        </w:rPr>
      </w:pPr>
      <w:r>
        <w:t>Form 6</w:t>
      </w:r>
      <w:r>
        <w:rPr>
          <w:b w:val="0"/>
        </w:rPr>
        <w:t> — </w:t>
      </w:r>
      <w:r>
        <w:t>Vehicle particulars — no warranty</w:t>
      </w:r>
    </w:p>
    <w:p>
      <w:pPr>
        <w:pStyle w:val="TOC2"/>
        <w:tabs>
          <w:tab w:val="right" w:leader="dot" w:pos="7077"/>
        </w:tabs>
        <w:rPr>
          <w:rFonts w:asciiTheme="minorHAnsi" w:eastAsiaTheme="minorEastAsia" w:hAnsiTheme="minorHAnsi" w:cstheme="minorBidi"/>
          <w:b w:val="0"/>
          <w:sz w:val="22"/>
          <w:szCs w:val="22"/>
        </w:rPr>
      </w:pPr>
      <w:r>
        <w:t>Schedule 2 — Undesirable practices</w:t>
      </w:r>
    </w:p>
    <w:p>
      <w:pPr>
        <w:pStyle w:val="TOC2"/>
        <w:tabs>
          <w:tab w:val="right" w:leader="dot" w:pos="7077"/>
        </w:tabs>
        <w:rPr>
          <w:rFonts w:asciiTheme="minorHAnsi" w:eastAsiaTheme="minorEastAsia" w:hAnsiTheme="minorHAnsi" w:cstheme="minorBidi"/>
          <w:b w:val="0"/>
          <w:sz w:val="22"/>
          <w:szCs w:val="22"/>
        </w:rPr>
      </w:pPr>
      <w:r>
        <w:t>Schedule 3 — Prescribed accessories</w:t>
      </w:r>
    </w:p>
    <w:p>
      <w:pPr>
        <w:pStyle w:val="TOC2"/>
        <w:tabs>
          <w:tab w:val="right" w:leader="dot" w:pos="7077"/>
        </w:tabs>
        <w:rPr>
          <w:rFonts w:asciiTheme="minorHAnsi" w:eastAsiaTheme="minorEastAsia" w:hAnsiTheme="minorHAnsi" w:cstheme="minorBidi"/>
          <w:b w:val="0"/>
          <w:sz w:val="22"/>
          <w:szCs w:val="22"/>
        </w:rPr>
      </w:pPr>
      <w:r>
        <w:t>Schedule 4 — Vehicle consignment contract</w:t>
      </w:r>
    </w:p>
    <w:p>
      <w:pPr>
        <w:pStyle w:val="TOC2"/>
        <w:tabs>
          <w:tab w:val="right" w:leader="dot" w:pos="7077"/>
        </w:tabs>
        <w:rPr>
          <w:rFonts w:asciiTheme="minorHAnsi" w:eastAsiaTheme="minorEastAsia" w:hAnsiTheme="minorHAnsi" w:cstheme="minorBidi"/>
          <w:b w:val="0"/>
          <w:sz w:val="22"/>
          <w:szCs w:val="22"/>
        </w:rPr>
      </w:pPr>
      <w:r>
        <w:t>Schedule 5 — Vehicle sale contract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_Toc423448306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pPr>
      <w:bookmarkStart w:id="3" w:name="_Toc416883785"/>
      <w:bookmarkStart w:id="4" w:name="_Toc416883834"/>
      <w:bookmarkStart w:id="5" w:name="_Toc417647897"/>
      <w:bookmarkStart w:id="6" w:name="_Toc423448259"/>
      <w:r>
        <w:rPr>
          <w:rStyle w:val="CharPartNo"/>
        </w:rPr>
        <w:t>Part 1</w:t>
      </w:r>
      <w:r>
        <w:t xml:space="preserve"> — </w:t>
      </w:r>
      <w:r>
        <w:rPr>
          <w:rStyle w:val="CharPartText"/>
        </w:rPr>
        <w:t>Preliminary</w:t>
      </w:r>
      <w:bookmarkEnd w:id="3"/>
      <w:bookmarkEnd w:id="4"/>
      <w:bookmarkEnd w:id="5"/>
      <w:bookmarkEnd w:id="6"/>
    </w:p>
    <w:p>
      <w:pPr>
        <w:pStyle w:val="Footnoteheading"/>
        <w:tabs>
          <w:tab w:val="left" w:pos="851"/>
        </w:tabs>
      </w:pPr>
      <w:r>
        <w:tab/>
        <w:t>[Heading inserted in Gazette 13 Aug 2002 p. 4159.]</w:t>
      </w:r>
    </w:p>
    <w:p>
      <w:pPr>
        <w:pStyle w:val="Heading5"/>
        <w:spacing w:before="180"/>
        <w:rPr>
          <w:snapToGrid w:val="0"/>
        </w:rPr>
      </w:pPr>
      <w:bookmarkStart w:id="7" w:name="_Toc423448260"/>
      <w:r>
        <w:rPr>
          <w:rStyle w:val="CharSectno"/>
        </w:rPr>
        <w:t>1</w:t>
      </w:r>
      <w:r>
        <w:rPr>
          <w:snapToGrid w:val="0"/>
        </w:rPr>
        <w:t>.</w:t>
      </w:r>
      <w:r>
        <w:rPr>
          <w:snapToGrid w:val="0"/>
        </w:rPr>
        <w:tab/>
        <w:t>Citation</w:t>
      </w:r>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8" w:name="_Toc423448261"/>
      <w:r>
        <w:rPr>
          <w:rStyle w:val="CharSectno"/>
        </w:rPr>
        <w:t>2</w:t>
      </w:r>
      <w:r>
        <w:rPr>
          <w:snapToGrid w:val="0"/>
        </w:rPr>
        <w:t>.</w:t>
      </w:r>
      <w:r>
        <w:rPr>
          <w:snapToGrid w:val="0"/>
        </w:rPr>
        <w:tab/>
        <w:t>Interpretation</w:t>
      </w:r>
      <w:bookmarkEnd w:id="8"/>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in Gazette 13 Aug 2002 p. 4159; 17 Nov 2006 p. 4750.]</w:t>
      </w:r>
    </w:p>
    <w:p>
      <w:pPr>
        <w:pStyle w:val="Heading2"/>
      </w:pPr>
      <w:bookmarkStart w:id="9" w:name="_Toc416883788"/>
      <w:bookmarkStart w:id="10" w:name="_Toc416883837"/>
      <w:bookmarkStart w:id="11" w:name="_Toc417647900"/>
      <w:bookmarkStart w:id="12" w:name="_Toc423448262"/>
      <w:r>
        <w:rPr>
          <w:rStyle w:val="CharPartNo"/>
        </w:rPr>
        <w:t>Part 2</w:t>
      </w:r>
      <w:r>
        <w:t xml:space="preserve"> — </w:t>
      </w:r>
      <w:r>
        <w:rPr>
          <w:rStyle w:val="CharPartText"/>
        </w:rPr>
        <w:t>Forms</w:t>
      </w:r>
      <w:bookmarkEnd w:id="9"/>
      <w:bookmarkEnd w:id="10"/>
      <w:bookmarkEnd w:id="11"/>
      <w:bookmarkEnd w:id="12"/>
    </w:p>
    <w:p>
      <w:pPr>
        <w:pStyle w:val="Footnoteheading"/>
        <w:tabs>
          <w:tab w:val="left" w:pos="851"/>
        </w:tabs>
      </w:pPr>
      <w:r>
        <w:tab/>
        <w:t>[Heading inserted in Gazette 13 Aug 2002 p. 4159.]</w:t>
      </w:r>
    </w:p>
    <w:p>
      <w:pPr>
        <w:pStyle w:val="Heading5"/>
      </w:pPr>
      <w:bookmarkStart w:id="13" w:name="_Toc423448263"/>
      <w:r>
        <w:rPr>
          <w:rStyle w:val="CharSectno"/>
        </w:rPr>
        <w:t>3</w:t>
      </w:r>
      <w:r>
        <w:t>.</w:t>
      </w:r>
      <w:r>
        <w:tab/>
        <w:t>Form of register of transactions</w:t>
      </w:r>
      <w:bookmarkEnd w:id="13"/>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in Gazette 17 Nov 2006 p. 4750.]</w:t>
      </w:r>
    </w:p>
    <w:p>
      <w:pPr>
        <w:pStyle w:val="Heading5"/>
      </w:pPr>
      <w:bookmarkStart w:id="14" w:name="_Toc423448264"/>
      <w:r>
        <w:rPr>
          <w:rStyle w:val="CharSectno"/>
        </w:rPr>
        <w:t>4</w:t>
      </w:r>
      <w:r>
        <w:t>.</w:t>
      </w:r>
      <w:r>
        <w:tab/>
        <w:t>Registers kept in writing</w:t>
      </w:r>
      <w:bookmarkEnd w:id="14"/>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his or her name and the date of the entry in the Remarks column (see Form 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in Gazette 17 Nov 2006 p. 4751.]</w:t>
      </w:r>
    </w:p>
    <w:p>
      <w:pPr>
        <w:pStyle w:val="Heading5"/>
      </w:pPr>
      <w:bookmarkStart w:id="15" w:name="_Toc423448265"/>
      <w:r>
        <w:rPr>
          <w:rStyle w:val="CharSectno"/>
        </w:rPr>
        <w:t>4A</w:t>
      </w:r>
      <w:r>
        <w:t>.</w:t>
      </w:r>
      <w:r>
        <w:tab/>
        <w:t>Registers kept in electronic form</w:t>
      </w:r>
      <w:bookmarkEnd w:id="15"/>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in Gazette 17 Nov 2006 p. 4751</w:t>
      </w:r>
      <w:r>
        <w:noBreakHyphen/>
        <w:t>2.]</w:t>
      </w:r>
    </w:p>
    <w:p>
      <w:pPr>
        <w:pStyle w:val="Heading5"/>
      </w:pPr>
      <w:bookmarkStart w:id="16" w:name="_Toc423448266"/>
      <w:r>
        <w:rPr>
          <w:rStyle w:val="CharSectno"/>
        </w:rPr>
        <w:t>5</w:t>
      </w:r>
      <w:r>
        <w:t>.</w:t>
      </w:r>
      <w:r>
        <w:tab/>
        <w:t>Notice of required particulars (section 33)</w:t>
      </w:r>
      <w:bookmarkEnd w:id="16"/>
    </w:p>
    <w:p>
      <w:pPr>
        <w:pStyle w:val="Subsection"/>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34A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smartTag w:uri="urn:schemas-microsoft-com:office:smarttags" w:element="State">
              <w:smartTag w:uri="urn:schemas-microsoft-com:office:smarttags" w:element="place">
                <w:r>
                  <w:rPr>
                    <w:sz w:val="16"/>
                  </w:rPr>
                  <w:t>WESTERN AUSTRALIA</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 xml:space="preserve">ODOMETER </w:t>
            </w:r>
            <w:smartTag w:uri="urn:schemas-microsoft-com:office:smarttags" w:element="City">
              <w:smartTag w:uri="urn:schemas-microsoft-com:office:smarttags" w:element="place">
                <w:r>
                  <w:rPr>
                    <w:sz w:val="16"/>
                  </w:rPr>
                  <w:t>READING</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in Gazette 26 Jun 1998 p. 3375</w:t>
      </w:r>
      <w:r>
        <w:noBreakHyphen/>
        <w:t>6; amended in Gazette 18 Sep 1998 p. 5158; 30 Jun 2015 p. 2331.]</w:t>
      </w:r>
    </w:p>
    <w:p>
      <w:pPr>
        <w:pStyle w:val="Ednotesection"/>
        <w:rPr>
          <w:b/>
        </w:rPr>
      </w:pPr>
      <w:r>
        <w:t>[</w:t>
      </w:r>
      <w:r>
        <w:rPr>
          <w:b/>
        </w:rPr>
        <w:t>5A.</w:t>
      </w:r>
      <w:r>
        <w:rPr>
          <w:b/>
        </w:rPr>
        <w:tab/>
      </w:r>
      <w:r>
        <w:t>Deleted in Gazette 13 Aug 2002 p. 4160.]</w:t>
      </w:r>
    </w:p>
    <w:p>
      <w:pPr>
        <w:pStyle w:val="Heading5"/>
        <w:rPr>
          <w:snapToGrid w:val="0"/>
        </w:rPr>
      </w:pPr>
      <w:bookmarkStart w:id="17" w:name="_Toc423448267"/>
      <w:r>
        <w:rPr>
          <w:rStyle w:val="CharSectno"/>
        </w:rPr>
        <w:t>6</w:t>
      </w:r>
      <w:r>
        <w:rPr>
          <w:snapToGrid w:val="0"/>
        </w:rPr>
        <w:t>.</w:t>
      </w:r>
      <w:r>
        <w:rPr>
          <w:snapToGrid w:val="0"/>
        </w:rPr>
        <w:tab/>
        <w:t>Notice of excluded defects (Form 5)</w:t>
      </w:r>
      <w:bookmarkEnd w:id="17"/>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Oct 1974 p. 3885; 17 Nov 2006 p. 4752.]</w:t>
      </w:r>
    </w:p>
    <w:p>
      <w:pPr>
        <w:pStyle w:val="Heading5"/>
      </w:pPr>
      <w:bookmarkStart w:id="18" w:name="_Toc423448268"/>
      <w:r>
        <w:rPr>
          <w:rStyle w:val="CharSectno"/>
        </w:rPr>
        <w:t>7</w:t>
      </w:r>
      <w:r>
        <w:t>.</w:t>
      </w:r>
      <w:r>
        <w:tab/>
        <w:t>Copies of notice at time of sale (section 33(7))</w:t>
      </w:r>
      <w:bookmarkEnd w:id="18"/>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in Gazette 26 Jun 1998 p. 3376; amended in Gazette 17 Nov 2006 p. 4752.]</w:t>
      </w:r>
    </w:p>
    <w:p>
      <w:pPr>
        <w:pStyle w:val="Ednotesection"/>
      </w:pPr>
      <w:r>
        <w:t>[</w:t>
      </w:r>
      <w:r>
        <w:rPr>
          <w:b/>
          <w:bCs/>
        </w:rPr>
        <w:t>8</w:t>
      </w:r>
      <w:r>
        <w:rPr>
          <w:b/>
          <w:bCs/>
        </w:rPr>
        <w:noBreakHyphen/>
        <w:t>10.</w:t>
      </w:r>
      <w:r>
        <w:rPr>
          <w:b/>
          <w:bCs/>
        </w:rPr>
        <w:tab/>
      </w:r>
      <w:r>
        <w:t>Deleted in Gazette 17 Nov 2006 p. 4752.]</w:t>
      </w:r>
    </w:p>
    <w:p>
      <w:pPr>
        <w:pStyle w:val="Heading2"/>
      </w:pPr>
      <w:bookmarkStart w:id="19" w:name="_Toc416883795"/>
      <w:bookmarkStart w:id="20" w:name="_Toc416883844"/>
      <w:bookmarkStart w:id="21" w:name="_Toc417647907"/>
      <w:bookmarkStart w:id="22" w:name="_Toc423448269"/>
      <w:r>
        <w:rPr>
          <w:rStyle w:val="CharPartNo"/>
        </w:rPr>
        <w:t>Part 3</w:t>
      </w:r>
      <w:r>
        <w:t xml:space="preserve"> — </w:t>
      </w:r>
      <w:r>
        <w:rPr>
          <w:rStyle w:val="CharPartText"/>
        </w:rPr>
        <w:t>Trust accounts</w:t>
      </w:r>
      <w:bookmarkEnd w:id="19"/>
      <w:bookmarkEnd w:id="20"/>
      <w:bookmarkEnd w:id="21"/>
      <w:bookmarkEnd w:id="22"/>
    </w:p>
    <w:p>
      <w:pPr>
        <w:pStyle w:val="Footnoteheading"/>
        <w:tabs>
          <w:tab w:val="left" w:pos="851"/>
        </w:tabs>
      </w:pPr>
      <w:r>
        <w:tab/>
        <w:t>[Heading inserted in Gazette 13 Aug 2002 p. 4160.]</w:t>
      </w:r>
    </w:p>
    <w:p>
      <w:pPr>
        <w:pStyle w:val="Heading3"/>
      </w:pPr>
      <w:bookmarkStart w:id="23" w:name="_Toc416883796"/>
      <w:bookmarkStart w:id="24" w:name="_Toc416883845"/>
      <w:bookmarkStart w:id="25" w:name="_Toc417647908"/>
      <w:bookmarkStart w:id="26" w:name="_Toc423448270"/>
      <w:r>
        <w:rPr>
          <w:rStyle w:val="CharDivNo"/>
        </w:rPr>
        <w:t>Division 1</w:t>
      </w:r>
      <w:r>
        <w:t xml:space="preserve"> — </w:t>
      </w:r>
      <w:r>
        <w:rPr>
          <w:rStyle w:val="CharDivText"/>
        </w:rPr>
        <w:t>General</w:t>
      </w:r>
      <w:bookmarkEnd w:id="23"/>
      <w:bookmarkEnd w:id="24"/>
      <w:bookmarkEnd w:id="25"/>
      <w:bookmarkEnd w:id="26"/>
    </w:p>
    <w:p>
      <w:pPr>
        <w:pStyle w:val="Footnoteheading"/>
        <w:tabs>
          <w:tab w:val="left" w:pos="851"/>
        </w:tabs>
      </w:pPr>
      <w:r>
        <w:tab/>
        <w:t>[Heading inserted in Gazette 13 Aug 2002 p. 4160.]</w:t>
      </w:r>
    </w:p>
    <w:p>
      <w:pPr>
        <w:pStyle w:val="Heading5"/>
      </w:pPr>
      <w:bookmarkStart w:id="27" w:name="_Toc423448271"/>
      <w:r>
        <w:rPr>
          <w:rStyle w:val="CharSectno"/>
        </w:rPr>
        <w:t>10A</w:t>
      </w:r>
      <w:r>
        <w:t>.</w:t>
      </w:r>
      <w:r>
        <w:tab/>
      </w:r>
      <w:r>
        <w:rPr>
          <w:snapToGrid w:val="0"/>
        </w:rPr>
        <w:t>Application</w:t>
      </w:r>
      <w:bookmarkEnd w:id="27"/>
    </w:p>
    <w:p>
      <w:pPr>
        <w:pStyle w:val="Subsection"/>
      </w:pPr>
      <w:r>
        <w:tab/>
      </w:r>
      <w:r>
        <w:tab/>
        <w:t>This Part applies to trust accounts required to be maintained by a dealer under section 32C.</w:t>
      </w:r>
    </w:p>
    <w:p>
      <w:pPr>
        <w:pStyle w:val="Footnotesection"/>
      </w:pPr>
      <w:r>
        <w:tab/>
        <w:t>[Regulation 10A inserted in Gazette 13 Aug 2002 p. 4160.]</w:t>
      </w:r>
    </w:p>
    <w:p>
      <w:pPr>
        <w:pStyle w:val="Heading5"/>
      </w:pPr>
      <w:bookmarkStart w:id="28" w:name="_Toc423448272"/>
      <w:r>
        <w:rPr>
          <w:rStyle w:val="CharSectno"/>
        </w:rPr>
        <w:t>10B</w:t>
      </w:r>
      <w:r>
        <w:t>.</w:t>
      </w:r>
      <w:r>
        <w:tab/>
        <w:t>Prescribed financial institutions (section 32C)</w:t>
      </w:r>
      <w:bookmarkEnd w:id="28"/>
    </w:p>
    <w:p>
      <w:pPr>
        <w:pStyle w:val="Subsection"/>
      </w:pPr>
      <w:r>
        <w:tab/>
      </w:r>
      <w:r>
        <w:tab/>
        <w:t>For the purposes of section 32C all banks, building societies and credit societies are prescribed financial institutions.</w:t>
      </w:r>
    </w:p>
    <w:p>
      <w:pPr>
        <w:pStyle w:val="Footnotesection"/>
      </w:pPr>
      <w:r>
        <w:tab/>
        <w:t>[Regulation 10B inserted in Gazette 13 Aug 2002 p. 4160.]</w:t>
      </w:r>
    </w:p>
    <w:p>
      <w:pPr>
        <w:pStyle w:val="Heading3"/>
      </w:pPr>
      <w:bookmarkStart w:id="29" w:name="_Toc416883799"/>
      <w:bookmarkStart w:id="30" w:name="_Toc416883848"/>
      <w:bookmarkStart w:id="31" w:name="_Toc417647911"/>
      <w:bookmarkStart w:id="32" w:name="_Toc423448273"/>
      <w:r>
        <w:rPr>
          <w:rStyle w:val="CharDivNo"/>
        </w:rPr>
        <w:t>Division 2</w:t>
      </w:r>
      <w:r>
        <w:t xml:space="preserve"> — </w:t>
      </w:r>
      <w:r>
        <w:rPr>
          <w:rStyle w:val="CharDivText"/>
        </w:rPr>
        <w:t>Keeping and management of trust accounts</w:t>
      </w:r>
      <w:bookmarkEnd w:id="29"/>
      <w:bookmarkEnd w:id="30"/>
      <w:bookmarkEnd w:id="31"/>
      <w:bookmarkEnd w:id="32"/>
    </w:p>
    <w:p>
      <w:pPr>
        <w:pStyle w:val="Footnoteheading"/>
        <w:tabs>
          <w:tab w:val="left" w:pos="851"/>
        </w:tabs>
      </w:pPr>
      <w:r>
        <w:tab/>
        <w:t>[Heading inserted in Gazette 13 Aug 2002 p. 4160.]</w:t>
      </w:r>
    </w:p>
    <w:p>
      <w:pPr>
        <w:pStyle w:val="Heading5"/>
      </w:pPr>
      <w:bookmarkStart w:id="33" w:name="_Toc423448274"/>
      <w:r>
        <w:rPr>
          <w:rStyle w:val="CharSectno"/>
        </w:rPr>
        <w:t>10C</w:t>
      </w:r>
      <w:r>
        <w:t>.</w:t>
      </w:r>
      <w:r>
        <w:tab/>
        <w:t>Information to be given by the dealer to the Commissioner</w:t>
      </w:r>
      <w:bookmarkEnd w:id="33"/>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in Gazette 13 Aug 2002 p. 4160; amended in Gazette 30 Jun 2011 p. 2660.]</w:t>
      </w:r>
    </w:p>
    <w:p>
      <w:pPr>
        <w:pStyle w:val="Heading5"/>
      </w:pPr>
      <w:bookmarkStart w:id="34" w:name="_Toc423448275"/>
      <w:r>
        <w:rPr>
          <w:rStyle w:val="CharSectno"/>
        </w:rPr>
        <w:t>10D</w:t>
      </w:r>
      <w:r>
        <w:t>.</w:t>
      </w:r>
      <w:r>
        <w:tab/>
        <w:t>Trust accounts records</w:t>
      </w:r>
      <w:bookmarkEnd w:id="34"/>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in Gazette 13 Aug 2002 p. 4160</w:t>
      </w:r>
      <w:r>
        <w:noBreakHyphen/>
        <w:t>1.]</w:t>
      </w:r>
    </w:p>
    <w:p>
      <w:pPr>
        <w:pStyle w:val="Heading5"/>
      </w:pPr>
      <w:bookmarkStart w:id="35" w:name="_Toc423448276"/>
      <w:r>
        <w:rPr>
          <w:rStyle w:val="CharSectno"/>
        </w:rPr>
        <w:t>10E</w:t>
      </w:r>
      <w:r>
        <w:t>.</w:t>
      </w:r>
      <w:r>
        <w:tab/>
        <w:t>Manner of accounting for moneys received</w:t>
      </w:r>
      <w:bookmarkEnd w:id="35"/>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in Gazette 13 Aug 2002 p. 4161.]</w:t>
      </w:r>
    </w:p>
    <w:p>
      <w:pPr>
        <w:pStyle w:val="Heading5"/>
      </w:pPr>
      <w:bookmarkStart w:id="36" w:name="_Toc423448277"/>
      <w:r>
        <w:rPr>
          <w:rStyle w:val="CharSectno"/>
        </w:rPr>
        <w:t>10F</w:t>
      </w:r>
      <w:r>
        <w:t>.</w:t>
      </w:r>
      <w:r>
        <w:tab/>
        <w:t>Statutory declaration</w:t>
      </w:r>
      <w:bookmarkEnd w:id="36"/>
    </w:p>
    <w:p>
      <w:pPr>
        <w:pStyle w:val="Subsection"/>
      </w:pPr>
      <w:r>
        <w:tab/>
      </w:r>
      <w:r>
        <w:tab/>
        <w:t>Where in a calendar year a dealer has neither held nor received money in relation to a trust account, the dealer must, within 3 months of the end of that year, provide the Commissioner with a statutory declaration to this effect.</w:t>
      </w:r>
    </w:p>
    <w:p>
      <w:pPr>
        <w:pStyle w:val="Footnotesection"/>
      </w:pPr>
      <w:r>
        <w:tab/>
        <w:t>[Regulation 10F inserted in Gazette 13 Aug 2002 p. 4161; amended in Gazette 30 Jun 2011 p. 2660.]</w:t>
      </w:r>
    </w:p>
    <w:p>
      <w:pPr>
        <w:pStyle w:val="Heading3"/>
      </w:pPr>
      <w:bookmarkStart w:id="37" w:name="_Toc416883804"/>
      <w:bookmarkStart w:id="38" w:name="_Toc416883853"/>
      <w:bookmarkStart w:id="39" w:name="_Toc417647916"/>
      <w:bookmarkStart w:id="40" w:name="_Toc423448278"/>
      <w:r>
        <w:rPr>
          <w:rStyle w:val="CharDivNo"/>
        </w:rPr>
        <w:t>Division 3</w:t>
      </w:r>
      <w:r>
        <w:t xml:space="preserve"> — </w:t>
      </w:r>
      <w:r>
        <w:rPr>
          <w:rStyle w:val="CharDivText"/>
        </w:rPr>
        <w:t>Duties of financial institutions</w:t>
      </w:r>
      <w:bookmarkEnd w:id="37"/>
      <w:bookmarkEnd w:id="38"/>
      <w:bookmarkEnd w:id="39"/>
      <w:bookmarkEnd w:id="40"/>
    </w:p>
    <w:p>
      <w:pPr>
        <w:pStyle w:val="Footnoteheading"/>
        <w:tabs>
          <w:tab w:val="left" w:pos="851"/>
        </w:tabs>
      </w:pPr>
      <w:r>
        <w:tab/>
        <w:t>[Heading inserted in Gazette 13 Aug 2002 p. 4161.]</w:t>
      </w:r>
    </w:p>
    <w:p>
      <w:pPr>
        <w:pStyle w:val="Heading5"/>
      </w:pPr>
      <w:bookmarkStart w:id="41" w:name="_Toc423448279"/>
      <w:r>
        <w:rPr>
          <w:rStyle w:val="CharSectno"/>
        </w:rPr>
        <w:t>10G</w:t>
      </w:r>
      <w:r>
        <w:t>.</w:t>
      </w:r>
      <w:r>
        <w:tab/>
        <w:t>Reporting overdrawn accounts</w:t>
      </w:r>
      <w:bookmarkEnd w:id="41"/>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in Gazette 13 Aug 2002 p. 4161; amended in Gazette 30 Jun 2011 p. 2660.]</w:t>
      </w:r>
    </w:p>
    <w:p>
      <w:pPr>
        <w:pStyle w:val="Heading3"/>
      </w:pPr>
      <w:bookmarkStart w:id="42" w:name="_Toc416883806"/>
      <w:bookmarkStart w:id="43" w:name="_Toc416883855"/>
      <w:bookmarkStart w:id="44" w:name="_Toc417647918"/>
      <w:bookmarkStart w:id="45" w:name="_Toc423448280"/>
      <w:r>
        <w:rPr>
          <w:rStyle w:val="CharDivNo"/>
        </w:rPr>
        <w:t>Division 4</w:t>
      </w:r>
      <w:r>
        <w:t xml:space="preserve"> — </w:t>
      </w:r>
      <w:r>
        <w:rPr>
          <w:rStyle w:val="CharDivText"/>
        </w:rPr>
        <w:t>Auditing of trust accounts</w:t>
      </w:r>
      <w:bookmarkEnd w:id="42"/>
      <w:bookmarkEnd w:id="43"/>
      <w:bookmarkEnd w:id="44"/>
      <w:bookmarkEnd w:id="45"/>
    </w:p>
    <w:p>
      <w:pPr>
        <w:pStyle w:val="Footnoteheading"/>
        <w:tabs>
          <w:tab w:val="left" w:pos="851"/>
        </w:tabs>
      </w:pPr>
      <w:r>
        <w:tab/>
        <w:t>[Heading inserted in Gazette 13 Aug 2002 p. 4161.]</w:t>
      </w:r>
    </w:p>
    <w:p>
      <w:pPr>
        <w:pStyle w:val="Heading5"/>
      </w:pPr>
      <w:bookmarkStart w:id="46" w:name="_Toc423448281"/>
      <w:r>
        <w:rPr>
          <w:rStyle w:val="CharSectno"/>
        </w:rPr>
        <w:t>10H</w:t>
      </w:r>
      <w:r>
        <w:t>.</w:t>
      </w:r>
      <w:r>
        <w:tab/>
        <w:t>Appointment of auditors</w:t>
      </w:r>
      <w:bookmarkEnd w:id="46"/>
    </w:p>
    <w:p>
      <w:pPr>
        <w:pStyle w:val="Subsection"/>
      </w:pPr>
      <w:r>
        <w:tab/>
        <w:t>(1)</w:t>
      </w:r>
      <w:r>
        <w:tab/>
        <w:t>A dealer must appoint an auditor, approved by the Commissioner, at the time of opening a trust account.</w:t>
      </w:r>
    </w:p>
    <w:p>
      <w:pPr>
        <w:pStyle w:val="Subsection"/>
      </w:pPr>
      <w:r>
        <w:tab/>
        <w:t>(2)</w:t>
      </w:r>
      <w:r>
        <w:tab/>
        <w:t>An auditor’s appointment under this section is continuous unless the Commissioner approves a subsequent change in the appointment.</w:t>
      </w:r>
    </w:p>
    <w:p>
      <w:pPr>
        <w:pStyle w:val="Footnotesection"/>
      </w:pPr>
      <w:r>
        <w:tab/>
        <w:t>[Regulation 10H inserted in Gazette 13 Aug 2002 p. 4161</w:t>
      </w:r>
      <w:r>
        <w:noBreakHyphen/>
        <w:t>2; amended in Gazette 30 Jun 2011 p. 2660.]</w:t>
      </w:r>
    </w:p>
    <w:p>
      <w:pPr>
        <w:pStyle w:val="Heading5"/>
      </w:pPr>
      <w:bookmarkStart w:id="47" w:name="_Toc423448282"/>
      <w:r>
        <w:rPr>
          <w:rStyle w:val="CharSectno"/>
        </w:rPr>
        <w:t>10I</w:t>
      </w:r>
      <w:r>
        <w:t>.</w:t>
      </w:r>
      <w:r>
        <w:tab/>
        <w:t>Production of records to auditors</w:t>
      </w:r>
      <w:bookmarkEnd w:id="47"/>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in Gazette 13 Aug 2002 p. 4162.]</w:t>
      </w:r>
    </w:p>
    <w:p>
      <w:pPr>
        <w:pStyle w:val="Heading5"/>
      </w:pPr>
      <w:bookmarkStart w:id="48" w:name="_Toc423448283"/>
      <w:r>
        <w:rPr>
          <w:rStyle w:val="CharSectno"/>
        </w:rPr>
        <w:t>10J</w:t>
      </w:r>
      <w:r>
        <w:t>.</w:t>
      </w:r>
      <w:r>
        <w:tab/>
        <w:t>Conduct of audits</w:t>
      </w:r>
      <w:bookmarkEnd w:id="48"/>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 in Gazette 13 Aug 2002 p. 4162.]</w:t>
      </w:r>
    </w:p>
    <w:p>
      <w:pPr>
        <w:pStyle w:val="Heading5"/>
      </w:pPr>
      <w:bookmarkStart w:id="49" w:name="_Toc423448284"/>
      <w:r>
        <w:rPr>
          <w:rStyle w:val="CharSectno"/>
        </w:rPr>
        <w:t>10K</w:t>
      </w:r>
      <w:r>
        <w:t>.</w:t>
      </w:r>
      <w:r>
        <w:tab/>
        <w:t>Auditors’ reports, contents of</w:t>
      </w:r>
      <w:bookmarkEnd w:id="49"/>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Commissioner.</w:t>
      </w:r>
    </w:p>
    <w:p>
      <w:pPr>
        <w:pStyle w:val="Footnotesection"/>
      </w:pPr>
      <w:r>
        <w:tab/>
        <w:t>[Regulation 10K inserted in Gazette 13 Aug 2002 p. 4162; amended in Gazette 30 Jun 2011 p. 2660.]</w:t>
      </w:r>
    </w:p>
    <w:p>
      <w:pPr>
        <w:pStyle w:val="Heading5"/>
      </w:pPr>
      <w:bookmarkStart w:id="50" w:name="_Toc423448285"/>
      <w:r>
        <w:rPr>
          <w:rStyle w:val="CharSectno"/>
        </w:rPr>
        <w:t>10L</w:t>
      </w:r>
      <w:r>
        <w:t>.</w:t>
      </w:r>
      <w:r>
        <w:tab/>
        <w:t>Obligation of auditor to disclose certain information</w:t>
      </w:r>
      <w:bookmarkEnd w:id="50"/>
    </w:p>
    <w:p>
      <w:pPr>
        <w:pStyle w:val="Subsection"/>
      </w:pPr>
      <w:r>
        <w:tab/>
      </w:r>
      <w:r>
        <w:tab/>
        <w:t>An auditor must disclose to the Commissioner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 in Gazette 13 Aug 2002 p. 4162; amended in Gazette 30 Jun 2011 p. 2659 and 2660.]</w:t>
      </w:r>
    </w:p>
    <w:p>
      <w:pPr>
        <w:pStyle w:val="Heading5"/>
      </w:pPr>
      <w:bookmarkStart w:id="51" w:name="_Toc423448286"/>
      <w:r>
        <w:rPr>
          <w:rStyle w:val="CharSectno"/>
        </w:rPr>
        <w:t>10M</w:t>
      </w:r>
      <w:r>
        <w:t>.</w:t>
      </w:r>
      <w:r>
        <w:tab/>
        <w:t>Costs of auditing</w:t>
      </w:r>
      <w:bookmarkEnd w:id="51"/>
    </w:p>
    <w:p>
      <w:pPr>
        <w:pStyle w:val="Subsection"/>
      </w:pPr>
      <w:r>
        <w:tab/>
      </w:r>
      <w:r>
        <w:tab/>
        <w:t>The reasonable fees and expenses of an auditor for an audit under section 32I are payable by the dealer.</w:t>
      </w:r>
    </w:p>
    <w:p>
      <w:pPr>
        <w:pStyle w:val="Footnotesection"/>
      </w:pPr>
      <w:r>
        <w:tab/>
        <w:t>[Regulation 10M inserted in Gazette 13 Aug 2002 p. 4163.]</w:t>
      </w:r>
    </w:p>
    <w:p>
      <w:pPr>
        <w:pStyle w:val="Heading5"/>
      </w:pPr>
      <w:bookmarkStart w:id="52" w:name="_Toc423448287"/>
      <w:r>
        <w:rPr>
          <w:rStyle w:val="CharSectno"/>
        </w:rPr>
        <w:t>10N</w:t>
      </w:r>
      <w:r>
        <w:t>.</w:t>
      </w:r>
      <w:r>
        <w:tab/>
        <w:t>When and to whom the auditor must report</w:t>
      </w:r>
      <w:bookmarkEnd w:id="52"/>
    </w:p>
    <w:p>
      <w:pPr>
        <w:pStyle w:val="Subsection"/>
      </w:pPr>
      <w:r>
        <w:tab/>
        <w:t>(1)</w:t>
      </w:r>
      <w:r>
        <w:tab/>
        <w:t>The audit period is to be set by the Commissioner in relation to each dealer.</w:t>
      </w:r>
    </w:p>
    <w:p>
      <w:pPr>
        <w:pStyle w:val="Subsection"/>
      </w:pPr>
      <w:r>
        <w:tab/>
        <w:t>(2)</w:t>
      </w:r>
      <w:r>
        <w:tab/>
        <w:t>The auditor must within 3 months after the end of that period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in Gazette 13 Aug 2002 p. 4163; amended in Gazette 30 Jun 2011 p. 2660.]</w:t>
      </w:r>
    </w:p>
    <w:p>
      <w:pPr>
        <w:pStyle w:val="Heading5"/>
      </w:pPr>
      <w:bookmarkStart w:id="53" w:name="_Toc423448288"/>
      <w:r>
        <w:rPr>
          <w:rStyle w:val="CharSectno"/>
        </w:rPr>
        <w:t>10O</w:t>
      </w:r>
      <w:r>
        <w:t>.</w:t>
      </w:r>
      <w:r>
        <w:tab/>
        <w:t>Confidentiality of audit information</w:t>
      </w:r>
      <w:bookmarkEnd w:id="53"/>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 in Gazette 13 Aug 2002 p. 4163; amended in Gazette 30 Jun 2011 p. 2660.]</w:t>
      </w:r>
    </w:p>
    <w:p>
      <w:pPr>
        <w:pStyle w:val="Heading2"/>
      </w:pPr>
      <w:bookmarkStart w:id="54" w:name="_Toc416883815"/>
      <w:bookmarkStart w:id="55" w:name="_Toc416883864"/>
      <w:bookmarkStart w:id="56" w:name="_Toc417647927"/>
      <w:bookmarkStart w:id="57" w:name="_Toc423448289"/>
      <w:r>
        <w:rPr>
          <w:rStyle w:val="CharPartNo"/>
        </w:rPr>
        <w:t>Part 4</w:t>
      </w:r>
      <w:r>
        <w:rPr>
          <w:rStyle w:val="CharDivText"/>
        </w:rPr>
        <w:t xml:space="preserve"> </w:t>
      </w:r>
      <w:r>
        <w:t>—</w:t>
      </w:r>
      <w:r>
        <w:rPr>
          <w:rStyle w:val="CharDivNo"/>
        </w:rPr>
        <w:t xml:space="preserve"> </w:t>
      </w:r>
      <w:r>
        <w:rPr>
          <w:rStyle w:val="CharPartText"/>
        </w:rPr>
        <w:t>Miscellaneous</w:t>
      </w:r>
      <w:bookmarkEnd w:id="54"/>
      <w:bookmarkEnd w:id="55"/>
      <w:bookmarkEnd w:id="56"/>
      <w:bookmarkEnd w:id="57"/>
    </w:p>
    <w:p>
      <w:pPr>
        <w:pStyle w:val="Footnoteheading"/>
        <w:tabs>
          <w:tab w:val="left" w:pos="851"/>
        </w:tabs>
      </w:pPr>
      <w:r>
        <w:tab/>
        <w:t>[Heading inserted in Gazette 13 Aug 2002 p. 4163.]</w:t>
      </w:r>
    </w:p>
    <w:p>
      <w:pPr>
        <w:pStyle w:val="Heading5"/>
        <w:spacing w:before="180"/>
        <w:rPr>
          <w:snapToGrid w:val="0"/>
        </w:rPr>
      </w:pPr>
      <w:bookmarkStart w:id="58" w:name="_Toc423448290"/>
      <w:r>
        <w:rPr>
          <w:rStyle w:val="CharSectno"/>
        </w:rPr>
        <w:t>11</w:t>
      </w:r>
      <w:r>
        <w:rPr>
          <w:snapToGrid w:val="0"/>
        </w:rPr>
        <w:t>.</w:t>
      </w:r>
      <w:r>
        <w:rPr>
          <w:snapToGrid w:val="0"/>
        </w:rPr>
        <w:tab/>
        <w:t>Advertising</w:t>
      </w:r>
      <w:bookmarkEnd w:id="58"/>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59" w:name="_Toc423448291"/>
      <w:r>
        <w:rPr>
          <w:rStyle w:val="CharSectno"/>
        </w:rPr>
        <w:t>12</w:t>
      </w:r>
      <w:r>
        <w:rPr>
          <w:snapToGrid w:val="0"/>
        </w:rPr>
        <w:t>.</w:t>
      </w:r>
      <w:r>
        <w:rPr>
          <w:snapToGrid w:val="0"/>
        </w:rPr>
        <w:tab/>
        <w:t>Undesirable practices (Schedule 2)</w:t>
      </w:r>
      <w:bookmarkEnd w:id="59"/>
    </w:p>
    <w:p>
      <w:pPr>
        <w:pStyle w:val="Subsection"/>
        <w:spacing w:before="120"/>
        <w:rPr>
          <w:snapToGrid w:val="0"/>
        </w:rPr>
      </w:pPr>
      <w:r>
        <w:rPr>
          <w:snapToGrid w:val="0"/>
        </w:rPr>
        <w:tab/>
      </w:r>
      <w:r>
        <w:rPr>
          <w:snapToGrid w:val="0"/>
        </w:rPr>
        <w:tab/>
        <w:t xml:space="preserve">The practices set out in </w:t>
      </w:r>
      <w:r>
        <w:t xml:space="preserve">Schedule 2 </w:t>
      </w:r>
      <w:r>
        <w:rPr>
          <w:snapToGrid w:val="0"/>
        </w:rPr>
        <w:t>are undesirable practices for the purposes of section 41.</w:t>
      </w:r>
    </w:p>
    <w:p>
      <w:pPr>
        <w:pStyle w:val="Footnotesection"/>
      </w:pPr>
      <w:r>
        <w:tab/>
        <w:t>[Regulation 12 amended in Gazette 17 Nov 2006 p. 4752.]</w:t>
      </w:r>
    </w:p>
    <w:p>
      <w:pPr>
        <w:pStyle w:val="Heading5"/>
        <w:spacing w:before="180"/>
        <w:rPr>
          <w:snapToGrid w:val="0"/>
        </w:rPr>
      </w:pPr>
      <w:bookmarkStart w:id="60" w:name="_Toc423448292"/>
      <w:r>
        <w:rPr>
          <w:rStyle w:val="CharSectno"/>
        </w:rPr>
        <w:t>13</w:t>
      </w:r>
      <w:r>
        <w:rPr>
          <w:snapToGrid w:val="0"/>
        </w:rPr>
        <w:t>.</w:t>
      </w:r>
      <w:r>
        <w:rPr>
          <w:snapToGrid w:val="0"/>
        </w:rPr>
        <w:tab/>
        <w:t>Prescribed accessories (Schedule 3)</w:t>
      </w:r>
      <w:bookmarkEnd w:id="60"/>
    </w:p>
    <w:p>
      <w:pPr>
        <w:pStyle w:val="Subsection"/>
        <w:spacing w:before="120"/>
        <w:rPr>
          <w:snapToGrid w:val="0"/>
        </w:rPr>
      </w:pPr>
      <w:r>
        <w:rPr>
          <w:snapToGrid w:val="0"/>
        </w:rPr>
        <w:tab/>
      </w:r>
      <w:r>
        <w:rPr>
          <w:snapToGrid w:val="0"/>
        </w:rPr>
        <w:tab/>
        <w:t xml:space="preserve">The accessories set out in </w:t>
      </w:r>
      <w:r>
        <w:t xml:space="preserve">Schedule 3 </w:t>
      </w:r>
      <w:r>
        <w:rPr>
          <w:snapToGrid w:val="0"/>
        </w:rPr>
        <w:t>are prescribed accessories for the purposes of section 34B(1)(d).</w:t>
      </w:r>
    </w:p>
    <w:p>
      <w:pPr>
        <w:pStyle w:val="Footnotesection"/>
      </w:pPr>
      <w:r>
        <w:tab/>
        <w:t>[Regulation 13 amended in Gazette 13 Aug 2002 p. 4163; 17 Nov 2006 p. 4752.]</w:t>
      </w:r>
    </w:p>
    <w:p>
      <w:pPr>
        <w:pStyle w:val="Heading5"/>
      </w:pPr>
      <w:bookmarkStart w:id="61" w:name="_Toc423448293"/>
      <w:r>
        <w:rPr>
          <w:rStyle w:val="CharSectno"/>
        </w:rPr>
        <w:t>13A</w:t>
      </w:r>
      <w:r>
        <w:t>.</w:t>
      </w:r>
      <w:r>
        <w:tab/>
        <w:t>Prescribed requirements</w:t>
      </w:r>
      <w:r>
        <w:rPr>
          <w:snapToGrid w:val="0"/>
        </w:rPr>
        <w:t xml:space="preserve"> for vehicle consignment agreements (Schedule 4)</w:t>
      </w:r>
      <w:bookmarkEnd w:id="61"/>
    </w:p>
    <w:p>
      <w:pPr>
        <w:pStyle w:val="Subsection"/>
      </w:pPr>
      <w:r>
        <w:tab/>
      </w:r>
      <w:r>
        <w:tab/>
        <w:t>For the purposes of section 32B the prescribed particulars, terms and conditions are those set out in Schedule 4.</w:t>
      </w:r>
    </w:p>
    <w:p>
      <w:pPr>
        <w:pStyle w:val="Footnotesection"/>
      </w:pPr>
      <w:r>
        <w:tab/>
        <w:t>[Regulation 13A inserted in Gazette 13 Aug 2002 p. 4163; amended in Gazette 17 Nov 2006 p. 4753.]</w:t>
      </w:r>
    </w:p>
    <w:p>
      <w:pPr>
        <w:pStyle w:val="Heading5"/>
        <w:rPr>
          <w:snapToGrid w:val="0"/>
        </w:rPr>
      </w:pPr>
      <w:bookmarkStart w:id="62" w:name="_Toc423448294"/>
      <w:r>
        <w:rPr>
          <w:rStyle w:val="CharSectno"/>
        </w:rPr>
        <w:t>13B</w:t>
      </w:r>
      <w:r>
        <w:t>.</w:t>
      </w:r>
      <w:r>
        <w:tab/>
        <w:t>Prescribed requirements for vehicle sale agreements (Schedule 5)</w:t>
      </w:r>
      <w:bookmarkEnd w:id="62"/>
    </w:p>
    <w:p>
      <w:pPr>
        <w:pStyle w:val="Subsection"/>
      </w:pPr>
      <w:r>
        <w:tab/>
      </w:r>
      <w:r>
        <w:tab/>
        <w:t>For the purposes of section 42A the prescribed particulars, terms and conditions are those set out in Schedule 5.</w:t>
      </w:r>
    </w:p>
    <w:p>
      <w:pPr>
        <w:pStyle w:val="Footnotesection"/>
      </w:pPr>
      <w:r>
        <w:tab/>
        <w:t>[Regulation 13B inserted in Gazette 13 Aug 2002 p. 4164; amended in Gazette 17 Nov 2006 p. 4753.]</w:t>
      </w:r>
    </w:p>
    <w:p>
      <w:pPr>
        <w:pStyle w:val="Heading5"/>
        <w:spacing w:before="180"/>
        <w:rPr>
          <w:snapToGrid w:val="0"/>
        </w:rPr>
      </w:pPr>
      <w:bookmarkStart w:id="63" w:name="_Toc423448295"/>
      <w:r>
        <w:rPr>
          <w:rStyle w:val="CharSectno"/>
        </w:rPr>
        <w:t>14</w:t>
      </w:r>
      <w:r>
        <w:rPr>
          <w:snapToGrid w:val="0"/>
        </w:rPr>
        <w:t>.</w:t>
      </w:r>
      <w:r>
        <w:rPr>
          <w:snapToGrid w:val="0"/>
        </w:rPr>
        <w:tab/>
        <w:t>Penalties</w:t>
      </w:r>
      <w:bookmarkEnd w:id="63"/>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in Gazette 13 Aug 2002 p. 4164.]</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4" w:name="_Toc416883822"/>
      <w:bookmarkStart w:id="65" w:name="_Toc416883871"/>
      <w:bookmarkStart w:id="66" w:name="_Toc417647934"/>
      <w:bookmarkStart w:id="67" w:name="_Toc423448296"/>
      <w:r>
        <w:rPr>
          <w:rStyle w:val="CharSchNo"/>
        </w:rPr>
        <w:t>Schedule 1</w:t>
      </w:r>
      <w:r>
        <w:t> — </w:t>
      </w:r>
      <w:r>
        <w:rPr>
          <w:rStyle w:val="CharSchText"/>
        </w:rPr>
        <w:t>Forms</w:t>
      </w:r>
      <w:bookmarkEnd w:id="64"/>
      <w:bookmarkEnd w:id="65"/>
      <w:bookmarkEnd w:id="66"/>
      <w:bookmarkEnd w:id="67"/>
    </w:p>
    <w:p>
      <w:pPr>
        <w:pStyle w:val="yFootnoteheading"/>
        <w:spacing w:before="40"/>
      </w:pPr>
      <w:r>
        <w:tab/>
        <w:t>[Heading inserted in Gazette 17 Nov 2006 p. 4753.]</w:t>
      </w:r>
    </w:p>
    <w:p>
      <w:pPr>
        <w:pStyle w:val="yHeading3"/>
        <w:spacing w:before="80"/>
      </w:pPr>
      <w:bookmarkStart w:id="68" w:name="_Toc416883823"/>
      <w:bookmarkStart w:id="69" w:name="_Toc416883872"/>
      <w:bookmarkStart w:id="70" w:name="_Toc417647935"/>
      <w:bookmarkStart w:id="71" w:name="_Toc423448297"/>
      <w:r>
        <w:t>Form 1 — Register of transactions</w:t>
      </w:r>
      <w:bookmarkEnd w:id="68"/>
      <w:bookmarkEnd w:id="69"/>
      <w:bookmarkEnd w:id="70"/>
      <w:bookmarkEnd w:id="71"/>
    </w:p>
    <w:p>
      <w:pPr>
        <w:pStyle w:val="yShoulderClause"/>
        <w:spacing w:before="0"/>
      </w:pPr>
      <w:r>
        <w:t>[r. 3]</w:t>
      </w:r>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trPr>
        <w:tc>
          <w:tcPr>
            <w:tcW w:w="1985" w:type="dxa"/>
            <w:vMerge w:val="restart"/>
            <w:textDirection w:val="btLr"/>
          </w:tcPr>
          <w:p>
            <w:pPr>
              <w:pStyle w:val="Table"/>
              <w:spacing w:line="240" w:lineRule="auto"/>
              <w:ind w:left="6" w:right="6"/>
              <w:jc w:val="center"/>
              <w:rPr>
                <w:snapToGrid w:val="0"/>
                <w:sz w:val="16"/>
              </w:rPr>
            </w:pPr>
            <w:smartTag w:uri="urn:schemas-microsoft-com:office:smarttags" w:element="State">
              <w:smartTag w:uri="urn:schemas-microsoft-com:office:smarttags" w:element="place">
                <w:r>
                  <w:rPr>
                    <w:snapToGrid w:val="0"/>
                    <w:sz w:val="16"/>
                  </w:rPr>
                  <w:t>Western Australia</w:t>
                </w:r>
              </w:smartTag>
            </w:smartTag>
          </w:p>
          <w:p>
            <w:pPr>
              <w:pStyle w:val="Table"/>
              <w:spacing w:line="240" w:lineRule="auto"/>
              <w:ind w:left="6" w:right="6"/>
              <w:jc w:val="center"/>
              <w:rPr>
                <w:i/>
                <w:snapToGrid w:val="0"/>
                <w:sz w:val="16"/>
              </w:rPr>
            </w:pPr>
            <w:r>
              <w:rPr>
                <w:i/>
                <w:snapToGrid w:val="0"/>
                <w:sz w:val="16"/>
              </w:rPr>
              <w:t xml:space="preserve">Motor Vehicle Dealers Act 1973 </w:t>
            </w:r>
            <w:r>
              <w:rPr>
                <w:iCs/>
                <w:snapToGrid w:val="0"/>
                <w:sz w:val="16"/>
              </w:rPr>
              <w:t>section 25</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regulation 3</w:t>
            </w:r>
          </w:p>
          <w:p>
            <w:pPr>
              <w:pStyle w:val="Table"/>
              <w:spacing w:before="0" w:line="240" w:lineRule="auto"/>
              <w:ind w:left="6" w:right="6"/>
              <w:rPr>
                <w:snapToGrid w:val="0"/>
                <w:sz w:val="16"/>
              </w:rPr>
            </w:pPr>
          </w:p>
          <w:p>
            <w:pPr>
              <w:pStyle w:val="Table"/>
              <w:spacing w:line="240" w:lineRule="auto"/>
              <w:ind w:left="6" w:right="6"/>
              <w:jc w:val="center"/>
              <w:rPr>
                <w:b/>
                <w:bCs/>
                <w:snapToGrid w:val="0"/>
                <w:sz w:val="16"/>
              </w:rPr>
            </w:pPr>
            <w:r>
              <w:rPr>
                <w:b/>
                <w:bCs/>
                <w:snapToGrid w:val="0"/>
                <w:sz w:val="16"/>
              </w:rPr>
              <w:t>Dealers register of transactions for registered premises situated at:</w:t>
            </w:r>
          </w:p>
          <w:p>
            <w:pPr>
              <w:pStyle w:val="Table"/>
              <w:spacing w:line="240" w:lineRule="auto"/>
              <w:ind w:left="6" w:right="6"/>
              <w:jc w:val="center"/>
              <w:rPr>
                <w:snapToGrid w:val="0"/>
                <w:sz w:val="16"/>
              </w:rPr>
            </w:pPr>
            <w:r>
              <w:rPr>
                <w:snapToGrid w:val="0"/>
                <w:sz w:val="16"/>
              </w:rPr>
              <w:t>............................................................................................................................</w:t>
            </w:r>
            <w:r>
              <w:rPr>
                <w:snapToGrid w:val="0"/>
                <w:sz w:val="16"/>
              </w:rPr>
              <w:br/>
              <w:t xml:space="preserve">(This register is to be produced on demand by any person mentioned in the </w:t>
            </w:r>
            <w:r>
              <w:rPr>
                <w:i/>
                <w:iCs/>
                <w:snapToGrid w:val="0"/>
                <w:sz w:val="16"/>
              </w:rPr>
              <w:t>Motor Vehicle Dealers Act 1973</w:t>
            </w:r>
            <w:r>
              <w:rPr>
                <w:snapToGrid w:val="0"/>
                <w:sz w:val="16"/>
              </w:rPr>
              <w:t xml:space="preserve"> section 25(2).)</w:t>
            </w: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Remarks:</w:t>
            </w:r>
          </w:p>
        </w:tc>
        <w:tc>
          <w:tcPr>
            <w:tcW w:w="2835" w:type="dxa"/>
            <w:textDirection w:val="btLr"/>
          </w:tcPr>
          <w:p>
            <w:pPr>
              <w:pStyle w:val="Table"/>
              <w:spacing w:before="0" w:line="240" w:lineRule="auto"/>
              <w:ind w:left="6" w:right="6"/>
              <w:rPr>
                <w:snapToGrid w:val="0"/>
                <w:sz w:val="16"/>
              </w:rPr>
            </w:pPr>
          </w:p>
        </w:tc>
      </w:tr>
      <w:tr>
        <w:trPr>
          <w:cantSplit/>
          <w:trHeight w:val="551"/>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snapToGrid w:val="0"/>
                <w:sz w:val="16"/>
              </w:rPr>
              <w:t xml:space="preserve">Name:  Address: </w:t>
            </w:r>
          </w:p>
        </w:tc>
        <w:tc>
          <w:tcPr>
            <w:tcW w:w="2835" w:type="dxa"/>
            <w:textDirection w:val="btLr"/>
          </w:tcPr>
          <w:p>
            <w:pPr>
              <w:pStyle w:val="Table"/>
              <w:spacing w:before="0" w:line="240" w:lineRule="auto"/>
              <w:ind w:left="6" w:right="6"/>
              <w:rPr>
                <w:snapToGrid w:val="0"/>
                <w:sz w:val="16"/>
              </w:rPr>
            </w:pPr>
          </w:p>
        </w:tc>
      </w:tr>
      <w:tr>
        <w:trPr>
          <w:cantSplit/>
          <w:trHeight w:val="577"/>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73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sold:</w:t>
            </w:r>
          </w:p>
        </w:tc>
        <w:tc>
          <w:tcPr>
            <w:tcW w:w="2835" w:type="dxa"/>
            <w:textDirection w:val="btLr"/>
          </w:tcPr>
          <w:p>
            <w:pPr>
              <w:pStyle w:val="Table"/>
              <w:spacing w:before="0" w:line="240" w:lineRule="auto"/>
              <w:ind w:left="6" w:right="6"/>
              <w:rPr>
                <w:snapToGrid w:val="0"/>
                <w:sz w:val="16"/>
              </w:rPr>
            </w:pPr>
          </w:p>
        </w:tc>
      </w:tr>
      <w:tr>
        <w:trPr>
          <w:cantSplit/>
          <w:trHeight w:val="80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purchased:</w:t>
            </w:r>
          </w:p>
        </w:tc>
        <w:tc>
          <w:tcPr>
            <w:tcW w:w="2835" w:type="dxa"/>
            <w:textDirection w:val="btLr"/>
          </w:tcPr>
          <w:p>
            <w:pPr>
              <w:pStyle w:val="Table"/>
              <w:spacing w:before="0" w:line="240" w:lineRule="auto"/>
              <w:ind w:left="6" w:right="6"/>
              <w:rPr>
                <w:snapToGrid w:val="0"/>
                <w:sz w:val="16"/>
              </w:rPr>
            </w:pPr>
          </w:p>
        </w:tc>
      </w:tr>
      <w:tr>
        <w:trPr>
          <w:cantSplit/>
          <w:trHeight w:val="613"/>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b/>
                <w:bCs/>
                <w:snapToGrid w:val="0"/>
                <w:sz w:val="16"/>
              </w:rPr>
              <w:br/>
            </w:r>
            <w:r>
              <w:rPr>
                <w:snapToGrid w:val="0"/>
                <w:sz w:val="16"/>
              </w:rPr>
              <w:t>Name:   Address:</w:t>
            </w:r>
          </w:p>
        </w:tc>
        <w:tc>
          <w:tcPr>
            <w:tcW w:w="2835" w:type="dxa"/>
            <w:textDirection w:val="btLr"/>
          </w:tcPr>
          <w:p>
            <w:pPr>
              <w:pStyle w:val="Table"/>
              <w:spacing w:before="0" w:line="240" w:lineRule="auto"/>
              <w:ind w:left="6" w:right="6"/>
              <w:rPr>
                <w:snapToGrid w:val="0"/>
                <w:sz w:val="16"/>
              </w:rPr>
            </w:pPr>
          </w:p>
        </w:tc>
      </w:tr>
      <w:tr>
        <w:trPr>
          <w:cantSplit/>
          <w:trHeight w:val="612"/>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861"/>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Person in whose name vehicle is registered:</w:t>
            </w:r>
          </w:p>
        </w:tc>
        <w:tc>
          <w:tcPr>
            <w:tcW w:w="2835" w:type="dxa"/>
            <w:textDirection w:val="btLr"/>
          </w:tcPr>
          <w:p>
            <w:pPr>
              <w:pStyle w:val="Table"/>
              <w:spacing w:before="0" w:line="240" w:lineRule="auto"/>
              <w:ind w:left="6" w:right="6"/>
              <w:rPr>
                <w:snapToGrid w:val="0"/>
                <w:sz w:val="16"/>
              </w:rPr>
            </w:pPr>
          </w:p>
        </w:tc>
      </w:tr>
      <w:tr>
        <w:trPr>
          <w:cantSplit/>
          <w:trHeight w:val="506"/>
        </w:trPr>
        <w:tc>
          <w:tcPr>
            <w:tcW w:w="1985" w:type="dxa"/>
            <w:vMerge/>
            <w:textDirection w:val="btLr"/>
          </w:tcPr>
          <w:p>
            <w:pPr>
              <w:pStyle w:val="Table"/>
              <w:spacing w:before="0" w:line="240" w:lineRule="auto"/>
              <w:ind w:left="6" w:right="6"/>
              <w:rPr>
                <w:snapToGrid w:val="0"/>
                <w:sz w:val="16"/>
              </w:rPr>
            </w:pPr>
          </w:p>
        </w:tc>
        <w:tc>
          <w:tcPr>
            <w:tcW w:w="850" w:type="dxa"/>
            <w:vMerge w:val="restart"/>
            <w:textDirection w:val="btLr"/>
          </w:tcPr>
          <w:p>
            <w:pPr>
              <w:pStyle w:val="Table"/>
              <w:spacing w:line="240" w:lineRule="auto"/>
              <w:ind w:left="6" w:right="6"/>
              <w:jc w:val="center"/>
              <w:rPr>
                <w:b/>
                <w:bCs/>
                <w:snapToGrid w:val="0"/>
                <w:sz w:val="16"/>
              </w:rPr>
            </w:pPr>
            <w:r>
              <w:rPr>
                <w:b/>
                <w:bCs/>
                <w:snapToGrid w:val="0"/>
                <w:sz w:val="16"/>
              </w:rPr>
              <w:t>Vehicle:</w:t>
            </w:r>
          </w:p>
        </w:tc>
        <w:tc>
          <w:tcPr>
            <w:tcW w:w="851" w:type="dxa"/>
            <w:textDirection w:val="btLr"/>
          </w:tcPr>
          <w:p>
            <w:pPr>
              <w:pStyle w:val="Table"/>
              <w:spacing w:before="0" w:line="240" w:lineRule="auto"/>
              <w:ind w:left="6" w:right="6"/>
              <w:jc w:val="center"/>
              <w:rPr>
                <w:snapToGrid w:val="0"/>
                <w:sz w:val="16"/>
              </w:rPr>
            </w:pPr>
            <w:r>
              <w:rPr>
                <w:snapToGrid w:val="0"/>
                <w:sz w:val="16"/>
              </w:rPr>
              <w:t>Model</w:t>
            </w:r>
          </w:p>
        </w:tc>
        <w:tc>
          <w:tcPr>
            <w:tcW w:w="2835" w:type="dxa"/>
            <w:textDirection w:val="btLr"/>
          </w:tcPr>
          <w:p>
            <w:pPr>
              <w:pStyle w:val="Table"/>
              <w:spacing w:before="0" w:line="240" w:lineRule="auto"/>
              <w:ind w:left="6" w:right="6"/>
              <w:rPr>
                <w:snapToGrid w:val="0"/>
                <w:sz w:val="16"/>
              </w:rPr>
            </w:pPr>
          </w:p>
        </w:tc>
      </w:tr>
      <w:tr>
        <w:trPr>
          <w:cantSplit/>
          <w:trHeight w:val="55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Make</w:t>
            </w:r>
          </w:p>
        </w:tc>
        <w:tc>
          <w:tcPr>
            <w:tcW w:w="2835" w:type="dxa"/>
            <w:textDirection w:val="btLr"/>
          </w:tcPr>
          <w:p>
            <w:pPr>
              <w:pStyle w:val="Table"/>
              <w:spacing w:before="0" w:line="240" w:lineRule="auto"/>
              <w:ind w:left="6" w:right="6"/>
              <w:rPr>
                <w:snapToGrid w:val="0"/>
                <w:sz w:val="16"/>
              </w:rPr>
            </w:pPr>
          </w:p>
        </w:tc>
      </w:tr>
      <w:tr>
        <w:trPr>
          <w:cantSplit/>
          <w:trHeight w:val="57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835" w:type="dxa"/>
            <w:textDirection w:val="btLr"/>
          </w:tcPr>
          <w:p>
            <w:pPr>
              <w:pStyle w:val="Table"/>
              <w:spacing w:before="0" w:line="240" w:lineRule="auto"/>
              <w:ind w:left="6" w:right="6"/>
              <w:rPr>
                <w:snapToGrid w:val="0"/>
                <w:sz w:val="16"/>
              </w:rPr>
            </w:pPr>
          </w:p>
        </w:tc>
      </w:tr>
      <w:tr>
        <w:trPr>
          <w:cantSplit/>
          <w:trHeight w:val="545"/>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VIN/</w:t>
            </w:r>
            <w:r>
              <w:rPr>
                <w:snapToGrid w:val="0"/>
                <w:sz w:val="16"/>
              </w:rPr>
              <w:br/>
              <w:t>Chassis No.</w:t>
            </w:r>
          </w:p>
        </w:tc>
        <w:tc>
          <w:tcPr>
            <w:tcW w:w="2835" w:type="dxa"/>
            <w:textDirection w:val="btLr"/>
          </w:tcPr>
          <w:p>
            <w:pPr>
              <w:pStyle w:val="Table"/>
              <w:spacing w:before="0" w:line="240" w:lineRule="auto"/>
              <w:ind w:left="6" w:right="6"/>
              <w:rPr>
                <w:snapToGrid w:val="0"/>
                <w:sz w:val="16"/>
              </w:rPr>
            </w:pPr>
          </w:p>
        </w:tc>
      </w:tr>
      <w:tr>
        <w:trPr>
          <w:cantSplit/>
          <w:trHeight w:val="541"/>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Licence Plate No.</w:t>
            </w:r>
          </w:p>
        </w:tc>
        <w:tc>
          <w:tcPr>
            <w:tcW w:w="2835" w:type="dxa"/>
            <w:textDirection w:val="btLr"/>
          </w:tcPr>
          <w:p>
            <w:pPr>
              <w:pStyle w:val="Table"/>
              <w:spacing w:before="0" w:line="240" w:lineRule="auto"/>
              <w:ind w:left="6" w:right="6"/>
              <w:rPr>
                <w:snapToGrid w:val="0"/>
                <w:sz w:val="16"/>
              </w:rPr>
            </w:pPr>
          </w:p>
        </w:tc>
      </w:tr>
      <w:tr>
        <w:trPr>
          <w:cantSplit/>
          <w:trHeight w:val="598"/>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Register No.:</w:t>
            </w:r>
          </w:p>
        </w:tc>
        <w:tc>
          <w:tcPr>
            <w:tcW w:w="2835" w:type="dxa"/>
            <w:textDirection w:val="btLr"/>
          </w:tcPr>
          <w:p>
            <w:pPr>
              <w:pStyle w:val="Table"/>
              <w:spacing w:before="0" w:line="240" w:lineRule="auto"/>
              <w:ind w:left="6" w:right="6"/>
              <w:rPr>
                <w:snapToGrid w:val="0"/>
                <w:sz w:val="16"/>
              </w:rPr>
            </w:pPr>
          </w:p>
        </w:tc>
      </w:tr>
    </w:tbl>
    <w:p>
      <w:pPr>
        <w:pStyle w:val="yFootnotesection"/>
        <w:spacing w:before="60"/>
      </w:pPr>
      <w:r>
        <w:tab/>
        <w:t>[Form 1 inserted in Gazette 17 Nov 2006 p. 4753.]</w:t>
      </w:r>
    </w:p>
    <w:p>
      <w:pPr>
        <w:pStyle w:val="MiscellaneousBody"/>
        <w:tabs>
          <w:tab w:val="left" w:pos="910"/>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Forms 2 and 3 have been deliberately omitted.</w:t>
      </w:r>
    </w:p>
    <w:p>
      <w:pPr>
        <w:pStyle w:val="yHeading3"/>
      </w:pPr>
      <w:bookmarkStart w:id="72" w:name="_Toc416883824"/>
      <w:bookmarkStart w:id="73" w:name="_Toc416883873"/>
      <w:bookmarkStart w:id="74" w:name="_Toc417647936"/>
      <w:bookmarkStart w:id="75" w:name="_Toc423448298"/>
      <w:r>
        <w:t>Form 4</w:t>
      </w:r>
      <w:r>
        <w:rPr>
          <w:b w:val="0"/>
        </w:rPr>
        <w:t> — </w:t>
      </w:r>
      <w:r>
        <w:t>Vehicle particulars and warranty</w:t>
      </w:r>
      <w:bookmarkEnd w:id="72"/>
      <w:bookmarkEnd w:id="73"/>
      <w:bookmarkEnd w:id="74"/>
      <w:bookmarkEnd w:id="75"/>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(Vehicles) Act 2012</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cantSplit/>
          <w:trHeight w:val="189"/>
        </w:trPr>
        <w:tc>
          <w:tcPr>
            <w:tcW w:w="6521" w:type="dxa"/>
            <w:gridSpan w:val="3"/>
          </w:tcPr>
          <w:p>
            <w:pPr>
              <w:pStyle w:val="MiscellaneousHeading"/>
              <w:rPr>
                <w:snapToGrid w:val="0"/>
              </w:rPr>
            </w:pPr>
            <w:r>
              <w:rPr>
                <w:b/>
                <w:snapToGrid w:val="0"/>
                <w:sz w:val="18"/>
              </w:rPr>
              <w:t>STATUTORY WARRANTY</w:t>
            </w:r>
          </w:p>
          <w:p>
            <w:pPr>
              <w:pStyle w:val="zyMiscellaneousBody"/>
              <w:spacing w:before="12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before="60"/>
              <w:rPr>
                <w:b/>
                <w:snapToGrid w:val="0"/>
                <w:sz w:val="18"/>
              </w:rPr>
            </w:pPr>
            <w:r>
              <w:rPr>
                <w:b/>
                <w:snapToGrid w:val="0"/>
                <w:sz w:val="18"/>
              </w:rPr>
              <w:t>MORE INFORMATION</w:t>
            </w:r>
          </w:p>
          <w:p>
            <w:pPr>
              <w:pStyle w:val="yMiscellaneousBody"/>
              <w:ind w:left="-56"/>
              <w:rPr>
                <w:snapToGrid w:val="0"/>
                <w:sz w:val="18"/>
              </w:rPr>
            </w:pPr>
            <w:r>
              <w:rPr>
                <w:snapToGrid w:val="0"/>
                <w:sz w:val="18"/>
              </w:rPr>
              <w:t>If you have any questions or require further information about the statutory warranty contact the Consumer Protection Call Centre on 1300 304 054 (Mon to Fri).  TTY (08) 9282 0800 (hearing impaired).</w:t>
            </w:r>
          </w:p>
          <w:p>
            <w:pPr>
              <w:pStyle w:val="yMiscellaneousBody"/>
              <w:jc w:val="center"/>
              <w:rPr>
                <w:i/>
                <w:snapToGrid w:val="0"/>
                <w:sz w:val="18"/>
              </w:rPr>
            </w:pPr>
            <w:r>
              <w:rPr>
                <w:i/>
                <w:snapToGrid w:val="0"/>
                <w:sz w:val="18"/>
              </w:rPr>
              <w:t>Internet:      www.docep.wa.gov.au</w:t>
            </w:r>
          </w:p>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 in Gazette 17 Nov 2006 p. 4754</w:t>
      </w:r>
      <w:r>
        <w:noBreakHyphen/>
        <w:t>5; amended in Gazette 8 Jan 2015 p. 89.]</w:t>
      </w:r>
    </w:p>
    <w:p>
      <w:pPr>
        <w:pStyle w:val="yHeading3"/>
      </w:pPr>
      <w:bookmarkStart w:id="76" w:name="_Toc416883825"/>
      <w:bookmarkStart w:id="77" w:name="_Toc416883874"/>
      <w:bookmarkStart w:id="78" w:name="_Toc417647937"/>
      <w:bookmarkStart w:id="79" w:name="_Toc423448299"/>
      <w:r>
        <w:t>Form 5</w:t>
      </w:r>
      <w:r>
        <w:rPr>
          <w:b w:val="0"/>
        </w:rPr>
        <w:t> — </w:t>
      </w:r>
      <w:r>
        <w:t>Notice of defects excluded from warranty</w:t>
      </w:r>
      <w:bookmarkEnd w:id="76"/>
      <w:bookmarkEnd w:id="77"/>
      <w:bookmarkEnd w:id="78"/>
      <w:bookmarkEnd w:id="79"/>
    </w:p>
    <w:p>
      <w:pPr>
        <w:pStyle w:val="yShoulderClause"/>
      </w:pPr>
      <w:r>
        <w:t>[r. 6]</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b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Body"/>
            </w:pPr>
            <w:r>
              <w:t>MORE INFORMATION</w:t>
            </w:r>
          </w:p>
          <w:p>
            <w:pPr>
              <w:pStyle w:val="yMiscellaneousBody"/>
              <w:spacing w:before="60"/>
            </w:pPr>
            <w:r>
              <w:t>If you have any questions or require further information about statutory warranties or this notice, contact the Consumer Protection Call Centre on 1300 304 054 (Mon to Fri).  TTY (08) 9282 0800 (hearing impaired).</w:t>
            </w:r>
          </w:p>
          <w:p>
            <w:pPr>
              <w:pStyle w:val="yTable"/>
              <w:jc w:val="center"/>
              <w:rPr>
                <w:b/>
                <w:spacing w:val="-2"/>
                <w:sz w:val="20"/>
              </w:rPr>
            </w:pPr>
            <w:r>
              <w:rPr>
                <w:i/>
                <w:snapToGrid w:val="0"/>
                <w:sz w:val="18"/>
              </w:rPr>
              <w:t>Internet:     www.docep.wa.gov.au</w:t>
            </w:r>
          </w:p>
        </w:tc>
      </w:tr>
    </w:tbl>
    <w:p>
      <w:pPr>
        <w:pStyle w:val="yFootnotesection"/>
      </w:pPr>
      <w:r>
        <w:tab/>
        <w:t>[Form 5 inserted in Gazette 17 Nov 2006 p. 4755</w:t>
      </w:r>
      <w:r>
        <w:noBreakHyphen/>
        <w:t>7.]</w:t>
      </w:r>
    </w:p>
    <w:p>
      <w:pPr>
        <w:pStyle w:val="yHeading3"/>
        <w:pageBreakBefore/>
      </w:pPr>
      <w:bookmarkStart w:id="80" w:name="_Toc416883826"/>
      <w:bookmarkStart w:id="81" w:name="_Toc416883875"/>
      <w:bookmarkStart w:id="82" w:name="_Toc417647938"/>
      <w:bookmarkStart w:id="83" w:name="_Toc423448300"/>
      <w:r>
        <w:t>Form 6</w:t>
      </w:r>
      <w:r>
        <w:rPr>
          <w:b w:val="0"/>
        </w:rPr>
        <w:t> — </w:t>
      </w:r>
      <w:r>
        <w:t>Vehicle particulars — no warranty</w:t>
      </w:r>
      <w:bookmarkEnd w:id="80"/>
      <w:bookmarkEnd w:id="81"/>
      <w:bookmarkEnd w:id="82"/>
      <w:bookmarkEnd w:id="83"/>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(Vehicles) Act 2012</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cantSplit/>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snapToGrid w:val="0"/>
                <w:sz w:val="18"/>
              </w:rPr>
              <w:t>WARRANTIES IMPLIED UNDER FAIR TRADING AND TRADE PRACTICES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r>
              <w:rPr>
                <w:i/>
                <w:snapToGrid w:val="0"/>
                <w:sz w:val="18"/>
              </w:rPr>
              <w:t>Trade Practices Act 1974</w:t>
            </w:r>
            <w:r>
              <w:rPr>
                <w:snapToGrid w:val="0"/>
                <w:sz w:val="18"/>
              </w:rPr>
              <w: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cantSplit/>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Body"/>
              <w:rPr>
                <w:snapToGrid w:val="0"/>
                <w:sz w:val="18"/>
              </w:rPr>
            </w:pPr>
            <w:r>
              <w:rPr>
                <w:b/>
                <w:snapToGrid w:val="0"/>
                <w:sz w:val="18"/>
              </w:rPr>
              <w:t>MORE INFORMATION</w:t>
            </w:r>
          </w:p>
          <w:p>
            <w:pPr>
              <w:pStyle w:val="yMiscellaneousBody"/>
              <w:spacing w:before="60"/>
              <w:rPr>
                <w:snapToGrid w:val="0"/>
                <w:sz w:val="18"/>
              </w:rPr>
            </w:pPr>
            <w:r>
              <w:rPr>
                <w:snapToGrid w:val="0"/>
                <w:sz w:val="18"/>
              </w:rPr>
              <w:t>If you have any questions or require further information about statutory warranties or this notice, contact the Consumer Protection Call Centre on 1300 304 054 (Mon to Fri).  TTY (08) 9282 0800 (hearing impaired).</w:t>
            </w:r>
          </w:p>
          <w:p>
            <w:pPr>
              <w:pStyle w:val="yMiscellaneousHeading"/>
              <w:keepNext w:val="0"/>
              <w:rPr>
                <w:b/>
                <w:snapToGrid w:val="0"/>
              </w:rPr>
            </w:pPr>
            <w:r>
              <w:rPr>
                <w:i/>
                <w:snapToGrid w:val="0"/>
                <w:sz w:val="18"/>
              </w:rPr>
              <w:t>Internet:       www.docep.wa.gov.au</w:t>
            </w:r>
          </w:p>
        </w:tc>
      </w:tr>
    </w:tbl>
    <w:p>
      <w:pPr>
        <w:pStyle w:val="yFootnotesection"/>
      </w:pPr>
      <w:r>
        <w:tab/>
        <w:t>[Form 6 inserted in Gazette 17 Nov 2006 p. 4757</w:t>
      </w:r>
      <w:r>
        <w:noBreakHyphen/>
        <w:t>8; amended in Gazette 30 Jun 2011 p. 2660; 8 Jan 2015 p. 89.]</w:t>
      </w:r>
    </w:p>
    <w:p>
      <w:pPr>
        <w:pStyle w:val="yScheduleHeading"/>
      </w:pPr>
      <w:bookmarkStart w:id="84" w:name="_Toc416883827"/>
      <w:bookmarkStart w:id="85" w:name="_Toc416883876"/>
      <w:bookmarkStart w:id="86" w:name="_Toc417647939"/>
      <w:bookmarkStart w:id="87" w:name="_Toc423448301"/>
      <w:r>
        <w:rPr>
          <w:rStyle w:val="CharSchNo"/>
        </w:rPr>
        <w:t>Schedule 2</w:t>
      </w:r>
      <w:r>
        <w:t> — </w:t>
      </w:r>
      <w:r>
        <w:rPr>
          <w:rStyle w:val="CharSchText"/>
        </w:rPr>
        <w:t>Undesirable practices</w:t>
      </w:r>
      <w:bookmarkEnd w:id="84"/>
      <w:bookmarkEnd w:id="85"/>
      <w:bookmarkEnd w:id="86"/>
      <w:bookmarkEnd w:id="87"/>
    </w:p>
    <w:p>
      <w:pPr>
        <w:pStyle w:val="yShoulderClause"/>
      </w:pPr>
      <w:r>
        <w:t>[r. 12]</w:t>
      </w:r>
    </w:p>
    <w:p>
      <w:pPr>
        <w:pStyle w:val="yFootnoteheading"/>
        <w:rPr>
          <w:snapToGrid w:val="0"/>
        </w:rPr>
      </w:pPr>
      <w:r>
        <w:rPr>
          <w:snapToGrid w:val="0"/>
        </w:rPr>
        <w:tab/>
        <w:t>[Heading inserted in Gazette 17 Nov 2006 p. 4758.]</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Advertising or displaying a telephone number for the purpose of selling a vehicle the vendor of which is the trade owner or is employed by the trade owner except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hours” telephone number that is advertised or displayed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rStyle w:val="CharDefText"/>
        </w:rPr>
        <w:t>the representee</w:t>
      </w:r>
      <w:r>
        <w:rPr>
          <w:snapToGrid w:val="0"/>
        </w:rPr>
        <w:t>) concerning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pPr>
      <w:r>
        <w:tab/>
        <w:t>[Schedule 2, formerly Second Schedule, amended in Gazette 11 Oct 1974 p. 3885; 14 Nov 1975 p. 4220; 5 Aug 1988 p. 2629; 13 Aug 2002 p. 4167.]</w:t>
      </w:r>
    </w:p>
    <w:p>
      <w:pPr>
        <w:pStyle w:val="yScheduleHeading"/>
      </w:pPr>
      <w:bookmarkStart w:id="88" w:name="_Toc416883828"/>
      <w:bookmarkStart w:id="89" w:name="_Toc416883877"/>
      <w:bookmarkStart w:id="90" w:name="_Toc417647940"/>
      <w:bookmarkStart w:id="91" w:name="_Toc423448302"/>
      <w:r>
        <w:rPr>
          <w:rStyle w:val="CharSchNo"/>
        </w:rPr>
        <w:t>Schedule 3</w:t>
      </w:r>
      <w:r>
        <w:t> — </w:t>
      </w:r>
      <w:r>
        <w:rPr>
          <w:rStyle w:val="CharSchText"/>
        </w:rPr>
        <w:t>Prescribed access</w:t>
      </w:r>
      <w:r>
        <w:t>ories</w:t>
      </w:r>
      <w:bookmarkEnd w:id="88"/>
      <w:bookmarkEnd w:id="89"/>
      <w:bookmarkEnd w:id="90"/>
      <w:bookmarkEnd w:id="91"/>
    </w:p>
    <w:p>
      <w:pPr>
        <w:pStyle w:val="yShoulderClause"/>
      </w:pPr>
      <w:r>
        <w:t>[r. 13]</w:t>
      </w:r>
    </w:p>
    <w:p>
      <w:pPr>
        <w:pStyle w:val="yFootnoteheading"/>
        <w:rPr>
          <w:snapToGrid w:val="0"/>
        </w:rPr>
      </w:pPr>
      <w:r>
        <w:rPr>
          <w:snapToGrid w:val="0"/>
        </w:rPr>
        <w:tab/>
        <w:t>[Heading inserted in Gazette 17 Nov 2006 p. 4758.]</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ab/>
        <w:t>[Schedule 3, formerly Third Schedule, amended in Gazette 11 Oct 1974 p. 3885.]</w:t>
      </w:r>
    </w:p>
    <w:p>
      <w:pPr>
        <w:pStyle w:val="yScheduleHeading"/>
        <w:rPr>
          <w:rStyle w:val="CharSchNo"/>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rPr>
          <w:snapToGrid/>
        </w:rPr>
      </w:pPr>
      <w:bookmarkStart w:id="93" w:name="_Toc416883829"/>
      <w:bookmarkStart w:id="94" w:name="_Toc416883878"/>
      <w:bookmarkStart w:id="95" w:name="_Toc417647941"/>
      <w:bookmarkStart w:id="96" w:name="_Toc423448303"/>
      <w:r>
        <w:rPr>
          <w:rStyle w:val="CharSchNo"/>
        </w:rPr>
        <w:t>Schedule 4</w:t>
      </w:r>
      <w:r>
        <w:t> — </w:t>
      </w:r>
      <w:r>
        <w:rPr>
          <w:rStyle w:val="CharSchText"/>
        </w:rPr>
        <w:t>Vehicle consignment contract</w:t>
      </w:r>
      <w:bookmarkEnd w:id="93"/>
      <w:bookmarkEnd w:id="94"/>
      <w:bookmarkEnd w:id="95"/>
      <w:bookmarkEnd w:id="96"/>
    </w:p>
    <w:p>
      <w:pPr>
        <w:pStyle w:val="yShoulderClause"/>
      </w:pPr>
      <w:r>
        <w:t>[r. 13A]</w:t>
      </w:r>
    </w:p>
    <w:p>
      <w:pPr>
        <w:pStyle w:val="yFootnoteheading"/>
      </w:pPr>
      <w:r>
        <w:rPr>
          <w:snapToGrid w:val="0"/>
        </w:rPr>
        <w:tab/>
        <w:t>[Heading inserted in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r>
      <w:smartTag w:uri="urn:schemas-microsoft-com:office:smarttags" w:element="City">
        <w:smartTag w:uri="urn:schemas-microsoft-com:office:smarttags" w:element="place">
          <w:r>
            <w:rPr>
              <w:rFonts w:ascii="Arial" w:hAnsi="Arial" w:cs="Arial"/>
              <w:b/>
              <w:bCs/>
              <w:sz w:val="20"/>
            </w:rPr>
            <w:t>SALE</w:t>
          </w:r>
        </w:smartTag>
      </w:smartTag>
      <w:r>
        <w:rPr>
          <w:rFonts w:ascii="Arial" w:hAnsi="Arial" w:cs="Arial"/>
          <w:b/>
          <w:bCs/>
          <w:sz w:val="20"/>
        </w:rPr>
        <w:t xml:space="preserv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 xml:space="preserve">Subject to Clause 8.1, the Owner will be responsible for the cost of repairing any defects or faults identified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 xml:space="preserve">VEHICLE DECLARED UNFIT FOR </w:t>
      </w:r>
      <w:smartTag w:uri="urn:schemas-microsoft-com:office:smarttags" w:element="City">
        <w:smartTag w:uri="urn:schemas-microsoft-com:office:smarttags" w:element="place">
          <w:r>
            <w:rPr>
              <w:rFonts w:ascii="Arial" w:hAnsi="Arial" w:cs="Arial"/>
              <w:b/>
              <w:bCs/>
              <w:sz w:val="20"/>
            </w:rPr>
            <w:t>SALE</w:t>
          </w:r>
        </w:smartTag>
      </w:smartTag>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 xml:space="preserve">The Dealer will give Notice to the Owner if the Vehicle is declared unfit for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 xml:space="preserve">The Dealer will not carry out any work on the Vehicle without the prior written consent of the Owner.  The Owner may authorise the Dealer to deduct the cost of repairs from the Proceeds Payable after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r>
        <w:rPr>
          <w:rFonts w:ascii="Arial" w:hAnsi="Arial" w:cs="Arial"/>
          <w:i/>
          <w:iCs/>
          <w:sz w:val="20"/>
        </w:rPr>
        <w:t>Trade Practices Act 1974</w:t>
      </w:r>
      <w:r>
        <w:rPr>
          <w:rFonts w:ascii="Arial" w:hAnsi="Arial" w:cs="Arial"/>
          <w:sz w:val="20"/>
        </w:rPr>
        <w:t>,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r>
        <w:rPr>
          <w:rFonts w:ascii="Arial" w:hAnsi="Arial" w:cs="Arial"/>
          <w:i/>
          <w:iCs/>
          <w:sz w:val="20"/>
        </w:rPr>
        <w:t>Trade Practices Act 1974</w:t>
      </w:r>
      <w:r>
        <w:rPr>
          <w:rFonts w:ascii="Arial" w:hAnsi="Arial" w:cs="Arial"/>
          <w:sz w:val="20"/>
        </w:rPr>
        <w: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cs="Arial"/>
          <w:i/>
          <w:iCs/>
          <w:sz w:val="20"/>
        </w:rPr>
        <w:t>Chattel Securities Act 1987</w:t>
      </w:r>
      <w:r>
        <w:rPr>
          <w:rFonts w:ascii="Arial" w:hAnsi="Arial" w:cs="Arial"/>
          <w:sz w:val="20"/>
        </w:rPr>
        <w:t xml:space="preserve"> on the Vehicle, the interest must be discharged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in Gazette 13 Aug 2002 p. 4167</w:t>
      </w:r>
      <w:r>
        <w:noBreakHyphen/>
        <w:t>9; amended in Gazette 30 Jun 2011 p. 2660.]</w:t>
      </w:r>
    </w:p>
    <w:p>
      <w:pPr>
        <w:pStyle w:val="yScheduleHeading"/>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rPr>
          <w:snapToGrid/>
        </w:rPr>
      </w:pPr>
      <w:bookmarkStart w:id="97" w:name="_Toc416883830"/>
      <w:bookmarkStart w:id="98" w:name="_Toc416883879"/>
      <w:bookmarkStart w:id="99" w:name="_Toc417647942"/>
      <w:bookmarkStart w:id="100" w:name="_Toc423448304"/>
      <w:r>
        <w:rPr>
          <w:rStyle w:val="CharSchNo"/>
        </w:rPr>
        <w:t>Schedule 5</w:t>
      </w:r>
      <w:r>
        <w:t> — </w:t>
      </w:r>
      <w:r>
        <w:rPr>
          <w:rStyle w:val="CharSchText"/>
        </w:rPr>
        <w:t>Vehicle sale contract</w:t>
      </w:r>
      <w:bookmarkEnd w:id="97"/>
      <w:bookmarkEnd w:id="98"/>
      <w:bookmarkEnd w:id="99"/>
      <w:bookmarkEnd w:id="100"/>
    </w:p>
    <w:p>
      <w:pPr>
        <w:pStyle w:val="yShoulderClause"/>
      </w:pPr>
      <w:r>
        <w:t>[r. 13B]</w:t>
      </w:r>
    </w:p>
    <w:p>
      <w:pPr>
        <w:pStyle w:val="yFootnoteheading"/>
      </w:pPr>
      <w:r>
        <w:rPr>
          <w:snapToGrid w:val="0"/>
        </w:rPr>
        <w:tab/>
        <w:t>[Heading inserted in Gazette 17 Nov 2006 p. 4759.]</w:t>
      </w:r>
    </w:p>
    <w:p>
      <w:pPr>
        <w:pStyle w:val="yMiscellaneousHeading"/>
        <w:rPr>
          <w:rFonts w:ascii="Arial" w:hAnsi="Arial" w:cs="Arial"/>
          <w:b/>
        </w:rPr>
      </w:pPr>
      <w:r>
        <w:rPr>
          <w:rFonts w:ascii="Arial" w:hAnsi="Arial" w:cs="Arial"/>
          <w:b/>
        </w:rPr>
        <w:t xml:space="preserve">VEHICLE </w:t>
      </w:r>
      <w:smartTag w:uri="urn:schemas-microsoft-com:office:smarttags" w:element="City">
        <w:smartTag w:uri="urn:schemas-microsoft-com:office:smarttags" w:element="place">
          <w:r>
            <w:rPr>
              <w:rFonts w:ascii="Arial" w:hAnsi="Arial" w:cs="Arial"/>
              <w:b/>
            </w:rPr>
            <w:t>SALE</w:t>
          </w:r>
        </w:smartTag>
      </w:smartTag>
      <w:r>
        <w:rPr>
          <w:rFonts w:ascii="Arial" w:hAnsi="Arial" w:cs="Arial"/>
          <w:b/>
        </w:rPr>
        <w:t xml:space="preserv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15%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in Gazette 13 Aug 2002 p. 4169</w:t>
      </w:r>
      <w:r>
        <w:noBreakHyphen/>
        <w:t>71.]</w:t>
      </w:r>
    </w:p>
    <w:p>
      <w:pPr>
        <w:sectPr>
          <w:headerReference w:type="even" r:id="rId33"/>
          <w:pgSz w:w="11907" w:h="16840" w:code="9"/>
          <w:pgMar w:top="2376" w:right="2405" w:bottom="3542" w:left="2405" w:header="706" w:footer="3380" w:gutter="0"/>
          <w:cols w:space="720"/>
          <w:noEndnote/>
          <w:docGrid w:linePitch="326"/>
        </w:sectPr>
      </w:pPr>
    </w:p>
    <w:p>
      <w:pPr>
        <w:pStyle w:val="nHeading2"/>
      </w:pPr>
      <w:bookmarkStart w:id="101" w:name="_Toc416883831"/>
      <w:bookmarkStart w:id="102" w:name="_Toc416883880"/>
      <w:bookmarkStart w:id="103" w:name="_Toc417647943"/>
      <w:bookmarkStart w:id="104" w:name="_Toc423448305"/>
      <w:r>
        <w:t>Notes</w:t>
      </w:r>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 w:name="_Toc423448306"/>
      <w:r>
        <w:rPr>
          <w:snapToGrid w:val="0"/>
        </w:rP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Motor Vehicle Dealers (Sales) Regulations 1974</w:t>
            </w:r>
          </w:p>
        </w:tc>
        <w:tc>
          <w:tcPr>
            <w:tcW w:w="1276" w:type="dxa"/>
          </w:tcPr>
          <w:p>
            <w:pPr>
              <w:pStyle w:val="nTable"/>
              <w:spacing w:after="40"/>
            </w:pPr>
            <w:r>
              <w:t>14 Jun 1974 p. 1926</w:t>
            </w:r>
            <w:r>
              <w:noBreakHyphen/>
              <w:t>36</w:t>
            </w:r>
          </w:p>
        </w:tc>
        <w:tc>
          <w:tcPr>
            <w:tcW w:w="2693" w:type="dxa"/>
          </w:tcPr>
          <w:p>
            <w:pPr>
              <w:pStyle w:val="nTable"/>
              <w:spacing w:after="40"/>
            </w:pPr>
            <w:r>
              <w:t>12 Aug 1974</w:t>
            </w:r>
          </w:p>
        </w:tc>
      </w:tr>
      <w:tr>
        <w:trPr>
          <w:cantSplit/>
        </w:trPr>
        <w:tc>
          <w:tcPr>
            <w:tcW w:w="3118" w:type="dxa"/>
          </w:tcPr>
          <w:p>
            <w:pPr>
              <w:pStyle w:val="nTable"/>
              <w:spacing w:after="40"/>
              <w:ind w:right="170"/>
              <w:rPr>
                <w:iCs/>
              </w:rPr>
            </w:pPr>
            <w:r>
              <w:rPr>
                <w:iCs/>
              </w:rPr>
              <w:t>Untitled regulations</w:t>
            </w:r>
          </w:p>
        </w:tc>
        <w:tc>
          <w:tcPr>
            <w:tcW w:w="1276" w:type="dxa"/>
          </w:tcPr>
          <w:p>
            <w:pPr>
              <w:pStyle w:val="nTable"/>
              <w:spacing w:after="40"/>
            </w:pPr>
            <w:r>
              <w:t>11 Oct 1974 p. 3885</w:t>
            </w:r>
            <w:r>
              <w:noBreakHyphen/>
              <w:t>6</w:t>
            </w:r>
          </w:p>
        </w:tc>
        <w:tc>
          <w:tcPr>
            <w:tcW w:w="2693" w:type="dxa"/>
          </w:tcPr>
          <w:p>
            <w:pPr>
              <w:pStyle w:val="nTable"/>
              <w:spacing w:after="40"/>
            </w:pPr>
            <w:r>
              <w:t>11 Oct 1974</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23 May 1975 p. 1428</w:t>
            </w:r>
            <w:r>
              <w:noBreakHyphen/>
              <w:t>9</w:t>
            </w:r>
          </w:p>
        </w:tc>
        <w:tc>
          <w:tcPr>
            <w:tcW w:w="2693" w:type="dxa"/>
          </w:tcPr>
          <w:p>
            <w:pPr>
              <w:pStyle w:val="nTable"/>
              <w:spacing w:after="40"/>
            </w:pPr>
            <w:r>
              <w:t>1 Jun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14 Nov 1975 p. 4220</w:t>
            </w:r>
          </w:p>
        </w:tc>
        <w:tc>
          <w:tcPr>
            <w:tcW w:w="2693" w:type="dxa"/>
          </w:tcPr>
          <w:p>
            <w:pPr>
              <w:pStyle w:val="nTable"/>
              <w:spacing w:after="40"/>
            </w:pPr>
            <w:r>
              <w:t>14 Nov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28 May 1976 p. 1613</w:t>
            </w:r>
            <w:r>
              <w:noBreakHyphen/>
              <w:t>14</w:t>
            </w:r>
          </w:p>
        </w:tc>
        <w:tc>
          <w:tcPr>
            <w:tcW w:w="2693" w:type="dxa"/>
          </w:tcPr>
          <w:p>
            <w:pPr>
              <w:pStyle w:val="nTable"/>
              <w:spacing w:after="40"/>
            </w:pPr>
            <w:r>
              <w:t>28 May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27 Aug 1976 p. 3259</w:t>
            </w:r>
          </w:p>
        </w:tc>
        <w:tc>
          <w:tcPr>
            <w:tcW w:w="2693" w:type="dxa"/>
          </w:tcPr>
          <w:p>
            <w:pPr>
              <w:pStyle w:val="nTable"/>
              <w:spacing w:after="40"/>
            </w:pPr>
            <w:r>
              <w:t>27 Aug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21 Dec 1979 p. 3988</w:t>
            </w:r>
            <w:r>
              <w:noBreakHyphen/>
              <w:t>9</w:t>
            </w:r>
          </w:p>
        </w:tc>
        <w:tc>
          <w:tcPr>
            <w:tcW w:w="2693" w:type="dxa"/>
          </w:tcPr>
          <w:p>
            <w:pPr>
              <w:pStyle w:val="nTable"/>
              <w:spacing w:after="40"/>
            </w:pPr>
            <w:r>
              <w:t>1 Jan 1980</w:t>
            </w:r>
          </w:p>
        </w:tc>
      </w:tr>
      <w:tr>
        <w:trPr>
          <w:cantSplit/>
        </w:trPr>
        <w:tc>
          <w:tcPr>
            <w:tcW w:w="3118" w:type="dxa"/>
          </w:tcPr>
          <w:p>
            <w:pPr>
              <w:pStyle w:val="nTable"/>
              <w:spacing w:after="40"/>
              <w:ind w:right="170"/>
              <w:rPr>
                <w:i/>
              </w:rPr>
            </w:pPr>
            <w:r>
              <w:rPr>
                <w:i/>
              </w:rPr>
              <w:t>Motor Vehicle Dealers (Sales) Amendment Regulations 1981</w:t>
            </w:r>
          </w:p>
        </w:tc>
        <w:tc>
          <w:tcPr>
            <w:tcW w:w="1276" w:type="dxa"/>
          </w:tcPr>
          <w:p>
            <w:pPr>
              <w:pStyle w:val="nTable"/>
              <w:spacing w:after="40"/>
            </w:pPr>
            <w:r>
              <w:t>26 Jun 1981 p. 2364</w:t>
            </w:r>
          </w:p>
        </w:tc>
        <w:tc>
          <w:tcPr>
            <w:tcW w:w="2693" w:type="dxa"/>
          </w:tcPr>
          <w:p>
            <w:pPr>
              <w:pStyle w:val="nTable"/>
              <w:spacing w:after="40"/>
            </w:pPr>
            <w:r>
              <w:t>1 Jul 1981 (see r. 2)</w:t>
            </w:r>
          </w:p>
        </w:tc>
      </w:tr>
      <w:tr>
        <w:trPr>
          <w:cantSplit/>
        </w:trPr>
        <w:tc>
          <w:tcPr>
            <w:tcW w:w="3118" w:type="dxa"/>
          </w:tcPr>
          <w:p>
            <w:pPr>
              <w:pStyle w:val="nTable"/>
              <w:spacing w:after="40"/>
              <w:ind w:right="170"/>
              <w:rPr>
                <w:i/>
              </w:rPr>
            </w:pPr>
            <w:r>
              <w:rPr>
                <w:i/>
              </w:rPr>
              <w:t>Motor Vehicle Dealers (Sales) Amendment Regulations 1982</w:t>
            </w:r>
          </w:p>
        </w:tc>
        <w:tc>
          <w:tcPr>
            <w:tcW w:w="1276" w:type="dxa"/>
          </w:tcPr>
          <w:p>
            <w:pPr>
              <w:pStyle w:val="nTable"/>
              <w:spacing w:after="40"/>
            </w:pPr>
            <w:r>
              <w:t>2 Feb 1982 p. 396</w:t>
            </w:r>
          </w:p>
        </w:tc>
        <w:tc>
          <w:tcPr>
            <w:tcW w:w="2693" w:type="dxa"/>
          </w:tcPr>
          <w:p>
            <w:pPr>
              <w:pStyle w:val="nTable"/>
              <w:spacing w:after="40"/>
            </w:pPr>
            <w:r>
              <w:t>2 Feb 1982 (see r. 2)</w:t>
            </w:r>
          </w:p>
        </w:tc>
      </w:tr>
      <w:tr>
        <w:trPr>
          <w:cantSplit/>
        </w:trPr>
        <w:tc>
          <w:tcPr>
            <w:tcW w:w="3118" w:type="dxa"/>
          </w:tcPr>
          <w:p>
            <w:pPr>
              <w:pStyle w:val="nTable"/>
              <w:spacing w:after="40"/>
              <w:ind w:right="170"/>
              <w:rPr>
                <w:i/>
              </w:rPr>
            </w:pPr>
            <w:r>
              <w:rPr>
                <w:i/>
              </w:rPr>
              <w:t>Motor Vehicle Dealers (Sales) Amendment Regulations (No. 2) 1982</w:t>
            </w:r>
          </w:p>
        </w:tc>
        <w:tc>
          <w:tcPr>
            <w:tcW w:w="1276" w:type="dxa"/>
          </w:tcPr>
          <w:p>
            <w:pPr>
              <w:pStyle w:val="nTable"/>
              <w:spacing w:after="40"/>
            </w:pPr>
            <w:r>
              <w:t>27 Aug 1982 p. 3425</w:t>
            </w:r>
            <w:r>
              <w:noBreakHyphen/>
              <w:t>6</w:t>
            </w:r>
          </w:p>
        </w:tc>
        <w:tc>
          <w:tcPr>
            <w:tcW w:w="2693" w:type="dxa"/>
          </w:tcPr>
          <w:p>
            <w:pPr>
              <w:pStyle w:val="nTable"/>
              <w:spacing w:after="40"/>
            </w:pPr>
            <w:r>
              <w:t>27 Aug 1982</w:t>
            </w:r>
          </w:p>
        </w:tc>
      </w:tr>
      <w:tr>
        <w:trPr>
          <w:cantSplit/>
        </w:trPr>
        <w:tc>
          <w:tcPr>
            <w:tcW w:w="3118" w:type="dxa"/>
          </w:tcPr>
          <w:p>
            <w:pPr>
              <w:pStyle w:val="nTable"/>
              <w:spacing w:after="40"/>
              <w:ind w:right="170"/>
              <w:rPr>
                <w:i/>
              </w:rPr>
            </w:pPr>
            <w:r>
              <w:rPr>
                <w:i/>
              </w:rPr>
              <w:t>Motor Vehicle Dealers (Sales) Amendment Regulations (No. 3) 1982</w:t>
            </w:r>
          </w:p>
        </w:tc>
        <w:tc>
          <w:tcPr>
            <w:tcW w:w="1276" w:type="dxa"/>
          </w:tcPr>
          <w:p>
            <w:pPr>
              <w:pStyle w:val="nTable"/>
              <w:spacing w:after="40"/>
            </w:pPr>
            <w:r>
              <w:t>29 Oct 1982 p. 4355</w:t>
            </w:r>
          </w:p>
        </w:tc>
        <w:tc>
          <w:tcPr>
            <w:tcW w:w="2693" w:type="dxa"/>
          </w:tcPr>
          <w:p>
            <w:pPr>
              <w:pStyle w:val="nTable"/>
              <w:spacing w:after="40"/>
            </w:pPr>
            <w:r>
              <w:t>29 Oct 1982</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dated 10 Apr 1984 in </w:t>
            </w:r>
            <w:r>
              <w:rPr>
                <w:b/>
                <w:bCs/>
                <w:i/>
                <w:iCs/>
              </w:rPr>
              <w:t>Gazette</w:t>
            </w:r>
            <w:r>
              <w:rPr>
                <w:b/>
                <w:bCs/>
              </w:rPr>
              <w:t xml:space="preserve"> 16 Apr 1984 p. 1061</w:t>
            </w:r>
            <w:r>
              <w:rPr>
                <w:b/>
                <w:bCs/>
              </w:rPr>
              <w:noBreakHyphen/>
              <w:t>74</w:t>
            </w:r>
            <w:r>
              <w:t xml:space="preserve"> (includes amendments listed above)</w:t>
            </w:r>
          </w:p>
        </w:tc>
      </w:tr>
      <w:tr>
        <w:trPr>
          <w:cantSplit/>
        </w:trPr>
        <w:tc>
          <w:tcPr>
            <w:tcW w:w="3118" w:type="dxa"/>
          </w:tcPr>
          <w:p>
            <w:pPr>
              <w:pStyle w:val="nTable"/>
              <w:spacing w:after="40"/>
              <w:ind w:right="170"/>
            </w:pPr>
            <w:r>
              <w:rPr>
                <w:i/>
              </w:rPr>
              <w:t>Motor Vehicle Dealers (Sales) Amendment Regulations 1984</w:t>
            </w:r>
          </w:p>
        </w:tc>
        <w:tc>
          <w:tcPr>
            <w:tcW w:w="1276" w:type="dxa"/>
          </w:tcPr>
          <w:p>
            <w:pPr>
              <w:pStyle w:val="nTable"/>
              <w:spacing w:after="40"/>
            </w:pPr>
            <w:r>
              <w:t>30 Nov 1984 p. 3997</w:t>
            </w:r>
          </w:p>
        </w:tc>
        <w:tc>
          <w:tcPr>
            <w:tcW w:w="2693" w:type="dxa"/>
          </w:tcPr>
          <w:p>
            <w:pPr>
              <w:pStyle w:val="nTable"/>
              <w:spacing w:after="40"/>
            </w:pPr>
            <w:r>
              <w:t>1 Jan 1985 (see r. 2)</w:t>
            </w:r>
          </w:p>
        </w:tc>
      </w:tr>
      <w:tr>
        <w:trPr>
          <w:cantSplit/>
        </w:trPr>
        <w:tc>
          <w:tcPr>
            <w:tcW w:w="3118" w:type="dxa"/>
          </w:tcPr>
          <w:p>
            <w:pPr>
              <w:pStyle w:val="nTable"/>
              <w:spacing w:after="40"/>
              <w:ind w:right="170"/>
            </w:pPr>
            <w:r>
              <w:rPr>
                <w:i/>
              </w:rPr>
              <w:t>Motor Vehicle Dealers (Sales) Amendment Regulations 1988</w:t>
            </w:r>
          </w:p>
        </w:tc>
        <w:tc>
          <w:tcPr>
            <w:tcW w:w="1276" w:type="dxa"/>
          </w:tcPr>
          <w:p>
            <w:pPr>
              <w:pStyle w:val="nTable"/>
              <w:spacing w:after="40"/>
            </w:pPr>
            <w:r>
              <w:t>5 Aug 1988 p. 2629</w:t>
            </w:r>
          </w:p>
        </w:tc>
        <w:tc>
          <w:tcPr>
            <w:tcW w:w="2693" w:type="dxa"/>
          </w:tcPr>
          <w:p>
            <w:pPr>
              <w:pStyle w:val="nTable"/>
              <w:spacing w:after="40"/>
            </w:pPr>
            <w:r>
              <w:t>2 Sep 1988 (see r. 2)</w:t>
            </w:r>
          </w:p>
        </w:tc>
      </w:tr>
      <w:tr>
        <w:trPr>
          <w:cantSplit/>
        </w:trPr>
        <w:tc>
          <w:tcPr>
            <w:tcW w:w="3118" w:type="dxa"/>
          </w:tcPr>
          <w:p>
            <w:pPr>
              <w:pStyle w:val="nTable"/>
              <w:spacing w:after="40"/>
              <w:ind w:right="170"/>
            </w:pPr>
            <w:r>
              <w:rPr>
                <w:i/>
              </w:rPr>
              <w:t>Motor Vehicle Dealers (Sales) Amendment Regulations 1989</w:t>
            </w:r>
          </w:p>
        </w:tc>
        <w:tc>
          <w:tcPr>
            <w:tcW w:w="1276" w:type="dxa"/>
          </w:tcPr>
          <w:p>
            <w:pPr>
              <w:pStyle w:val="nTable"/>
              <w:spacing w:after="40"/>
            </w:pPr>
            <w:r>
              <w:t>25 Aug 1989 p. 2874</w:t>
            </w:r>
          </w:p>
        </w:tc>
        <w:tc>
          <w:tcPr>
            <w:tcW w:w="2693" w:type="dxa"/>
          </w:tcPr>
          <w:p>
            <w:pPr>
              <w:pStyle w:val="nTable"/>
              <w:spacing w:after="40"/>
            </w:pPr>
            <w:r>
              <w:t>25 Aug 1989</w:t>
            </w:r>
          </w:p>
        </w:tc>
      </w:tr>
      <w:tr>
        <w:trPr>
          <w:cantSplit/>
        </w:trPr>
        <w:tc>
          <w:tcPr>
            <w:tcW w:w="3118" w:type="dxa"/>
          </w:tcPr>
          <w:p>
            <w:pPr>
              <w:pStyle w:val="nTable"/>
              <w:spacing w:after="40"/>
              <w:ind w:right="170"/>
              <w:rPr>
                <w:i/>
              </w:rPr>
            </w:pPr>
            <w:r>
              <w:rPr>
                <w:i/>
              </w:rPr>
              <w:t>Motor Vehicle Dealers (Sales) Amendment Regulations 1998</w:t>
            </w:r>
          </w:p>
        </w:tc>
        <w:tc>
          <w:tcPr>
            <w:tcW w:w="1276" w:type="dxa"/>
          </w:tcPr>
          <w:p>
            <w:pPr>
              <w:pStyle w:val="nTable"/>
              <w:spacing w:after="40"/>
            </w:pPr>
            <w:r>
              <w:t>26 Jun 1998 p. 3375</w:t>
            </w:r>
            <w:r>
              <w:noBreakHyphen/>
              <w:t>80</w:t>
            </w:r>
          </w:p>
        </w:tc>
        <w:tc>
          <w:tcPr>
            <w:tcW w:w="2693" w:type="dxa"/>
          </w:tcPr>
          <w:p>
            <w:pPr>
              <w:pStyle w:val="nTable"/>
              <w:spacing w:after="40"/>
            </w:pPr>
            <w:r>
              <w:t>26 Dec 1998 (see r. 2)</w:t>
            </w:r>
          </w:p>
        </w:tc>
      </w:tr>
      <w:tr>
        <w:trPr>
          <w:cantSplit/>
        </w:trPr>
        <w:tc>
          <w:tcPr>
            <w:tcW w:w="3118" w:type="dxa"/>
          </w:tcPr>
          <w:p>
            <w:pPr>
              <w:pStyle w:val="nTable"/>
              <w:spacing w:after="40"/>
              <w:ind w:right="170"/>
              <w:rPr>
                <w:i/>
              </w:rPr>
            </w:pPr>
            <w:r>
              <w:rPr>
                <w:i/>
              </w:rPr>
              <w:t>Motor Vehicle Dealers (Sales) Amendment Regulations (No. 2) 1998</w:t>
            </w:r>
          </w:p>
        </w:tc>
        <w:tc>
          <w:tcPr>
            <w:tcW w:w="1276" w:type="dxa"/>
          </w:tcPr>
          <w:p>
            <w:pPr>
              <w:pStyle w:val="nTable"/>
              <w:spacing w:after="40"/>
            </w:pPr>
            <w:r>
              <w:t>18 Sep 1998 p. 5157</w:t>
            </w:r>
            <w:r>
              <w:noBreakHyphen/>
              <w:t>8</w:t>
            </w:r>
          </w:p>
        </w:tc>
        <w:tc>
          <w:tcPr>
            <w:tcW w:w="2693" w:type="dxa"/>
          </w:tcPr>
          <w:p>
            <w:pPr>
              <w:pStyle w:val="nTable"/>
              <w:spacing w:after="40"/>
            </w:pPr>
            <w:r>
              <w:t>26 Dec 1998 (see r. 2 and </w:t>
            </w:r>
            <w:r>
              <w:rPr>
                <w:i/>
              </w:rPr>
              <w:t>Gazette</w:t>
            </w:r>
            <w:r>
              <w:t xml:space="preserve"> 26 Jun 1998 p. 3375)</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as at 2 Jul 1999</w:t>
            </w:r>
            <w:r>
              <w:t xml:space="preserve"> (includes amendments listed above)</w:t>
            </w:r>
          </w:p>
        </w:tc>
      </w:tr>
      <w:tr>
        <w:trPr>
          <w:cantSplit/>
        </w:trPr>
        <w:tc>
          <w:tcPr>
            <w:tcW w:w="3118" w:type="dxa"/>
          </w:tcPr>
          <w:p>
            <w:pPr>
              <w:pStyle w:val="nTable"/>
              <w:spacing w:after="40"/>
              <w:ind w:right="170"/>
              <w:rPr>
                <w:i/>
              </w:rPr>
            </w:pPr>
            <w:r>
              <w:rPr>
                <w:i/>
              </w:rPr>
              <w:t>Motor Vehicle Dealers (Sales) Amendment Regulations 2002</w:t>
            </w:r>
          </w:p>
        </w:tc>
        <w:tc>
          <w:tcPr>
            <w:tcW w:w="1276" w:type="dxa"/>
          </w:tcPr>
          <w:p>
            <w:pPr>
              <w:pStyle w:val="nTable"/>
              <w:spacing w:after="40"/>
            </w:pPr>
            <w:r>
              <w:t>13 Aug 2002 p. 4159</w:t>
            </w:r>
            <w:r>
              <w:noBreakHyphen/>
              <w:t>71</w:t>
            </w:r>
          </w:p>
        </w:tc>
        <w:tc>
          <w:tcPr>
            <w:tcW w:w="2693" w:type="dxa"/>
          </w:tcPr>
          <w:p>
            <w:pPr>
              <w:pStyle w:val="nTable"/>
              <w:spacing w:after="40"/>
            </w:pPr>
            <w:r>
              <w:t xml:space="preserve">1 Sep 2002 (see r. 2 and </w:t>
            </w:r>
            <w:r>
              <w:rPr>
                <w:i/>
              </w:rPr>
              <w:t>Gazette</w:t>
            </w:r>
            <w:r>
              <w:t xml:space="preserve"> 13 Aug 2002 p. 4151)</w:t>
            </w:r>
          </w:p>
        </w:tc>
      </w:tr>
      <w:tr>
        <w:trPr>
          <w:cantSplit/>
        </w:trPr>
        <w:tc>
          <w:tcPr>
            <w:tcW w:w="3118" w:type="dxa"/>
          </w:tcPr>
          <w:p>
            <w:pPr>
              <w:pStyle w:val="nTable"/>
              <w:spacing w:after="40"/>
              <w:ind w:right="170"/>
              <w:rPr>
                <w:i/>
              </w:rPr>
            </w:pPr>
            <w:r>
              <w:rPr>
                <w:i/>
              </w:rPr>
              <w:t>Motor Vehicle Dealers (Sales) Amendment Regulations (No. 2) 2002</w:t>
            </w:r>
          </w:p>
        </w:tc>
        <w:tc>
          <w:tcPr>
            <w:tcW w:w="1276" w:type="dxa"/>
          </w:tcPr>
          <w:p>
            <w:pPr>
              <w:pStyle w:val="nTable"/>
              <w:spacing w:after="40"/>
            </w:pPr>
            <w:r>
              <w:t>30 Aug 2002 p. 4455</w:t>
            </w:r>
            <w:r>
              <w:noBreakHyphen/>
              <w:t>6</w:t>
            </w:r>
          </w:p>
        </w:tc>
        <w:tc>
          <w:tcPr>
            <w:tcW w:w="2693" w:type="dxa"/>
          </w:tcPr>
          <w:p>
            <w:pPr>
              <w:pStyle w:val="nTable"/>
              <w:spacing w:after="40"/>
            </w:pPr>
            <w:r>
              <w:t xml:space="preserve">1 Sep 2002 (see r. 2 and </w:t>
            </w:r>
            <w:r>
              <w:rPr>
                <w:i/>
              </w:rPr>
              <w:t>Gazette</w:t>
            </w:r>
            <w:r>
              <w:t xml:space="preserve"> 13 Aug 2002 p. 4159 and p. 4151)</w:t>
            </w:r>
          </w:p>
        </w:tc>
      </w:tr>
      <w:tr>
        <w:trPr>
          <w:cantSplit/>
        </w:trPr>
        <w:tc>
          <w:tcPr>
            <w:tcW w:w="3118" w:type="dxa"/>
          </w:tcPr>
          <w:p>
            <w:pPr>
              <w:pStyle w:val="nTable"/>
              <w:spacing w:after="40"/>
              <w:ind w:right="170"/>
              <w:rPr>
                <w:i/>
              </w:rPr>
            </w:pPr>
            <w:r>
              <w:rPr>
                <w:i/>
              </w:rPr>
              <w:t xml:space="preserve">Motor Vehicle Dealers (Sales) Amendment Regulations 2006 </w:t>
            </w:r>
          </w:p>
        </w:tc>
        <w:tc>
          <w:tcPr>
            <w:tcW w:w="1276" w:type="dxa"/>
          </w:tcPr>
          <w:p>
            <w:pPr>
              <w:pStyle w:val="nTable"/>
              <w:spacing w:after="40"/>
            </w:pPr>
            <w:r>
              <w:t>17 Nov 2006 p. 4750</w:t>
            </w:r>
            <w:r>
              <w:noBreakHyphen/>
              <w:t>9</w:t>
            </w:r>
          </w:p>
        </w:tc>
        <w:tc>
          <w:tcPr>
            <w:tcW w:w="2693" w:type="dxa"/>
          </w:tcPr>
          <w:p>
            <w:pPr>
              <w:pStyle w:val="nTable"/>
              <w:spacing w:after="40"/>
            </w:pPr>
            <w:r>
              <w:t>1 Jan 2007 (see r. 2)</w:t>
            </w:r>
          </w:p>
        </w:tc>
      </w:tr>
      <w:tr>
        <w:trPr>
          <w:cantSplit/>
        </w:trPr>
        <w:tc>
          <w:tcPr>
            <w:tcW w:w="7087" w:type="dxa"/>
            <w:gridSpan w:val="3"/>
          </w:tcPr>
          <w:p>
            <w:pPr>
              <w:pStyle w:val="nTable"/>
              <w:spacing w:after="40"/>
            </w:pPr>
            <w:r>
              <w:rPr>
                <w:b/>
                <w:bCs/>
              </w:rPr>
              <w:t xml:space="preserve">Reprint 3: The </w:t>
            </w:r>
            <w:r>
              <w:rPr>
                <w:b/>
                <w:bCs/>
                <w:i/>
              </w:rPr>
              <w:t>Motor Vehicle Dealers (Sales) Regulations 1974</w:t>
            </w:r>
            <w:r>
              <w:rPr>
                <w:b/>
                <w:bCs/>
              </w:rPr>
              <w:t xml:space="preserve"> as at 16 Feb 2007</w:t>
            </w:r>
            <w:r>
              <w:t xml:space="preserve"> (includes amendments listed above)</w:t>
            </w:r>
          </w:p>
        </w:tc>
      </w:tr>
      <w:tr>
        <w:trPr>
          <w:cantSplit/>
        </w:trPr>
        <w:tc>
          <w:tcPr>
            <w:tcW w:w="3118" w:type="dxa"/>
          </w:tcPr>
          <w:p>
            <w:pPr>
              <w:pStyle w:val="nTable"/>
              <w:spacing w:after="40"/>
              <w:ind w:right="170"/>
              <w:rPr>
                <w:i/>
              </w:rPr>
            </w:pPr>
            <w:r>
              <w:rPr>
                <w:i/>
              </w:rPr>
              <w:t>Motor Vehicle Dealers (Sales) Amendment Regulations (No. 2) 2011</w:t>
            </w:r>
          </w:p>
        </w:tc>
        <w:tc>
          <w:tcPr>
            <w:tcW w:w="1276" w:type="dxa"/>
          </w:tcPr>
          <w:p>
            <w:pPr>
              <w:pStyle w:val="nTable"/>
              <w:spacing w:after="40"/>
            </w:pPr>
            <w:r>
              <w:t>30 Jun 2011 p. 2659-60</w:t>
            </w:r>
          </w:p>
        </w:tc>
        <w:tc>
          <w:tcPr>
            <w:tcW w:w="2693" w:type="dxa"/>
          </w:tcPr>
          <w:p>
            <w:pPr>
              <w:pStyle w:val="nTable"/>
              <w:spacing w:after="40"/>
            </w:pPr>
            <w:r>
              <w:t>r. 1 and 2: 30 Jun 2011 (see r. 1(a));</w:t>
            </w:r>
            <w:r>
              <w:br/>
              <w:t>Regulations other than r. 1 and 2: 1 Jul 2011 (see r. 2(b))</w:t>
            </w:r>
          </w:p>
        </w:tc>
      </w:tr>
      <w:tr>
        <w:trPr>
          <w:cantSplit/>
        </w:trPr>
        <w:tc>
          <w:tcPr>
            <w:tcW w:w="3118" w:type="dxa"/>
          </w:tcPr>
          <w:p>
            <w:pPr>
              <w:pStyle w:val="nTable"/>
              <w:spacing w:after="40"/>
              <w:ind w:right="170"/>
              <w:rPr>
                <w:i/>
              </w:rPr>
            </w:pPr>
            <w:r>
              <w:rPr>
                <w:i/>
              </w:rPr>
              <w:t>Motor Vehicle Dealers (Sales) Amendment Regulations 2014</w:t>
            </w:r>
          </w:p>
        </w:tc>
        <w:tc>
          <w:tcPr>
            <w:tcW w:w="1276" w:type="dxa"/>
          </w:tcPr>
          <w:p>
            <w:pPr>
              <w:pStyle w:val="nTable"/>
              <w:spacing w:after="40"/>
            </w:pPr>
            <w:r>
              <w:t>8 Jan 2015 p. 89</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bottom w:val="single" w:sz="4" w:space="0" w:color="auto"/>
            </w:tcBorders>
          </w:tcPr>
          <w:p>
            <w:pPr>
              <w:pStyle w:val="nTable"/>
              <w:spacing w:after="40"/>
              <w:ind w:right="170"/>
              <w:rPr>
                <w:i/>
              </w:rPr>
            </w:pPr>
            <w:r>
              <w:rPr>
                <w:i/>
              </w:rPr>
              <w:t>Motor Vehicle Dealers (Sales) Amendment Regulations 2015</w:t>
            </w:r>
          </w:p>
        </w:tc>
        <w:tc>
          <w:tcPr>
            <w:tcW w:w="1276" w:type="dxa"/>
            <w:tcBorders>
              <w:bottom w:val="single" w:sz="4" w:space="0" w:color="auto"/>
            </w:tcBorders>
          </w:tcPr>
          <w:p>
            <w:pPr>
              <w:pStyle w:val="nTable"/>
              <w:spacing w:after="40"/>
            </w:pPr>
            <w:r>
              <w:t>30 Jun 2015 p. 2330</w:t>
            </w:r>
            <w:r>
              <w:noBreakHyphen/>
              <w:t>1</w:t>
            </w:r>
          </w:p>
        </w:tc>
        <w:tc>
          <w:tcPr>
            <w:tcW w:w="2693" w:type="dxa"/>
            <w:tcBorders>
              <w:bottom w:val="single" w:sz="4" w:space="0" w:color="auto"/>
            </w:tcBorders>
          </w:tcPr>
          <w:p>
            <w:pPr>
              <w:pStyle w:val="nTable"/>
              <w:spacing w:after="40"/>
              <w:rPr>
                <w:snapToGrid w:val="0"/>
                <w:spacing w:val="-2"/>
              </w:rPr>
            </w:pPr>
            <w:r>
              <w:rPr>
                <w:snapToGrid w:val="0"/>
                <w:spacing w:val="-2"/>
              </w:rPr>
              <w:t>r. 1 and 2: 30 Jun 2015 (see r. 2(a));</w:t>
            </w:r>
            <w:r>
              <w:rPr>
                <w:snapToGrid w:val="0"/>
                <w:spacing w:val="-2"/>
              </w:rPr>
              <w:br/>
              <w:t>Regulations other than r. 1 and 2: 1 Jul 2015 (see r. 2(b))</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07" w:name="_Toc416883883"/>
      <w:bookmarkStart w:id="108" w:name="_Toc417647945"/>
      <w:bookmarkStart w:id="109" w:name="_Toc423448307"/>
      <w:r>
        <w:rPr>
          <w:sz w:val="28"/>
        </w:rPr>
        <w:t>Defined terms</w:t>
      </w:r>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section</w:t>
      </w:r>
      <w:r>
        <w:tab/>
        <w:t>2</w:t>
      </w:r>
    </w:p>
    <w:p>
      <w:pPr>
        <w:pStyle w:val="DefinedTerms"/>
      </w:pPr>
      <w:r>
        <w:t>the representee</w:t>
      </w:r>
      <w:r>
        <w:tab/>
        <w:t>Sch. 2</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access</w: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Vehicle consignment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Vehicle consignment contract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 w:name="Coversheet"/>
    <w:bookmarkEnd w:id="1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AB666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2956"/>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0107135715" w:val="RemoveTocBookmarks,RemoveUnusedBookmarks,RemoveLanguageTags,UsedStyles,ResetPageSize,UpdateArrangement"/>
    <w:docVar w:name="WAFER_20150107135715_GUID" w:val="f4291ead-0dd4-4e2e-9d7d-8dfb2745afc7"/>
    <w:docVar w:name="WAFER_20150415174932" w:val="ResetPageSize,UpdateArrangement,UpdateNTable"/>
    <w:docVar w:name="WAFER_20150415174932_GUID" w:val="eb9cbc83-16c7-471b-bbe5-85012b5825e8"/>
    <w:docVar w:name="WAFER_20151126104646" w:val="UpdateStyles"/>
    <w:docVar w:name="WAFER_20151126104646_GUID" w:val="f728b9a1-7d68-43d0-9858-fea595687508"/>
    <w:docVar w:name="WAFER_20151126112956" w:val="UsedStyles"/>
    <w:docVar w:name="WAFER_20151126112956_GUID" w:val="f2fb4ab6-c431-4a4a-b8c4-5411841114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7810</Words>
  <Characters>40772</Characters>
  <Application>Microsoft Office Word</Application>
  <DocSecurity>0</DocSecurity>
  <Lines>1359</Lines>
  <Paragraphs>796</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1974 - 03-e0-02</dc:title>
  <dc:subject/>
  <dc:creator/>
  <cp:keywords/>
  <dc:description/>
  <cp:lastModifiedBy>svcMRProcess</cp:lastModifiedBy>
  <cp:revision>4</cp:revision>
  <cp:lastPrinted>2007-02-26T03:09:00Z</cp:lastPrinted>
  <dcterms:created xsi:type="dcterms:W3CDTF">2018-09-13T02:35:00Z</dcterms:created>
  <dcterms:modified xsi:type="dcterms:W3CDTF">2018-09-13T02:35:00Z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DocumentType">
    <vt:lpwstr>Reg</vt:lpwstr>
  </property>
  <property fmtid="{D5CDD505-2E9C-101B-9397-08002B2CF9AE}" pid="4" name="OwlsUID">
    <vt:i4>4650</vt:i4>
  </property>
  <property fmtid="{D5CDD505-2E9C-101B-9397-08002B2CF9AE}" pid="5" name="ReprintNo">
    <vt:lpwstr>3</vt:lpwstr>
  </property>
  <property fmtid="{D5CDD505-2E9C-101B-9397-08002B2CF9AE}" pid="6" name="AsAtDate">
    <vt:lpwstr>01 Jul 2015</vt:lpwstr>
  </property>
  <property fmtid="{D5CDD505-2E9C-101B-9397-08002B2CF9AE}" pid="7" name="Suffix">
    <vt:lpwstr>03-e0-02</vt:lpwstr>
  </property>
  <property fmtid="{D5CDD505-2E9C-101B-9397-08002B2CF9AE}" pid="8" name="CommencementDate">
    <vt:lpwstr>20150701</vt:lpwstr>
  </property>
</Properties>
</file>